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FF" w:rsidRPr="00C3214A" w:rsidRDefault="00804BFF" w:rsidP="00804BFF">
      <w:pPr>
        <w:spacing w:before="120"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IDV: </w:t>
      </w:r>
      <w:bookmarkStart w:id="0" w:name="_GoBack"/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Corporate Governance Report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2015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bookmarkEnd w:id="0"/>
    </w:p>
    <w:p w:rsidR="00804BFF" w:rsidRPr="00C3214A" w:rsidRDefault="00804BFF" w:rsidP="00804BFF">
      <w:pPr>
        <w:spacing w:before="120" w:after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CORPORATE GOVERNANCE</w:t>
      </w:r>
    </w:p>
    <w:p w:rsidR="00804BFF" w:rsidRPr="00C3214A" w:rsidRDefault="00804BFF" w:rsidP="00804BFF">
      <w:pPr>
        <w:spacing w:before="120" w:after="1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2015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Company:          </w:t>
      </w:r>
      <w:proofErr w:type="spellStart"/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Vinh</w:t>
      </w:r>
      <w:proofErr w:type="spellEnd"/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Phuc</w:t>
      </w:r>
      <w:proofErr w:type="spellEnd"/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Infrastructure Development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Joint Stock Company 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Address:           </w:t>
      </w:r>
      <w:proofErr w:type="spellStart"/>
      <w:r w:rsidRPr="00C3214A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14A">
        <w:rPr>
          <w:rFonts w:ascii="Arial" w:eastAsia="Times New Roman" w:hAnsi="Arial" w:cs="Arial"/>
          <w:color w:val="000000"/>
          <w:sz w:val="20"/>
          <w:szCs w:val="20"/>
        </w:rPr>
        <w:t>Quang</w:t>
      </w:r>
      <w:proofErr w:type="spellEnd"/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 industrial area, </w:t>
      </w:r>
      <w:proofErr w:type="spellStart"/>
      <w:r w:rsidRPr="00C3214A">
        <w:rPr>
          <w:rFonts w:ascii="Arial" w:eastAsia="Times New Roman" w:hAnsi="Arial" w:cs="Arial"/>
          <w:color w:val="000000"/>
          <w:sz w:val="20"/>
          <w:szCs w:val="20"/>
        </w:rPr>
        <w:t>Vinh</w:t>
      </w:r>
      <w:proofErr w:type="spellEnd"/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 Yen City, </w:t>
      </w:r>
      <w:proofErr w:type="spellStart"/>
      <w:r w:rsidRPr="00C3214A">
        <w:rPr>
          <w:rFonts w:ascii="Arial" w:eastAsia="Times New Roman" w:hAnsi="Arial" w:cs="Arial"/>
          <w:color w:val="000000"/>
          <w:sz w:val="20"/>
          <w:szCs w:val="20"/>
        </w:rPr>
        <w:t>Vinh</w:t>
      </w:r>
      <w:proofErr w:type="spellEnd"/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3214A">
        <w:rPr>
          <w:rFonts w:ascii="Arial" w:eastAsia="Times New Roman" w:hAnsi="Arial" w:cs="Arial"/>
          <w:color w:val="000000"/>
          <w:sz w:val="20"/>
          <w:szCs w:val="20"/>
        </w:rPr>
        <w:t>Phuc</w:t>
      </w:r>
      <w:proofErr w:type="spellEnd"/>
      <w:r w:rsidRPr="00C3214A">
        <w:rPr>
          <w:rFonts w:ascii="Arial" w:eastAsia="Times New Roman" w:hAnsi="Arial" w:cs="Arial"/>
          <w:color w:val="000000"/>
          <w:sz w:val="20"/>
          <w:szCs w:val="20"/>
        </w:rPr>
        <w:t xml:space="preserve"> province     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Phone:              0211 - 3720945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Email:               idv@vpid.vn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Charter c</w:t>
      </w:r>
      <w:r w:rsidRPr="00C3214A">
        <w:rPr>
          <w:rFonts w:ascii="Arial" w:eastAsia="Times New Roman" w:hAnsi="Arial" w:cs="Arial"/>
          <w:color w:val="000000"/>
          <w:sz w:val="20"/>
          <w:szCs w:val="20"/>
        </w:rPr>
        <w:t>apital: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VND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77,257,300,000</w:t>
      </w:r>
    </w:p>
    <w:p w:rsidR="00804BFF" w:rsidRPr="00C3214A" w:rsidRDefault="00804BFF" w:rsidP="00804BFF">
      <w:pPr>
        <w:spacing w:before="120" w:after="120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Stock code: </w:t>
      </w:r>
      <w:r w:rsidRPr="00C3214A">
        <w:rPr>
          <w:rFonts w:ascii="Arial" w:eastAsia="Times New Roman" w:hAnsi="Arial" w:cs="Arial"/>
          <w:bCs/>
          <w:color w:val="000000"/>
          <w:sz w:val="20"/>
          <w:szCs w:val="20"/>
        </w:rPr>
        <w:tab/>
        <w:t>IDV</w:t>
      </w:r>
    </w:p>
    <w:p w:rsidR="00804BFF" w:rsidRPr="00C3214A" w:rsidRDefault="00804BFF" w:rsidP="00804BFF">
      <w:p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BOD activities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2015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804BFF" w:rsidRPr="00C3214A" w:rsidRDefault="00804BFF" w:rsidP="00804BFF">
      <w:pPr>
        <w:spacing w:before="120"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            Meetings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2421"/>
        <w:gridCol w:w="1684"/>
        <w:gridCol w:w="1684"/>
        <w:gridCol w:w="1331"/>
        <w:gridCol w:w="778"/>
        <w:gridCol w:w="1117"/>
      </w:tblGrid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Title 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office </w:t>
            </w: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before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15/01/2015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Title 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office </w:t>
            </w: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after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15/01/2015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not attending</w:t>
            </w: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Trinh Viet Dung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Chairman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Chairman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D. Chairman of Board of Directors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Dismissed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 xml:space="preserve"> Van </w:t>
            </w:r>
            <w:proofErr w:type="spellStart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>Quy</w:t>
            </w:r>
            <w:proofErr w:type="spellEnd"/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Director cum General Manager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Director cum General Manager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 xml:space="preserve">Pham </w:t>
            </w:r>
            <w:proofErr w:type="spellStart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>Huu</w:t>
            </w:r>
            <w:proofErr w:type="spellEnd"/>
            <w:r w:rsidRPr="00C3214A">
              <w:rPr>
                <w:rFonts w:ascii="Arial" w:eastAsia="Times New Roman" w:hAnsi="Arial" w:cs="Arial"/>
                <w:sz w:val="20"/>
                <w:szCs w:val="20"/>
              </w:rPr>
              <w:t xml:space="preserve"> Ai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Director, Head of Internal Supervisory Board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Director, Head of Internal Supervisory Board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Le Tung Son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Director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96" w:type="pct"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Mr. Cao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cum D. General Manager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Appointed from 15/1/2015</w:t>
            </w:r>
          </w:p>
        </w:tc>
      </w:tr>
      <w:tr w:rsidR="00804BFF" w:rsidRPr="00C3214A" w:rsidTr="007F35A9">
        <w:tc>
          <w:tcPr>
            <w:tcW w:w="181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pct"/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Ms. Nguyen Ngoc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902" w:type="pct"/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902" w:type="pct"/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Supervisory Board</w:t>
            </w:r>
          </w:p>
        </w:tc>
        <w:tc>
          <w:tcPr>
            <w:tcW w:w="7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804BF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5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II. Board Resolutions </w:t>
      </w:r>
      <w:r w:rsidRPr="00C3214A">
        <w:rPr>
          <w:rFonts w:ascii="Arial" w:eastAsia="Times New Roman" w:hAnsi="Arial" w:cs="Arial"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2015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600"/>
        <w:gridCol w:w="1310"/>
        <w:gridCol w:w="5714"/>
      </w:tblGrid>
      <w:tr w:rsidR="00804BFF" w:rsidRPr="00C3214A" w:rsidTr="007F35A9">
        <w:trPr>
          <w:trHeight w:val="53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ind w:right="-93" w:hanging="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Board Resolution/Decision No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Contents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1010/14/NQ_HDQT/IDV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10/10/2014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Summarization of business result in financial year 2014 from 01/10/2013 to 30/09/2014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Business plan in financial year 2015 from 01/10/2014 to 30/09/2015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Flexible sale mechanism to accord with each kind of enterprise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Time of annual General Meeting of Shareholders 2015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Guideline of VPID to participate in Lang Da Bac project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Company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Guideline of Investor Ba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Industrial zone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Xuyen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District</w:t>
            </w:r>
          </w:p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Guideline of cooperation with FUCHUAN Company to invest in factory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2811/14/NQ_HDQT/IDV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28/11/2014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Amend “Rule on salary, bonus for employees” to apply in financial year 2015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Use 03 % of profit after tax in financial year 2014 to reward Executive Board and 02 % of profit after tax to reward Board of Directors and Supervisory Board in Lunar New Year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Statement on operation expenditure of Board of Directors and Supervisory Board as well as subcommittees under Board of Directors in financial year 2015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Amend planning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Industrial zone (5</w:t>
            </w:r>
            <w:r w:rsidRPr="001E1241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time) to supplement industrial land for lease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Guideline of investing in building factories to sell and lease in G plot (about 4 ha) in Chau Son Industrial zone</w:t>
            </w:r>
          </w:p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Lend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Infrastructure Development Joint Stock Company (PTID) with negotiated interest rate and mortgage of land.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112/14/NQ_HDQT/IDV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1/12/2014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Advance dividend in cash in financial year 2015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1712/14/NQ_HDQT/IDV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17/12/2014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Continue implementing works relating to Xuan Son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Industrial zone in 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</w:t>
            </w:r>
          </w:p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Not purchase bonds of chain 4 which were issued in 2014</w:t>
            </w:r>
          </w:p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Assign Mr. Cao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D. General Manager to take charge of Marketing division of VPID and undertake General Manager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</w:p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Improve remuneration for members in Executive Board of Chau Son Industrial zone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1812/14/NQ_HDQT/IDV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18/12/2014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Sell all IDV shares of VPID Hanoi to strategic investors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1501/15/NQ_HDQT/IDV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15/01/2015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Dismiss and appoint Directors in office term 3 (2014 – 2018)</w:t>
            </w:r>
          </w:p>
        </w:tc>
      </w:tr>
      <w:tr w:rsidR="00804BFF" w:rsidRPr="00C3214A" w:rsidTr="007F35A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1601/15/NQ_HDQT/IDV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16/01/2015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Summarize business result in Quarter 1 of financial year 2015 from 01/10/2014 to 31/12/2014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Business plan in Quarter 2 of financial year 2015 from 01/01/2015 to 31/03/2015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Adjust land leasing fee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Industrial zone</w:t>
            </w:r>
          </w:p>
          <w:p w:rsidR="00804BFF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Continue researching market of factories to invest in Chau Son Industrial zone</w:t>
            </w:r>
          </w:p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Assign Mr. Cao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represent capital of the Company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Mr. Pham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Ai to be Chairman of VPID Hanoi</w:t>
            </w:r>
          </w:p>
        </w:tc>
      </w:tr>
      <w:tr w:rsidR="00804BFF" w:rsidRPr="00C3214A" w:rsidTr="00804BFF"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1303/15/NQ_HDQT/IDV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13/03/2015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Selection of the Auditor for financial statement of financial year 2015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17/04/2015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Issuing 50% shares for the dividend payment of 2015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1704b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17/04/2015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804BFF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Summarize business result in Quarter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financial year 2015 from 01/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1/2015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31/03/2015</w:t>
            </w:r>
          </w:p>
          <w:p w:rsidR="00804BFF" w:rsidRDefault="00804BFF" w:rsidP="00804BFF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Business plan in Quarter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 of financial year 2015 from 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4/2015 to 30/06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/2015</w:t>
            </w:r>
          </w:p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Allocate the participation of leadership on completing the company’s system</w:t>
            </w:r>
          </w:p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Improve, upgrade the Water Treatment Station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Industrial Park</w:t>
            </w:r>
          </w:p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Review the labor contract to resign according to new labor law issued in 2012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1704a/15/QD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17/04/2015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Reassign representative of the Company at companies that VPID invested in and securities on the stock exchange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08/05/2015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804BFF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Establish “Department of researching and proposing solutions” for the joint venture contract with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Urban Development and Construction Joint Stock Company </w:t>
            </w:r>
            <w:r w:rsidR="006845BB">
              <w:rPr>
                <w:rFonts w:ascii="Arial" w:eastAsia="Times New Roman" w:hAnsi="Arial" w:cs="Arial"/>
                <w:sz w:val="20"/>
                <w:szCs w:val="20"/>
              </w:rPr>
              <w:t xml:space="preserve"> (UDV)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19/06/2015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804BFF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Solutions to handle </w:t>
            </w:r>
            <w:r w:rsidR="006845BB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804BFF">
              <w:rPr>
                <w:rFonts w:ascii="Arial" w:eastAsia="Times New Roman" w:hAnsi="Arial" w:cs="Arial"/>
                <w:sz w:val="20"/>
                <w:szCs w:val="20"/>
              </w:rPr>
              <w:t>furnace</w:t>
            </w:r>
            <w:r w:rsidR="006845BB">
              <w:rPr>
                <w:rFonts w:ascii="Arial" w:eastAsia="Times New Roman" w:hAnsi="Arial" w:cs="Arial"/>
                <w:sz w:val="20"/>
                <w:szCs w:val="20"/>
              </w:rPr>
              <w:t xml:space="preserve"> for the operate license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Contribute capital into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Thu Hydropower Company and purchase (maximum) 6% of Charter capital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Thu Hydropower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 Delay the payment for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Urban Development and Construction Joint Stock Company  (UDV)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according to the contract No. 01/15-HTKD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30/07/2015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6845BB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Summarize business result in Quarter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financial year 2015 from 01/04/2015 to 30/06/2015</w:t>
            </w:r>
          </w:p>
          <w:p w:rsidR="006845BB" w:rsidRDefault="006845BB" w:rsidP="006845BB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Business plan in Quarter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financial year 2015 from 01/0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/2015 to 30/0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/2015</w:t>
            </w:r>
          </w:p>
          <w:p w:rsidR="00804BFF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Allow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Vpid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 Nam One Member Co., Ltd. (subsidiary) to extract to bonus and welfare fund with the rate of 1% of profit after tax in 2015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Adjust the land use right rent at Chau Son Industrial Park until 31/12/2015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Divest 30% of total contribution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Vinh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Urban Development and Construction Joint Stock Company  (UDV)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Increase the environment fee to attract investors at Chau Son Industrial Park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Industrial Park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Approve the interest rate for the subsidiary to borrow capital from bank. The interest rate is calculated by the average interest of 03 banks (BIDV,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VPBank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Techcombank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in 12 months as at the time of signing contract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Purchase 01 car for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Khai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Industrial Park and 01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Innova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Chau Son Industrial Park</w:t>
            </w:r>
          </w:p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Liquidate Honda CRV car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/15/NQ_HDQT/IDV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28/09/2015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Approve the orientation for Xuan 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Industral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Complex-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– 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Hanoi</w:t>
            </w:r>
          </w:p>
        </w:tc>
      </w:tr>
      <w:tr w:rsidR="00804BFF" w:rsidRPr="00C3214A" w:rsidTr="00804BF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BFF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6845BB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Allocate the human resource of Department of Investment and Research</w:t>
            </w:r>
          </w:p>
        </w:tc>
      </w:tr>
    </w:tbl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Change in connected persons/institutions: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08"/>
        <w:gridCol w:w="1070"/>
        <w:gridCol w:w="1500"/>
        <w:gridCol w:w="1551"/>
        <w:gridCol w:w="1587"/>
        <w:gridCol w:w="1006"/>
      </w:tblGrid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576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806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525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Reasons</w:t>
            </w:r>
          </w:p>
        </w:tc>
      </w:tr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57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525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Dong</w:t>
            </w:r>
          </w:p>
        </w:tc>
        <w:tc>
          <w:tcPr>
            <w:tcW w:w="57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525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Bong</w:t>
            </w:r>
          </w:p>
        </w:tc>
        <w:tc>
          <w:tcPr>
            <w:tcW w:w="57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525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Ngoc Doan</w:t>
            </w:r>
          </w:p>
        </w:tc>
        <w:tc>
          <w:tcPr>
            <w:tcW w:w="57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525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BFF" w:rsidRPr="00C3214A" w:rsidTr="007F35A9">
        <w:tc>
          <w:tcPr>
            <w:tcW w:w="277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1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Truong Son</w:t>
            </w:r>
          </w:p>
        </w:tc>
        <w:tc>
          <w:tcPr>
            <w:tcW w:w="57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833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15/01/2015</w:t>
            </w:r>
          </w:p>
        </w:tc>
        <w:tc>
          <w:tcPr>
            <w:tcW w:w="525" w:type="pct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Transactions of PDMRs and connected persons/ institutions: </w:t>
      </w:r>
      <w:r w:rsidRPr="00C32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 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25"/>
        <w:gridCol w:w="1005"/>
        <w:gridCol w:w="1356"/>
        <w:gridCol w:w="1471"/>
        <w:gridCol w:w="1472"/>
        <w:gridCol w:w="1388"/>
      </w:tblGrid>
      <w:tr w:rsidR="00804BFF" w:rsidRPr="00C3214A" w:rsidTr="00575F72">
        <w:tc>
          <w:tcPr>
            <w:tcW w:w="533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125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005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1356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1" w:type="dxa"/>
            <w:vAlign w:val="center"/>
          </w:tcPr>
          <w:p w:rsidR="00804BFF" w:rsidRPr="00575F72" w:rsidRDefault="00804BFF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472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Shareholding percentage at the end of the term</w:t>
            </w:r>
          </w:p>
        </w:tc>
        <w:tc>
          <w:tcPr>
            <w:tcW w:w="1388" w:type="dxa"/>
            <w:vAlign w:val="center"/>
          </w:tcPr>
          <w:p w:rsidR="00804BFF" w:rsidRPr="00C3214A" w:rsidRDefault="00804BFF" w:rsidP="007F35A9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TRINH VIET DUNG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of Board of Directors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971,115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12.7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Trinh Viet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 Trinh Hong Ngoc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PHUNG VAN QUY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Director, General Manager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260,491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Ly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Van Thu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32,266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Tien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Nghia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Vu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2,330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Su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Bang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27,163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Lan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Phung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Nguyen Ngoc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PHAM HUU AI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282,442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Phuong Ngoc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24,651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0.32 %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Pham Hong Ha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Pham Tuan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Thu Hang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2,124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0.03 %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LE TUNG SON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281,754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3.6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45,081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Le Hoang Yen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CAO DINH THI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14,377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Viet Hong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222,013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C3214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Hong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75F72" w:rsidRDefault="00575F72" w:rsidP="00575F72">
            <w:pPr>
              <w:spacing w:before="120" w:after="120"/>
              <w:jc w:val="center"/>
            </w:pPr>
            <w:r w:rsidRPr="000241F6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75F72" w:rsidRDefault="00575F72" w:rsidP="00575F72">
            <w:pPr>
              <w:spacing w:before="120" w:after="120"/>
              <w:jc w:val="center"/>
            </w:pPr>
            <w:r w:rsidRPr="000241F6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Yen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75F72" w:rsidRDefault="00575F72" w:rsidP="00575F72">
            <w:pPr>
              <w:spacing w:before="120" w:after="120"/>
              <w:jc w:val="center"/>
            </w:pPr>
            <w:r w:rsidRPr="000241F6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Ngan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75F72" w:rsidRDefault="00575F72" w:rsidP="00575F72">
            <w:pPr>
              <w:spacing w:before="120" w:after="120"/>
              <w:jc w:val="center"/>
            </w:pPr>
            <w:r w:rsidRPr="000241F6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575F72" w:rsidRDefault="00575F72" w:rsidP="00575F72">
            <w:pPr>
              <w:spacing w:before="120" w:after="120"/>
              <w:jc w:val="center"/>
            </w:pPr>
            <w:r w:rsidRPr="000241F6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Kim Luong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 xml:space="preserve">Cao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C32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214A"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423B2B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NGUYEN NGOC LAN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</w:t>
            </w:r>
            <w:r w:rsidRPr="00C3214A">
              <w:rPr>
                <w:rFonts w:ascii="Arial" w:hAnsi="Arial" w:cs="Arial"/>
                <w:sz w:val="20"/>
                <w:szCs w:val="20"/>
              </w:rPr>
              <w:t>of Supervisory Board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5,692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0.07 %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B3114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Hoang Long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B3114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B3114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Khanh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B31147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PHAN VAN VINH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Dao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Nhien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1,219</w:t>
            </w:r>
          </w:p>
        </w:tc>
        <w:tc>
          <w:tcPr>
            <w:tcW w:w="1472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Mao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Thom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CB7040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HUY TUNG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24,841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Vu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24,651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8E757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190,903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8E757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8E757E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THI HOAN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Accountant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5,904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Lam Tung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14A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DUY TRUNG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Disclosure Officer</w:t>
            </w: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27,264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0.35 %</w:t>
            </w:r>
          </w:p>
        </w:tc>
        <w:tc>
          <w:tcPr>
            <w:tcW w:w="1388" w:type="dxa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336CCD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Chin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336CCD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336CCD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  <w:tr w:rsidR="00575F72" w:rsidRPr="00C3214A" w:rsidTr="00575F72">
        <w:tc>
          <w:tcPr>
            <w:tcW w:w="533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25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Tam</w:t>
            </w:r>
          </w:p>
        </w:tc>
        <w:tc>
          <w:tcPr>
            <w:tcW w:w="1005" w:type="dxa"/>
            <w:vAlign w:val="center"/>
          </w:tcPr>
          <w:p w:rsidR="00575F72" w:rsidRPr="00C3214A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575F72" w:rsidRPr="00575F72" w:rsidRDefault="00575F72" w:rsidP="00575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72">
              <w:rPr>
                <w:rFonts w:ascii="Arial" w:hAnsi="Arial" w:cs="Arial"/>
                <w:sz w:val="20"/>
                <w:szCs w:val="20"/>
              </w:rPr>
              <w:t>46,540</w:t>
            </w:r>
          </w:p>
        </w:tc>
        <w:tc>
          <w:tcPr>
            <w:tcW w:w="1472" w:type="dxa"/>
            <w:vAlign w:val="center"/>
          </w:tcPr>
          <w:p w:rsidR="00575F72" w:rsidRDefault="00575F72" w:rsidP="00575F72">
            <w:pPr>
              <w:tabs>
                <w:tab w:val="num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0.60 %</w:t>
            </w:r>
          </w:p>
        </w:tc>
        <w:tc>
          <w:tcPr>
            <w:tcW w:w="1388" w:type="dxa"/>
          </w:tcPr>
          <w:p w:rsidR="00575F72" w:rsidRDefault="00575F72" w:rsidP="00575F72">
            <w:pPr>
              <w:spacing w:before="120" w:after="120"/>
            </w:pPr>
            <w:r w:rsidRPr="00336CCD">
              <w:rPr>
                <w:rFonts w:ascii="Arial" w:hAnsi="Arial" w:cs="Arial"/>
                <w:sz w:val="20"/>
                <w:szCs w:val="20"/>
              </w:rPr>
              <w:t>Connected person</w:t>
            </w:r>
          </w:p>
        </w:tc>
      </w:tr>
    </w:tbl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 2. Transaction: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441"/>
        <w:gridCol w:w="1184"/>
        <w:gridCol w:w="828"/>
        <w:gridCol w:w="1239"/>
        <w:gridCol w:w="1244"/>
        <w:gridCol w:w="1240"/>
        <w:gridCol w:w="1646"/>
      </w:tblGrid>
      <w:tr w:rsidR="00804BFF" w:rsidRPr="00C3214A" w:rsidTr="00575F72">
        <w:tc>
          <w:tcPr>
            <w:tcW w:w="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63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Connected to PDMR</w:t>
            </w:r>
          </w:p>
        </w:tc>
        <w:tc>
          <w:tcPr>
            <w:tcW w:w="110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3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ind w:right="8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8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Reasons for increase or decrease: buying, selling, transferring, bonus, etc.</w:t>
            </w:r>
          </w:p>
        </w:tc>
      </w:tr>
      <w:tr w:rsidR="00804BFF" w:rsidRPr="00C3214A" w:rsidTr="00575F72">
        <w:trPr>
          <w:trHeight w:val="118"/>
        </w:trPr>
        <w:tc>
          <w:tcPr>
            <w:tcW w:w="282" w:type="pct"/>
            <w:vMerge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FF" w:rsidRPr="00C3214A" w:rsidRDefault="00804BFF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880" w:type="pct"/>
            <w:vMerge/>
            <w:vAlign w:val="center"/>
          </w:tcPr>
          <w:p w:rsidR="00804BFF" w:rsidRPr="00C3214A" w:rsidRDefault="00804BFF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5F72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Van Thu</w:t>
            </w:r>
          </w:p>
        </w:tc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28,595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0.56 %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21,511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0.42 %</w:t>
            </w:r>
          </w:p>
        </w:tc>
        <w:tc>
          <w:tcPr>
            <w:tcW w:w="8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Decrease due to sale of 7,084 shares</w:t>
            </w:r>
          </w:p>
        </w:tc>
      </w:tr>
      <w:tr w:rsidR="00575F72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Vu</w:t>
            </w:r>
          </w:p>
        </w:tc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2,757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0.05 %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1,554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0.03 %</w:t>
            </w:r>
          </w:p>
        </w:tc>
        <w:tc>
          <w:tcPr>
            <w:tcW w:w="8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Pr="00C3214A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Increase by 797 shares from ESOP and decrease by 2,000 shares due to sale</w:t>
            </w:r>
          </w:p>
        </w:tc>
      </w:tr>
      <w:tr w:rsidR="00575F72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Chin</w:t>
            </w:r>
          </w:p>
        </w:tc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0.00 %</w:t>
            </w:r>
          </w:p>
        </w:tc>
        <w:tc>
          <w:tcPr>
            <w:tcW w:w="8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Decrease due to sale of 124 shares</w:t>
            </w:r>
          </w:p>
        </w:tc>
      </w:tr>
      <w:tr w:rsidR="00575F72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Nguyen Lam Tung</w:t>
            </w:r>
          </w:p>
        </w:tc>
        <w:tc>
          <w:tcPr>
            <w:tcW w:w="63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Connected person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0.00 %</w:t>
            </w:r>
          </w:p>
        </w:tc>
        <w:tc>
          <w:tcPr>
            <w:tcW w:w="88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Decrease due to sale of 338 shares</w:t>
            </w:r>
          </w:p>
        </w:tc>
      </w:tr>
    </w:tbl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04BFF" w:rsidRDefault="00804BFF" w:rsidP="00804BFF">
      <w:pPr>
        <w:spacing w:before="120" w:after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Other transaction: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380"/>
        <w:gridCol w:w="1273"/>
        <w:gridCol w:w="939"/>
        <w:gridCol w:w="1239"/>
        <w:gridCol w:w="1223"/>
        <w:gridCol w:w="1239"/>
        <w:gridCol w:w="1529"/>
      </w:tblGrid>
      <w:tr w:rsidR="006845BB" w:rsidRPr="00C3214A" w:rsidTr="00575F72">
        <w:tc>
          <w:tcPr>
            <w:tcW w:w="2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74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65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Connected to PDMR</w:t>
            </w:r>
          </w:p>
        </w:tc>
        <w:tc>
          <w:tcPr>
            <w:tcW w:w="116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13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ind w:right="88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82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Reasons for increase or decrease: buying, selling, transferring, bonus, etc.</w:t>
            </w:r>
          </w:p>
        </w:tc>
      </w:tr>
      <w:tr w:rsidR="006845BB" w:rsidRPr="00C3214A" w:rsidTr="00575F72">
        <w:trPr>
          <w:trHeight w:val="118"/>
        </w:trPr>
        <w:tc>
          <w:tcPr>
            <w:tcW w:w="282" w:type="pct"/>
            <w:vMerge/>
            <w:vAlign w:val="center"/>
          </w:tcPr>
          <w:p w:rsidR="006845BB" w:rsidRPr="00C3214A" w:rsidRDefault="006845BB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pct"/>
            <w:vMerge/>
            <w:vAlign w:val="center"/>
          </w:tcPr>
          <w:p w:rsidR="006845BB" w:rsidRPr="00C3214A" w:rsidRDefault="006845BB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pct"/>
            <w:vMerge/>
            <w:vAlign w:val="center"/>
          </w:tcPr>
          <w:p w:rsidR="006845BB" w:rsidRPr="00C3214A" w:rsidRDefault="006845BB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Share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t>Percentage</w:t>
            </w:r>
          </w:p>
        </w:tc>
        <w:tc>
          <w:tcPr>
            <w:tcW w:w="829" w:type="pct"/>
            <w:vMerge/>
            <w:vAlign w:val="center"/>
          </w:tcPr>
          <w:p w:rsidR="006845BB" w:rsidRPr="00C3214A" w:rsidRDefault="006845BB" w:rsidP="007F35A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45BB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21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PHUNG VAN QUY</w:t>
            </w:r>
          </w:p>
        </w:tc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Director, General Manager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155,967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3.06 %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173,661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3.37 %</w:t>
            </w:r>
          </w:p>
        </w:tc>
        <w:tc>
          <w:tcPr>
            <w:tcW w:w="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Pr="00C3214A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Increase due to purchase of 14,584 shares and receive 3,110 shares from ESOP</w:t>
            </w:r>
          </w:p>
        </w:tc>
      </w:tr>
      <w:tr w:rsidR="006845BB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575F72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NGUYEN DUY TRUNG</w:t>
            </w:r>
          </w:p>
        </w:tc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Information Disclosure Officer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24,384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0.48 %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18,176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0.35 %</w:t>
            </w:r>
          </w:p>
        </w:tc>
        <w:tc>
          <w:tcPr>
            <w:tcW w:w="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BB" w:rsidRDefault="006845BB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Increase by 1,792 shares from ESOP and decrease by 8,000 shares due to sale</w:t>
            </w:r>
          </w:p>
        </w:tc>
      </w:tr>
      <w:tr w:rsidR="00575F72" w:rsidRPr="00C3214A" w:rsidTr="00575F72">
        <w:tc>
          <w:tcPr>
            <w:tcW w:w="2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6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Major shareholder</w:t>
            </w:r>
          </w:p>
        </w:tc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698,926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13.59%</w:t>
            </w:r>
          </w:p>
        </w:tc>
        <w:tc>
          <w:tcPr>
            <w:tcW w:w="6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900,189</w:t>
            </w:r>
          </w:p>
        </w:tc>
        <w:tc>
          <w:tcPr>
            <w:tcW w:w="6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7F35A9">
            <w:pPr>
              <w:spacing w:before="120" w:after="1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11.65%</w:t>
            </w:r>
          </w:p>
        </w:tc>
        <w:tc>
          <w:tcPr>
            <w:tcW w:w="8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F72" w:rsidRDefault="00575F72" w:rsidP="00575F72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Increase by 300,063 shares from dividend payment; decrease by 98,800 shares due to sale</w:t>
            </w:r>
          </w:p>
        </w:tc>
      </w:tr>
    </w:tbl>
    <w:p w:rsidR="006845BB" w:rsidRPr="006845BB" w:rsidRDefault="006845BB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804BFF" w:rsidRPr="00C3214A" w:rsidRDefault="00804BFF" w:rsidP="00804BFF">
      <w:pPr>
        <w:spacing w:before="120" w:after="120"/>
        <w:rPr>
          <w:rFonts w:ascii="Arial" w:eastAsia="Times New Roman" w:hAnsi="Arial" w:cs="Arial"/>
          <w:color w:val="000000"/>
          <w:sz w:val="20"/>
          <w:szCs w:val="20"/>
        </w:rPr>
      </w:pPr>
      <w:r w:rsidRPr="00C3214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C3214A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Other issues: </w:t>
      </w:r>
      <w:r w:rsidRPr="00C3214A">
        <w:rPr>
          <w:rFonts w:ascii="Arial" w:eastAsia="Times New Roman" w:hAnsi="Arial" w:cs="Arial"/>
          <w:color w:val="000000"/>
          <w:sz w:val="20"/>
          <w:szCs w:val="20"/>
        </w:rPr>
        <w:t>None</w:t>
      </w:r>
    </w:p>
    <w:p w:rsidR="00804BFF" w:rsidRPr="00C3214A" w:rsidRDefault="00804BFF" w:rsidP="00804BFF">
      <w:pPr>
        <w:spacing w:before="120" w:after="120"/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F"/>
    <w:rsid w:val="00575F72"/>
    <w:rsid w:val="006845BB"/>
    <w:rsid w:val="00804BFF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EFC8A-9B1A-4952-BF68-3F083CBB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2015-10-20T05:48:00Z</dcterms:created>
  <dcterms:modified xsi:type="dcterms:W3CDTF">2015-10-20T06:18:00Z</dcterms:modified>
</cp:coreProperties>
</file>