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 xml:space="preserve">DHT: Corporate Governance report </w:t>
      </w:r>
      <w:r w:rsidR="00ED2C7F">
        <w:rPr>
          <w:rFonts w:ascii="Arial" w:hAnsi="Arial" w:cs="Arial"/>
          <w:b/>
          <w:sz w:val="20"/>
          <w:szCs w:val="20"/>
        </w:rPr>
        <w:t>(</w:t>
      </w:r>
      <w:r w:rsidR="00973A97" w:rsidRPr="00B23C7C">
        <w:rPr>
          <w:rFonts w:ascii="Arial" w:hAnsi="Arial" w:cs="Arial"/>
          <w:b/>
          <w:sz w:val="20"/>
          <w:szCs w:val="20"/>
        </w:rPr>
        <w:t>2016</w:t>
      </w:r>
      <w:r w:rsidR="00ED2C7F">
        <w:rPr>
          <w:rFonts w:ascii="Arial" w:hAnsi="Arial" w:cs="Arial"/>
          <w:b/>
          <w:sz w:val="20"/>
          <w:szCs w:val="20"/>
        </w:rPr>
        <w:t>)</w:t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957998" w:rsidRDefault="00957998" w:rsidP="00973A97">
      <w:pPr>
        <w:spacing w:beforeLines="60" w:before="144" w:afterLines="60" w:after="144"/>
        <w:jc w:val="center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CORPORATE GOVERNANCE</w:t>
      </w:r>
      <w:r w:rsidR="00ED2C7F">
        <w:rPr>
          <w:rFonts w:ascii="Arial" w:hAnsi="Arial" w:cs="Arial"/>
          <w:b/>
          <w:sz w:val="20"/>
          <w:szCs w:val="20"/>
        </w:rPr>
        <w:t xml:space="preserve"> REPORT</w:t>
      </w:r>
    </w:p>
    <w:p w:rsidR="00ED2C7F" w:rsidRPr="00B23C7C" w:rsidRDefault="00ED2C7F" w:rsidP="00973A97">
      <w:pPr>
        <w:spacing w:beforeLines="60" w:before="144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(Year 2016)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Company:</w:t>
      </w:r>
      <w:r w:rsidRPr="00B23C7C">
        <w:rPr>
          <w:rFonts w:ascii="Arial" w:hAnsi="Arial" w:cs="Arial"/>
          <w:sz w:val="20"/>
          <w:szCs w:val="20"/>
        </w:rPr>
        <w:tab/>
        <w:t xml:space="preserve">Ha </w:t>
      </w:r>
      <w:proofErr w:type="spellStart"/>
      <w:r w:rsidRPr="00B23C7C">
        <w:rPr>
          <w:rFonts w:ascii="Arial" w:hAnsi="Arial" w:cs="Arial"/>
          <w:sz w:val="20"/>
          <w:szCs w:val="20"/>
        </w:rPr>
        <w:t>Tay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 Pharmaceutical Joint Stock Company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Address:</w:t>
      </w:r>
      <w:r w:rsidRPr="00B23C7C">
        <w:rPr>
          <w:rFonts w:ascii="Arial" w:hAnsi="Arial" w:cs="Arial"/>
          <w:sz w:val="20"/>
          <w:szCs w:val="20"/>
        </w:rPr>
        <w:tab/>
        <w:t xml:space="preserve">No. 10 A </w:t>
      </w:r>
      <w:proofErr w:type="spellStart"/>
      <w:r w:rsidRPr="00B23C7C">
        <w:rPr>
          <w:rFonts w:ascii="Arial" w:hAnsi="Arial" w:cs="Arial"/>
          <w:sz w:val="20"/>
          <w:szCs w:val="20"/>
        </w:rPr>
        <w:t>QuangTrung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3C7C">
        <w:rPr>
          <w:rFonts w:ascii="Arial" w:hAnsi="Arial" w:cs="Arial"/>
          <w:sz w:val="20"/>
          <w:szCs w:val="20"/>
        </w:rPr>
        <w:t>QuangTrung</w:t>
      </w:r>
      <w:proofErr w:type="spellEnd"/>
      <w:r w:rsidRPr="00B23C7C">
        <w:rPr>
          <w:rFonts w:ascii="Arial" w:hAnsi="Arial" w:cs="Arial"/>
          <w:sz w:val="20"/>
          <w:szCs w:val="20"/>
        </w:rPr>
        <w:t xml:space="preserve"> Ward, Ha Dong District, Hanoi        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Tel:</w:t>
      </w:r>
      <w:r w:rsidRPr="00B23C7C">
        <w:rPr>
          <w:rFonts w:ascii="Arial" w:hAnsi="Arial" w:cs="Arial"/>
          <w:sz w:val="20"/>
          <w:szCs w:val="20"/>
        </w:rPr>
        <w:tab/>
      </w:r>
      <w:r w:rsidRPr="00B23C7C">
        <w:rPr>
          <w:rFonts w:ascii="Arial" w:hAnsi="Arial" w:cs="Arial"/>
          <w:sz w:val="20"/>
          <w:szCs w:val="20"/>
        </w:rPr>
        <w:tab/>
        <w:t>04 22143368                              Fax: 04 33829054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 xml:space="preserve">- Email: </w:t>
      </w:r>
      <w:r w:rsidRPr="00B23C7C">
        <w:rPr>
          <w:rFonts w:ascii="Arial" w:hAnsi="Arial" w:cs="Arial"/>
          <w:sz w:val="20"/>
          <w:szCs w:val="20"/>
        </w:rPr>
        <w:tab/>
      </w:r>
      <w:hyperlink r:id="rId4" w:history="1">
        <w:r w:rsidRPr="00B23C7C">
          <w:rPr>
            <w:rStyle w:val="Hyperlink"/>
            <w:rFonts w:ascii="Arial" w:hAnsi="Arial" w:cs="Arial"/>
            <w:sz w:val="20"/>
            <w:szCs w:val="20"/>
          </w:rPr>
          <w:t>hataphar@fpt.vn</w:t>
        </w:r>
      </w:hyperlink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Charter capital: VND 62,826,020,000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- Stock code:</w:t>
      </w:r>
      <w:r w:rsidRPr="00B23C7C">
        <w:rPr>
          <w:rFonts w:ascii="Arial" w:hAnsi="Arial" w:cs="Arial"/>
          <w:sz w:val="20"/>
          <w:szCs w:val="20"/>
        </w:rPr>
        <w:tab/>
        <w:t>DHT</w:t>
      </w:r>
    </w:p>
    <w:p w:rsidR="00957998" w:rsidRPr="00B23C7C" w:rsidRDefault="00957998" w:rsidP="00973A97">
      <w:pPr>
        <w:spacing w:beforeLines="60" w:before="144" w:afterLines="60" w:after="144"/>
        <w:ind w:firstLine="720"/>
        <w:rPr>
          <w:rFonts w:ascii="Arial" w:hAnsi="Arial" w:cs="Arial"/>
          <w:sz w:val="20"/>
          <w:szCs w:val="20"/>
        </w:rPr>
      </w:pPr>
    </w:p>
    <w:p w:rsidR="00957998" w:rsidRPr="00B23C7C" w:rsidRDefault="00ED2C7F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BOD’s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63"/>
        <w:gridCol w:w="1926"/>
        <w:gridCol w:w="1307"/>
        <w:gridCol w:w="1229"/>
        <w:gridCol w:w="1885"/>
      </w:tblGrid>
      <w:tr w:rsidR="00957998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Member of BOD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Le Van Lo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Hoang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of Board of Directors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66 %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Go business</w:t>
            </w: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Hoang Van Tue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Mr. Nguyen Ba Lai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Default="00ED2C7F" w:rsidP="00ED2C7F">
            <w:pPr>
              <w:jc w:val="center"/>
            </w:pPr>
            <w:r w:rsidRPr="0068279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AnhTrung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Default="00ED2C7F" w:rsidP="00ED2C7F">
            <w:pPr>
              <w:jc w:val="center"/>
            </w:pPr>
            <w:r w:rsidRPr="0068279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7F" w:rsidRPr="00B23C7C" w:rsidTr="00ED2C7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CanhThang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Default="00ED2C7F" w:rsidP="00ED2C7F">
            <w:pPr>
              <w:jc w:val="center"/>
            </w:pPr>
            <w:r w:rsidRPr="0068279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F" w:rsidRPr="00ED2C7F" w:rsidRDefault="00ED2C7F" w:rsidP="00ED2C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C7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F" w:rsidRPr="00B23C7C" w:rsidRDefault="00ED2C7F" w:rsidP="00ED2C7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II. Board resolution (</w:t>
      </w:r>
      <w:r w:rsidR="00973A97" w:rsidRPr="00B23C7C">
        <w:rPr>
          <w:rFonts w:ascii="Arial" w:hAnsi="Arial" w:cs="Arial"/>
          <w:b/>
          <w:sz w:val="20"/>
          <w:szCs w:val="20"/>
        </w:rPr>
        <w:t>2016</w:t>
      </w:r>
      <w:r w:rsidRPr="00B23C7C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184"/>
        <w:gridCol w:w="1311"/>
        <w:gridCol w:w="6186"/>
      </w:tblGrid>
      <w:tr w:rsidR="00957998" w:rsidRPr="00B23C7C" w:rsidTr="00D44B4C">
        <w:trPr>
          <w:trHeight w:val="33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18</w:t>
            </w:r>
            <w:r w:rsidR="00593A63">
              <w:rPr>
                <w:rFonts w:ascii="Arial" w:hAnsi="Arial" w:cs="Arial"/>
                <w:sz w:val="20"/>
                <w:szCs w:val="20"/>
              </w:rPr>
              <w:t xml:space="preserve"> Mar </w:t>
            </w:r>
            <w:r w:rsidRPr="00B23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22" w:rsidRDefault="00C55B22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Decide on holding Annual General Meeting of Shareholders on 01/04/2016</w:t>
            </w:r>
          </w:p>
          <w:p w:rsidR="00C55B22" w:rsidRDefault="00C55B22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Approve documents and the agenda of the Meeting:</w:t>
            </w:r>
          </w:p>
          <w:p w:rsidR="00C55B22" w:rsidRDefault="00C55B22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report of BOD on the operation results 2015 and the plan for 2016</w:t>
            </w:r>
          </w:p>
          <w:p w:rsidR="00C55B22" w:rsidRDefault="00C55B22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profit distribution 2015</w:t>
            </w:r>
          </w:p>
          <w:p w:rsidR="00C55B22" w:rsidRPr="00B23C7C" w:rsidRDefault="00C55B22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The remuneration for Board of Directors, Supervisory Board 2016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01</w:t>
            </w:r>
            <w:r w:rsidR="00593A63">
              <w:rPr>
                <w:rFonts w:ascii="Arial" w:hAnsi="Arial" w:cs="Arial"/>
                <w:sz w:val="20"/>
                <w:szCs w:val="20"/>
              </w:rPr>
              <w:t xml:space="preserve"> Apr </w:t>
            </w:r>
            <w:r w:rsidRPr="00B23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1A" w:rsidRDefault="00F0511A" w:rsidP="00A968D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 as Deputy Chair of BOD in the term 2016 – 2021</w:t>
            </w:r>
          </w:p>
          <w:p w:rsidR="00F0511A" w:rsidRDefault="00F0511A" w:rsidP="00A968D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Member of BOD as General Manager of the Company</w:t>
            </w:r>
          </w:p>
          <w:p w:rsidR="00F0511A" w:rsidRDefault="00F0511A" w:rsidP="00A968D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modification in the working rule of General Manager and Deputy General Managers</w:t>
            </w:r>
          </w:p>
          <w:p w:rsidR="005D2CCB" w:rsidRPr="00B23C7C" w:rsidRDefault="005D2CCB" w:rsidP="00A968D2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06</w:t>
            </w:r>
            <w:r w:rsidR="00593A63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Pr="00B23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1" w:rsidRDefault="00A86734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Board of Director s and Supervisory Board hold Meeting to consider decide following contents:</w:t>
            </w:r>
            <w:r w:rsidR="00700D71"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C7C" w:rsidRDefault="00B23C7C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report on the operation result of Quarter I/2016</w:t>
            </w:r>
          </w:p>
          <w:p w:rsidR="00B23C7C" w:rsidRDefault="00B23C7C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Consider recruiting the personnel</w:t>
            </w:r>
          </w:p>
          <w:p w:rsidR="00B23C7C" w:rsidRDefault="00B23C7C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Discuss the debt collections of Medical representative</w:t>
            </w:r>
          </w:p>
          <w:p w:rsidR="003A6C11" w:rsidRPr="00B23C7C" w:rsidRDefault="00B23C7C" w:rsidP="004663D3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663D3">
              <w:rPr>
                <w:rFonts w:ascii="Arial" w:hAnsi="Arial" w:cs="Arial"/>
                <w:sz w:val="20"/>
                <w:szCs w:val="20"/>
              </w:rPr>
              <w:t xml:space="preserve"> The report on the situation of signing the contract on hiring land</w:t>
            </w:r>
          </w:p>
        </w:tc>
      </w:tr>
      <w:tr w:rsidR="005D2CCB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CB" w:rsidRPr="00B23C7C" w:rsidRDefault="005D2CCB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5D2CCB" w:rsidP="00593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28</w:t>
            </w:r>
            <w:r w:rsidR="00593A63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Pr="00B23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CB" w:rsidRPr="00B23C7C" w:rsidRDefault="0065387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Board of Directors and Head of Supervisory Board discuss on the plan on hiring land for building Production Factory of the Company</w:t>
            </w:r>
          </w:p>
        </w:tc>
      </w:tr>
      <w:tr w:rsidR="00565D3D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65D3D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65D3D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Jul 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Directors and Supervisory Board held a meeting to review and decide following issues:</w:t>
            </w:r>
          </w:p>
          <w:p w:rsidR="00565D3D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Operation results of first 6 months of 2016 and Jun</w:t>
            </w:r>
          </w:p>
          <w:p w:rsidR="00565D3D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2015 operation results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Hataphar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Co., Ltd and request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Hataphar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Co., Ltd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extracts its interest to </w:t>
            </w:r>
            <w:r w:rsidRPr="00B23C7C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Pharmaceutical Joint Stock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make provision funds in accordance with Charter of the Company</w:t>
            </w:r>
          </w:p>
          <w:p w:rsidR="00565D3D" w:rsidRPr="00B23C7C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Discuss and make plans for building drug producing workshop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Commune</w:t>
            </w:r>
          </w:p>
        </w:tc>
      </w:tr>
      <w:tr w:rsidR="00565D3D" w:rsidRPr="00B23C7C" w:rsidTr="00D44B4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93A63" w:rsidP="00973A9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65D3D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Pr="00B23C7C" w:rsidRDefault="00593A63" w:rsidP="00630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Oct 2016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3D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Directors and Supervisory Board held a meeting to review and decide following issues:</w:t>
            </w:r>
          </w:p>
          <w:p w:rsidR="00593A63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Hear Charter of the Company</w:t>
            </w:r>
          </w:p>
          <w:p w:rsidR="00593A63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operation results of Sep and first 9 months of 2016</w:t>
            </w:r>
          </w:p>
          <w:p w:rsidR="00593A63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Operation results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Hataphar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Mien Nam Co., Ltd</w:t>
            </w:r>
          </w:p>
          <w:p w:rsidR="00593A63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Request Supervisory Board to arrange to check and assess business situation of Branches directly under</w:t>
            </w:r>
          </w:p>
          <w:p w:rsidR="00593A63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Board of Directors’ discussion and plan for raising charter capital in 2017</w:t>
            </w:r>
          </w:p>
          <w:p w:rsidR="00593A63" w:rsidRPr="00B23C7C" w:rsidRDefault="00593A63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It is expected in Nov 2016, close list of shareholders for 2016 dividend payment </w:t>
            </w: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lastRenderedPageBreak/>
        <w:t>III. Change in connected persons/institutions: No change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507"/>
        <w:gridCol w:w="1141"/>
        <w:gridCol w:w="1229"/>
        <w:gridCol w:w="1669"/>
        <w:gridCol w:w="1756"/>
        <w:gridCol w:w="1404"/>
      </w:tblGrid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Institutions/ individuals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Trading account (if any)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Title (if any)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Starting moment as connected persons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Moment to no longer be connected persons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957998" w:rsidRPr="00B23C7C" w:rsidTr="00957998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1. List of PDMRs and connected persons/institutions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932"/>
        <w:gridCol w:w="985"/>
        <w:gridCol w:w="1434"/>
        <w:gridCol w:w="1500"/>
        <w:gridCol w:w="1618"/>
        <w:gridCol w:w="1250"/>
      </w:tblGrid>
      <w:tr w:rsidR="00957998" w:rsidRPr="00B23C7C" w:rsidTr="005835D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Shareholding percentage at the end of the term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Le Van Lo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Chairman of Board of Directors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349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ThiHanh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Hong Viet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Viet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511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AnhTrung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983C99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383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Hau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294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983C99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445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7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ThiAnh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Le Van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88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C99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9" w:rsidRPr="00B23C7C" w:rsidRDefault="00983C99" w:rsidP="00983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CanhThang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NhuHoa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305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Deputy Chair of Board of Directors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360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5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C99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Nguyen Ba Lai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68,729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1.093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C99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23C7C" w:rsidRDefault="00983C99" w:rsidP="00983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Hoang Van Tue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C1F03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03">
              <w:rPr>
                <w:rFonts w:ascii="Arial" w:hAnsi="Arial" w:cs="Arial"/>
                <w:sz w:val="20"/>
                <w:szCs w:val="20"/>
              </w:rPr>
              <w:t>345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C1F03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99" w:rsidRPr="00BC1F03" w:rsidRDefault="00983C99" w:rsidP="00983C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03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99" w:rsidRPr="00B23C7C" w:rsidRDefault="00983C99" w:rsidP="00983C99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Ngo Van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203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3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Xuan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Du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16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Bui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Thao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9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0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35DF" w:rsidRPr="00B23C7C" w:rsidTr="00D40549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5835DF">
            <w:pPr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 w:rsidRPr="00B23C7C">
              <w:rPr>
                <w:rFonts w:ascii="Arial" w:hAnsi="Arial" w:cs="Arial"/>
                <w:sz w:val="20"/>
                <w:szCs w:val="20"/>
              </w:rPr>
              <w:t>Tay</w:t>
            </w:r>
            <w:proofErr w:type="spellEnd"/>
            <w:r w:rsidRPr="00B23C7C">
              <w:rPr>
                <w:rFonts w:ascii="Arial" w:hAnsi="Arial" w:cs="Arial"/>
                <w:sz w:val="20"/>
                <w:szCs w:val="20"/>
              </w:rPr>
              <w:t xml:space="preserve"> Medical Equipment and</w:t>
            </w:r>
            <w:r w:rsidR="00C47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 xml:space="preserve">Pharmaceutical Joint Stock Company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271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,</w:t>
            </w:r>
            <w:r w:rsidRPr="00B23C7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F" w:rsidRPr="00B23C7C" w:rsidRDefault="005835DF" w:rsidP="005835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3C7C">
              <w:rPr>
                <w:rFonts w:ascii="Arial" w:hAnsi="Arial" w:cs="Arial"/>
                <w:sz w:val="20"/>
                <w:szCs w:val="20"/>
              </w:rPr>
              <w:t>4</w:t>
            </w:r>
            <w:r w:rsidR="00CC75E0" w:rsidRPr="00B23C7C">
              <w:rPr>
                <w:rFonts w:ascii="Arial" w:hAnsi="Arial" w:cs="Arial"/>
                <w:sz w:val="20"/>
                <w:szCs w:val="20"/>
              </w:rPr>
              <w:t>.</w:t>
            </w:r>
            <w:r w:rsidRPr="00B23C7C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F" w:rsidRPr="00B23C7C" w:rsidRDefault="005835DF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ab/>
      </w: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2. Transactions of PDMRs and connected persons/institutions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498"/>
        <w:gridCol w:w="1184"/>
        <w:gridCol w:w="1038"/>
        <w:gridCol w:w="961"/>
        <w:gridCol w:w="1030"/>
        <w:gridCol w:w="1108"/>
        <w:gridCol w:w="1992"/>
      </w:tblGrid>
      <w:tr w:rsidR="00957998" w:rsidRPr="00B23C7C" w:rsidTr="00CC75E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CC75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A25" w:rsidRPr="00B23C7C" w:rsidTr="00CC75E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25" w:rsidRPr="00B23C7C" w:rsidRDefault="00C47A25" w:rsidP="00C47A25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B23C7C" w:rsidRDefault="00C47A25" w:rsidP="00C4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Van Tue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25" w:rsidRPr="00B23C7C" w:rsidRDefault="00C47A25" w:rsidP="00C4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C47A25" w:rsidRDefault="00C47A25" w:rsidP="00C4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</w:t>
            </w:r>
            <w:r w:rsidRPr="00C47A25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C47A25" w:rsidRDefault="00C47A25" w:rsidP="00C4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47A25">
              <w:rPr>
                <w:rFonts w:ascii="Arial" w:hAnsi="Arial" w:cs="Arial"/>
                <w:sz w:val="20"/>
                <w:szCs w:val="20"/>
              </w:rPr>
              <w:t>235%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C47A25" w:rsidRDefault="00C47A25" w:rsidP="00C4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</w:t>
            </w:r>
            <w:r w:rsidRPr="00C47A25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C47A25" w:rsidRDefault="00C47A25" w:rsidP="00C47A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47A2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25" w:rsidRPr="00B23C7C" w:rsidRDefault="00C47A25" w:rsidP="00C47A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Purchase</w:t>
            </w: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sz w:val="20"/>
          <w:szCs w:val="20"/>
        </w:rPr>
      </w:pPr>
      <w:r w:rsidRPr="00B23C7C">
        <w:rPr>
          <w:rFonts w:ascii="Arial" w:hAnsi="Arial" w:cs="Arial"/>
          <w:sz w:val="20"/>
          <w:szCs w:val="20"/>
        </w:rPr>
        <w:t>3. Other transactions (none)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469"/>
        <w:gridCol w:w="1154"/>
        <w:gridCol w:w="1043"/>
        <w:gridCol w:w="979"/>
        <w:gridCol w:w="1037"/>
        <w:gridCol w:w="979"/>
        <w:gridCol w:w="2150"/>
      </w:tblGrid>
      <w:tr w:rsidR="00957998" w:rsidRPr="00B23C7C" w:rsidTr="0095799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957998" w:rsidRPr="00B23C7C" w:rsidTr="00957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B23C7C"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98" w:rsidRPr="00B23C7C" w:rsidRDefault="00957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998" w:rsidRPr="00B23C7C" w:rsidTr="009579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98" w:rsidRPr="00B23C7C" w:rsidRDefault="00957998" w:rsidP="00973A97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</w:p>
    <w:p w:rsidR="00957998" w:rsidRPr="00B23C7C" w:rsidRDefault="00957998" w:rsidP="00973A97">
      <w:pPr>
        <w:spacing w:beforeLines="60" w:before="144" w:afterLines="60" w:after="144"/>
        <w:rPr>
          <w:rFonts w:ascii="Arial" w:hAnsi="Arial" w:cs="Arial"/>
          <w:b/>
          <w:sz w:val="20"/>
          <w:szCs w:val="20"/>
        </w:rPr>
      </w:pPr>
      <w:r w:rsidRPr="00B23C7C">
        <w:rPr>
          <w:rFonts w:ascii="Arial" w:hAnsi="Arial" w:cs="Arial"/>
          <w:b/>
          <w:sz w:val="20"/>
          <w:szCs w:val="20"/>
        </w:rPr>
        <w:t>V. Other notices: None</w:t>
      </w:r>
    </w:p>
    <w:p w:rsidR="00886BED" w:rsidRPr="00B23C7C" w:rsidRDefault="00886BED" w:rsidP="00957998">
      <w:pPr>
        <w:rPr>
          <w:rFonts w:ascii="Arial" w:hAnsi="Arial" w:cs="Arial"/>
          <w:sz w:val="20"/>
          <w:szCs w:val="20"/>
        </w:rPr>
      </w:pPr>
    </w:p>
    <w:sectPr w:rsidR="00886BED" w:rsidRPr="00B23C7C" w:rsidSect="001F4B0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8"/>
    <w:rsid w:val="001F4B00"/>
    <w:rsid w:val="003438FB"/>
    <w:rsid w:val="003A6C11"/>
    <w:rsid w:val="004663D3"/>
    <w:rsid w:val="00565D3D"/>
    <w:rsid w:val="005835DF"/>
    <w:rsid w:val="00593A63"/>
    <w:rsid w:val="005D2CCB"/>
    <w:rsid w:val="0065387D"/>
    <w:rsid w:val="00700D71"/>
    <w:rsid w:val="007263DC"/>
    <w:rsid w:val="00886BED"/>
    <w:rsid w:val="008D1821"/>
    <w:rsid w:val="00957998"/>
    <w:rsid w:val="00973A97"/>
    <w:rsid w:val="00983C99"/>
    <w:rsid w:val="00A86734"/>
    <w:rsid w:val="00A968D2"/>
    <w:rsid w:val="00B23C7C"/>
    <w:rsid w:val="00B44505"/>
    <w:rsid w:val="00BC1F03"/>
    <w:rsid w:val="00C16241"/>
    <w:rsid w:val="00C47A25"/>
    <w:rsid w:val="00C55B22"/>
    <w:rsid w:val="00CC75E0"/>
    <w:rsid w:val="00D44B4C"/>
    <w:rsid w:val="00DB476B"/>
    <w:rsid w:val="00ED2C7F"/>
    <w:rsid w:val="00F0511A"/>
    <w:rsid w:val="00F2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46043-2C0F-4FCA-935E-DA1AFFA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98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7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aphar@fp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8</cp:revision>
  <dcterms:created xsi:type="dcterms:W3CDTF">2017-02-03T06:50:00Z</dcterms:created>
  <dcterms:modified xsi:type="dcterms:W3CDTF">2017-02-03T07:03:00Z</dcterms:modified>
</cp:coreProperties>
</file>