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D" w:rsidRPr="005B3B90" w:rsidRDefault="00CB5F2D" w:rsidP="007C5A6D">
      <w:pPr>
        <w:rPr>
          <w:sz w:val="20"/>
          <w:szCs w:val="20"/>
        </w:rPr>
      </w:pPr>
    </w:p>
    <w:tbl>
      <w:tblPr>
        <w:tblW w:w="9120" w:type="dxa"/>
        <w:tblInd w:w="-106" w:type="dxa"/>
        <w:tblLook w:val="0000"/>
      </w:tblPr>
      <w:tblGrid>
        <w:gridCol w:w="3510"/>
        <w:gridCol w:w="5610"/>
      </w:tblGrid>
      <w:tr w:rsidR="00CB5F2D" w:rsidRPr="005B3B90">
        <w:tc>
          <w:tcPr>
            <w:tcW w:w="9120" w:type="dxa"/>
            <w:gridSpan w:val="2"/>
          </w:tcPr>
          <w:p w:rsidR="00CB5F2D" w:rsidRPr="005B3B90" w:rsidRDefault="00CB5F2D" w:rsidP="00110FA1">
            <w:pPr>
              <w:pStyle w:val="Heading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90">
              <w:rPr>
                <w:rFonts w:ascii="Times New Roman" w:hAnsi="Times New Roman" w:cs="Times New Roman"/>
                <w:sz w:val="20"/>
                <w:szCs w:val="20"/>
              </w:rPr>
              <w:t>Phụ lục số III</w:t>
            </w:r>
          </w:p>
          <w:p w:rsidR="00CB5F2D" w:rsidRPr="005B3B90" w:rsidRDefault="00CB5F2D" w:rsidP="00110FA1">
            <w:pPr>
              <w:spacing w:line="240" w:lineRule="auto"/>
              <w:rPr>
                <w:sz w:val="20"/>
                <w:szCs w:val="20"/>
              </w:rPr>
            </w:pPr>
            <w:r w:rsidRPr="005B3B90">
              <w:rPr>
                <w:sz w:val="20"/>
                <w:szCs w:val="20"/>
              </w:rPr>
              <w:t>BÁO CÁO TÌNH HÌNH QUẢN TRỊ CÔNG TY</w:t>
            </w:r>
          </w:p>
          <w:p w:rsidR="00CB5F2D" w:rsidRPr="005B3B90" w:rsidRDefault="00CB5F2D" w:rsidP="00110FA1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</w:pPr>
            <w:r w:rsidRPr="005B3B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  <w:t>(Ban hành kèm theo Thông tư số .... /2012/TT-BTC ngày ... tháng ... năm 2012 của</w:t>
            </w:r>
          </w:p>
          <w:p w:rsidR="00CB5F2D" w:rsidRPr="005B3B90" w:rsidRDefault="00CB5F2D" w:rsidP="00110FA1">
            <w:pPr>
              <w:pStyle w:val="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</w:pPr>
            <w:r w:rsidRPr="005B3B9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nl-NL"/>
              </w:rPr>
              <w:t>Bộ Tài chính hướng dẫn về việc Công bố thông tin trên thị trường chứng khoán)</w:t>
            </w:r>
          </w:p>
          <w:p w:rsidR="00CB5F2D" w:rsidRPr="005B3B90" w:rsidRDefault="00CB5F2D" w:rsidP="00110FA1">
            <w:pPr>
              <w:jc w:val="both"/>
              <w:rPr>
                <w:sz w:val="20"/>
                <w:szCs w:val="20"/>
              </w:rPr>
            </w:pPr>
          </w:p>
        </w:tc>
      </w:tr>
      <w:tr w:rsidR="00CB5F2D" w:rsidRPr="005B3B90">
        <w:trPr>
          <w:trHeight w:val="710"/>
        </w:trPr>
        <w:tc>
          <w:tcPr>
            <w:tcW w:w="3510" w:type="dxa"/>
          </w:tcPr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 xml:space="preserve">CTY CP CÔNG NGHỆ </w:t>
            </w:r>
          </w:p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SAO BẮC ĐẨU</w:t>
            </w:r>
          </w:p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-----------------</w:t>
            </w:r>
          </w:p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 xml:space="preserve">Số:  </w:t>
            </w:r>
          </w:p>
        </w:tc>
        <w:tc>
          <w:tcPr>
            <w:tcW w:w="5610" w:type="dxa"/>
          </w:tcPr>
          <w:p w:rsidR="00CB5F2D" w:rsidRPr="005B3B90" w:rsidRDefault="00CB5F2D" w:rsidP="00110FA1">
            <w:pPr>
              <w:pStyle w:val="Heading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CỘNG HÒA XÃ HỘI CHỦ NGHĨA VIỆT NAM</w:t>
            </w:r>
          </w:p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Độc lập – Tự do – Hạnh phúc</w:t>
            </w:r>
          </w:p>
          <w:p w:rsidR="00CB5F2D" w:rsidRPr="005B3B90" w:rsidRDefault="00CB5F2D" w:rsidP="00110FA1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color w:val="000000"/>
                <w:sz w:val="20"/>
                <w:szCs w:val="20"/>
              </w:rPr>
              <w:t>---------------------</w:t>
            </w:r>
          </w:p>
          <w:p w:rsidR="00CB5F2D" w:rsidRPr="005B3B90" w:rsidRDefault="00CB5F2D" w:rsidP="005E1311">
            <w:pPr>
              <w:spacing w:line="360" w:lineRule="auto"/>
              <w:jc w:val="right"/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</w:pPr>
            <w:r w:rsidRPr="005B3B90">
              <w:rPr>
                <w:b w:val="0"/>
                <w:bCs w:val="0"/>
                <w:i/>
                <w:iCs/>
                <w:color w:val="000000"/>
                <w:sz w:val="20"/>
                <w:szCs w:val="20"/>
              </w:rPr>
              <w:t>TP HCM, ngày …  tháng…  năm 2013</w:t>
            </w:r>
          </w:p>
        </w:tc>
      </w:tr>
    </w:tbl>
    <w:p w:rsidR="00CB5F2D" w:rsidRPr="005B3B90" w:rsidRDefault="00CB5F2D" w:rsidP="007C5A6D">
      <w:pPr>
        <w:pStyle w:val="Title"/>
        <w:rPr>
          <w:rFonts w:ascii="Times New Roman" w:hAnsi="Times New Roman" w:cs="Times New Roman"/>
          <w:color w:val="000000"/>
          <w:sz w:val="20"/>
          <w:szCs w:val="20"/>
        </w:rPr>
      </w:pPr>
    </w:p>
    <w:p w:rsidR="00CB5F2D" w:rsidRPr="005B3B90" w:rsidRDefault="00CB5F2D" w:rsidP="007C5A6D">
      <w:pPr>
        <w:pStyle w:val="Title"/>
        <w:rPr>
          <w:rFonts w:ascii="Times New Roman" w:hAnsi="Times New Roman" w:cs="Times New Roman"/>
          <w:color w:val="000000"/>
          <w:sz w:val="20"/>
          <w:szCs w:val="20"/>
        </w:rPr>
      </w:pPr>
    </w:p>
    <w:p w:rsidR="00CB5F2D" w:rsidRPr="005B3B90" w:rsidRDefault="00CB5F2D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BÁO CÁO TÌNH HÌNH QUẢN TRỊ CÔNG TY</w:t>
      </w:r>
    </w:p>
    <w:p w:rsidR="00CB5F2D" w:rsidRPr="005B3B90" w:rsidRDefault="00CB5F2D" w:rsidP="007C5A6D">
      <w:pPr>
        <w:pStyle w:val="Title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</w:t>
      </w:r>
      <w:r w:rsidRPr="005B3B9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ăm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2012</w:t>
      </w:r>
      <w:r w:rsidRPr="005B3B9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)</w:t>
      </w:r>
    </w:p>
    <w:p w:rsidR="00CB5F2D" w:rsidRPr="005B3B90" w:rsidRDefault="00CB5F2D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20" w:type="dxa"/>
        <w:tblInd w:w="-106" w:type="dxa"/>
        <w:tblLayout w:type="fixed"/>
        <w:tblLook w:val="00A0"/>
      </w:tblPr>
      <w:tblGrid>
        <w:gridCol w:w="1276"/>
        <w:gridCol w:w="7844"/>
      </w:tblGrid>
      <w:tr w:rsidR="00CB5F2D" w:rsidRPr="005B3B90">
        <w:trPr>
          <w:trHeight w:val="293"/>
        </w:trPr>
        <w:tc>
          <w:tcPr>
            <w:tcW w:w="1276" w:type="dxa"/>
          </w:tcPr>
          <w:p w:rsidR="00CB5F2D" w:rsidRPr="005B3B90" w:rsidRDefault="00CB5F2D" w:rsidP="00110FA1">
            <w:pPr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>Kính gửi:</w:t>
            </w:r>
          </w:p>
        </w:tc>
        <w:tc>
          <w:tcPr>
            <w:tcW w:w="7844" w:type="dxa"/>
          </w:tcPr>
          <w:p w:rsidR="00CB5F2D" w:rsidRPr="005B3B90" w:rsidRDefault="00CB5F2D" w:rsidP="007C5A6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 xml:space="preserve"> Ủy ban Chứng khoán Nhà nước</w:t>
            </w:r>
          </w:p>
          <w:p w:rsidR="00CB5F2D" w:rsidRPr="005B3B90" w:rsidRDefault="00CB5F2D" w:rsidP="007C5A6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B3B90">
              <w:rPr>
                <w:b w:val="0"/>
                <w:bCs w:val="0"/>
                <w:color w:val="000000"/>
                <w:sz w:val="22"/>
                <w:szCs w:val="22"/>
              </w:rPr>
              <w:t xml:space="preserve"> Sở Giao dịch Chứng khoán</w:t>
            </w:r>
          </w:p>
        </w:tc>
      </w:tr>
    </w:tbl>
    <w:p w:rsidR="00CB5F2D" w:rsidRPr="005B3B90" w:rsidRDefault="00CB5F2D" w:rsidP="007C5A6D">
      <w:pPr>
        <w:pStyle w:val="Title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Pr="005B3B90" w:rsidRDefault="00CB5F2D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 xml:space="preserve">Tên công ty đại chúng:      </w:t>
      </w:r>
      <w:r w:rsidRPr="005B3B90">
        <w:rPr>
          <w:b w:val="0"/>
          <w:bCs w:val="0"/>
          <w:color w:val="000000"/>
          <w:sz w:val="22"/>
          <w:szCs w:val="22"/>
        </w:rPr>
        <w:tab/>
        <w:t>Cty cổ phần Công Nghệ Sao Bắc Đẩu</w:t>
      </w:r>
    </w:p>
    <w:p w:rsidR="00CB5F2D" w:rsidRPr="005B3B90" w:rsidRDefault="00CB5F2D" w:rsidP="005E1311">
      <w:pPr>
        <w:spacing w:line="240" w:lineRule="auto"/>
        <w:ind w:left="1440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 xml:space="preserve">Địa chỉ trụ sở chính: </w:t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>Lô U12b-16a, đường số 22, KCX Tân Thuận, P Tân Thuận Đông,   Q7, TP HCM</w:t>
      </w:r>
      <w:r>
        <w:rPr>
          <w:b w:val="0"/>
          <w:bCs w:val="0"/>
          <w:color w:val="000000"/>
          <w:sz w:val="22"/>
          <w:szCs w:val="22"/>
        </w:rPr>
        <w:t xml:space="preserve">    </w:t>
      </w:r>
      <w:r w:rsidRPr="005B3B90">
        <w:rPr>
          <w:b w:val="0"/>
          <w:bCs w:val="0"/>
          <w:color w:val="000000"/>
          <w:sz w:val="22"/>
          <w:szCs w:val="22"/>
        </w:rPr>
        <w:t xml:space="preserve">Điện thoại:  08 37700968          Fax: 08 37700969          </w:t>
      </w:r>
    </w:p>
    <w:p w:rsidR="00CB5F2D" w:rsidRPr="005B3B90" w:rsidRDefault="00CB5F2D" w:rsidP="005E1311">
      <w:pPr>
        <w:spacing w:line="240" w:lineRule="auto"/>
        <w:ind w:left="1440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>Email:</w:t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</w:r>
      <w:r>
        <w:rPr>
          <w:b w:val="0"/>
          <w:bCs w:val="0"/>
          <w:color w:val="000000"/>
          <w:sz w:val="22"/>
          <w:szCs w:val="22"/>
        </w:rPr>
        <w:tab/>
        <w:t>info@saobacdau.vn</w:t>
      </w:r>
    </w:p>
    <w:p w:rsidR="00CB5F2D" w:rsidRPr="005B3B90" w:rsidRDefault="00CB5F2D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 xml:space="preserve">Vốn điều lệ: </w:t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  <w:t>80.000.000.000 (tám mươi tỷ đồng)</w:t>
      </w:r>
    </w:p>
    <w:p w:rsidR="00CB5F2D" w:rsidRPr="005B3B90" w:rsidRDefault="00CB5F2D" w:rsidP="007C5A6D">
      <w:pPr>
        <w:spacing w:line="240" w:lineRule="auto"/>
        <w:ind w:firstLine="504"/>
        <w:jc w:val="both"/>
        <w:rPr>
          <w:b w:val="0"/>
          <w:bCs w:val="0"/>
          <w:color w:val="000000"/>
          <w:sz w:val="22"/>
          <w:szCs w:val="22"/>
        </w:rPr>
      </w:pPr>
      <w:r w:rsidRPr="005B3B90">
        <w:rPr>
          <w:b w:val="0"/>
          <w:bCs w:val="0"/>
          <w:color w:val="000000"/>
          <w:sz w:val="22"/>
          <w:szCs w:val="22"/>
        </w:rPr>
        <w:tab/>
      </w:r>
      <w:r w:rsidRPr="005B3B90">
        <w:rPr>
          <w:b w:val="0"/>
          <w:bCs w:val="0"/>
          <w:color w:val="000000"/>
          <w:sz w:val="22"/>
          <w:szCs w:val="22"/>
        </w:rPr>
        <w:tab/>
      </w:r>
    </w:p>
    <w:p w:rsidR="00CB5F2D" w:rsidRPr="005B3B90" w:rsidRDefault="00CB5F2D" w:rsidP="007C5A6D">
      <w:pPr>
        <w:pStyle w:val="Title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Pr="005B3B90" w:rsidRDefault="00CB5F2D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I. Hoạt động của Hội đồng quản trị </w:t>
      </w:r>
    </w:p>
    <w:p w:rsidR="00CB5F2D" w:rsidRPr="005B3B90" w:rsidRDefault="00CB5F2D" w:rsidP="007C5A6D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Các cuộc họp của </w:t>
      </w:r>
      <w:r w:rsidRPr="005B3B90">
        <w:rPr>
          <w:rFonts w:ascii="Times New Roman" w:hAnsi="Times New Roman" w:cs="Times New Roman"/>
          <w:sz w:val="22"/>
          <w:szCs w:val="22"/>
        </w:rPr>
        <w:t>Hội đồng quản trị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CB5F2D" w:rsidRPr="005B3B90" w:rsidRDefault="00CB5F2D" w:rsidP="007C5A6D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23"/>
        <w:gridCol w:w="1406"/>
        <w:gridCol w:w="837"/>
        <w:gridCol w:w="2377"/>
      </w:tblGrid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410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523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Chức vụ</w:t>
            </w:r>
          </w:p>
        </w:tc>
        <w:tc>
          <w:tcPr>
            <w:tcW w:w="1406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Số buổi họp tham dự</w:t>
            </w:r>
          </w:p>
        </w:tc>
        <w:tc>
          <w:tcPr>
            <w:tcW w:w="837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Lý do không tham dự</w:t>
            </w: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Nguyễn Đức Quang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Chủ tịch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Trần Tuyên Đức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Phó CTHDQT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Trần Anh Tuấn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Đỗ Văn Hào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Ông Hoàng Hải Thịnh 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7" w:type="dxa"/>
          </w:tcPr>
          <w:p w:rsidR="00CB5F2D" w:rsidRPr="005B3B90" w:rsidRDefault="00CB5F2D" w:rsidP="00D31BF5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Công tác đột xuất và có lý do chính đáng</w:t>
            </w: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Lê Hồng Phong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7" w:type="dxa"/>
          </w:tcPr>
          <w:p w:rsidR="00CB5F2D" w:rsidRPr="005B3B90" w:rsidRDefault="00CB5F2D" w:rsidP="00D31BF5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Công tác đột xuất và có lý do chính đáng</w:t>
            </w:r>
          </w:p>
        </w:tc>
      </w:tr>
      <w:tr w:rsidR="00CB5F2D" w:rsidRPr="005B3B90">
        <w:tc>
          <w:tcPr>
            <w:tcW w:w="56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Ông Đặng Nam Sơn</w:t>
            </w:r>
          </w:p>
        </w:tc>
        <w:tc>
          <w:tcPr>
            <w:tcW w:w="1523" w:type="dxa"/>
          </w:tcPr>
          <w:p w:rsidR="00CB5F2D" w:rsidRPr="005B3B90" w:rsidRDefault="00CB5F2D" w:rsidP="007725E0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Thành viên HĐQT</w:t>
            </w:r>
          </w:p>
        </w:tc>
        <w:tc>
          <w:tcPr>
            <w:tcW w:w="1406" w:type="dxa"/>
          </w:tcPr>
          <w:p w:rsidR="00CB5F2D" w:rsidRPr="005B3B90" w:rsidRDefault="00CB5F2D" w:rsidP="007725E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7" w:type="dxa"/>
          </w:tcPr>
          <w:p w:rsidR="00CB5F2D" w:rsidRPr="005B3B90" w:rsidRDefault="00CB5F2D" w:rsidP="00D31BF5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237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Công tác đột xuất và có lý do chính đáng</w:t>
            </w:r>
          </w:p>
        </w:tc>
      </w:tr>
    </w:tbl>
    <w:p w:rsidR="00CB5F2D" w:rsidRPr="005B3B90" w:rsidRDefault="00CB5F2D" w:rsidP="007C5A6D">
      <w:pPr>
        <w:pStyle w:val="BodyText"/>
        <w:ind w:left="720" w:hanging="436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Default="00CB5F2D" w:rsidP="005B3B90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Hoạt động giám sát của HĐQT đối với </w:t>
      </w:r>
      <w:r>
        <w:rPr>
          <w:rFonts w:ascii="Times New Roman" w:hAnsi="Times New Roman" w:cs="Times New Roman"/>
          <w:color w:val="000000"/>
          <w:sz w:val="22"/>
          <w:szCs w:val="22"/>
        </w:rPr>
        <w:t>Tổng Giám đốc</w:t>
      </w:r>
    </w:p>
    <w:p w:rsidR="00CB5F2D" w:rsidRDefault="00CB5F2D" w:rsidP="005B3B90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HĐQT giám sát việc t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hực hiện chế độ báo cáo, công bố thông tin định kỳ và bất thường tới UBCKNN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và webssite công ty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liên quan đến những nội dung bắt buộc công bố thông tin.</w:t>
      </w:r>
    </w:p>
    <w:p w:rsidR="00CB5F2D" w:rsidRDefault="00CB5F2D" w:rsidP="005B3B90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HĐQT giám sát việc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thực hiện chế độ báo cáo tài chính hàng tháng, quý, năm.</w:t>
      </w:r>
    </w:p>
    <w:p w:rsidR="00CB5F2D" w:rsidRDefault="00CB5F2D" w:rsidP="005B3B90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HĐQT xem xét các báo cáo của ban Tổng Giám Đốc, ý kiến chỉ đạo về kế hoạch đầu tư, kinh doanh, thu hồi công nợ</w:t>
      </w:r>
      <w:r>
        <w:rPr>
          <w:rFonts w:ascii="Times New Roman" w:hAnsi="Times New Roman" w:cs="Times New Roman"/>
          <w:color w:val="000000"/>
          <w:sz w:val="22"/>
          <w:szCs w:val="22"/>
        </w:rPr>
        <w:t>, giải quyết hàng tồn kho.</w:t>
      </w:r>
    </w:p>
    <w:p w:rsidR="00CB5F2D" w:rsidRDefault="00CB5F2D" w:rsidP="005B3B90">
      <w:pPr>
        <w:pStyle w:val="ListParagraph"/>
        <w:rPr>
          <w:color w:val="000000"/>
          <w:sz w:val="22"/>
          <w:szCs w:val="22"/>
        </w:rPr>
      </w:pPr>
    </w:p>
    <w:p w:rsidR="00CB5F2D" w:rsidRDefault="00CB5F2D" w:rsidP="005B3B90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HĐQT giám sát việc t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hực hiện nghĩa vụ của doanh nghiệp đối với người lao động như đóng BHXH, BHYT…đảm bảo tuân thủ các quy định pháp luật hiện hành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B5F2D" w:rsidRDefault="00CB5F2D" w:rsidP="005B3B90">
      <w:pPr>
        <w:pStyle w:val="BodyText"/>
        <w:numPr>
          <w:ilvl w:val="1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HĐQT phối hợp với BKS tổ chức hoạt động kiểm tra đối với hoạt động </w:t>
      </w:r>
      <w:r>
        <w:rPr>
          <w:rFonts w:ascii="Times New Roman" w:hAnsi="Times New Roman" w:cs="Times New Roman"/>
          <w:color w:val="000000"/>
          <w:sz w:val="22"/>
          <w:szCs w:val="22"/>
        </w:rPr>
        <w:t>kiểm toán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 và công tác quản lý của Ban Tổng Giám Đốc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B5F2D" w:rsidRPr="005B3B90" w:rsidRDefault="00CB5F2D" w:rsidP="00CA44FC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Default="00CB5F2D" w:rsidP="00F66C89">
      <w:pPr>
        <w:pStyle w:val="BodyText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>Hoạt động của các tiểu ban thuộc Hội đồng quản trị:</w:t>
      </w:r>
    </w:p>
    <w:p w:rsidR="00CB5F2D" w:rsidRDefault="00CB5F2D" w:rsidP="009C7666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Default="00CB5F2D" w:rsidP="009C7666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 w:rsidRPr="00F66C89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Ban quan hệ cổ đông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>Trong công tác quan hệ cổ đông:  HĐQT luôn thông tin kịp thời các hoạt động, sự kiện của Công ty đến với cổ đông thông qua báo chí, website, email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và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 công bố thông tin</w:t>
      </w:r>
      <w:r>
        <w:rPr>
          <w:rFonts w:ascii="Times New Roman" w:hAnsi="Times New Roman" w:cs="Times New Roman"/>
          <w:color w:val="000000"/>
          <w:sz w:val="22"/>
          <w:szCs w:val="22"/>
        </w:rPr>
        <w:t>.  Đồng thời luôn tiếp nhận, giải đáp thắc mắc và yêu cầu của cổ đông kịp thời.</w:t>
      </w:r>
    </w:p>
    <w:p w:rsidR="00CB5F2D" w:rsidRDefault="00CB5F2D" w:rsidP="009C7666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</w:p>
    <w:p w:rsidR="00CB5F2D" w:rsidRPr="009C7666" w:rsidRDefault="00CB5F2D" w:rsidP="009C7666">
      <w:pPr>
        <w:pStyle w:val="BodyText"/>
        <w:ind w:left="64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Ban kiểm soát nội bộ</w:t>
      </w:r>
      <w:r w:rsidRPr="009C7666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Tiến hành giám sát hoạt động điều hành thông qua báo cáo tài chính của BTGĐ và báo cáo cho HĐQT trước các cuộc họp HĐQT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C76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B5F2D" w:rsidRPr="005B3B90" w:rsidRDefault="00CB5F2D" w:rsidP="007C5A6D">
      <w:pPr>
        <w:pStyle w:val="BodyText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</w:pPr>
    </w:p>
    <w:p w:rsidR="00CB5F2D" w:rsidRPr="005B3B90" w:rsidRDefault="00CB5F2D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II. Các Nghị quyết/Quyết định của Hội đồng quản trị </w:t>
      </w:r>
    </w:p>
    <w:p w:rsidR="00CB5F2D" w:rsidRPr="005B3B90" w:rsidRDefault="00CB5F2D" w:rsidP="007C5A6D">
      <w:pPr>
        <w:pStyle w:val="BodyTex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</w: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982"/>
        <w:gridCol w:w="1260"/>
        <w:gridCol w:w="4350"/>
      </w:tblGrid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Số Nghị quyết/ Quyết định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Ngày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01/2012/QĐ-HĐQT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13/01/2012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tạm ứng 10% cổ tức năm 2011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02/2012/QĐ-HĐQT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16/01/2012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phê duyệt danh sách chi tiết tạm ứng 10% cổ tức bằng tiền mặt  năm 2011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03/2012/QĐ-HĐQT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02/06/2012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Vay vốn </w:t>
            </w: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Ngân hàng TMCP Kỹ Thương Việt Nam để mua ô tô phục vụ cho hoạt động sản xuất kinh doanh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04 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06/03/2012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cử người đại diện vốn tại VTCN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05 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06/03/2012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cử người tham gia Hội đồng quản trị VTCN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06/2012/QĐ-HĐQT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03/05/2012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bổ nhiệm Chủ tịch Hội đồng quản trị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07/2012/QĐ-HĐQT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03/05/2012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bổ nhiệm Phó Chủ tịch Hội đồng quản trị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08/2012/QĐ-HĐQT</w:t>
            </w:r>
          </w:p>
        </w:tc>
        <w:tc>
          <w:tcPr>
            <w:tcW w:w="126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03/05/2012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bổ nhiệm Thư ký công ty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09/2012/QĐ-HĐQT</w:t>
            </w:r>
          </w:p>
        </w:tc>
        <w:tc>
          <w:tcPr>
            <w:tcW w:w="1260" w:type="dxa"/>
          </w:tcPr>
          <w:p w:rsidR="00CB5F2D" w:rsidRPr="005B3B90" w:rsidRDefault="00CB5F2D" w:rsidP="00457E34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03/05/2012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tái bổ nhiệm Tổng Giám Đốc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10/2012/QĐ-HĐQT</w:t>
            </w:r>
          </w:p>
        </w:tc>
        <w:tc>
          <w:tcPr>
            <w:tcW w:w="1260" w:type="dxa"/>
          </w:tcPr>
          <w:p w:rsidR="00CB5F2D" w:rsidRPr="005B3B90" w:rsidRDefault="00CB5F2D" w:rsidP="00457E34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24/07/2012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ban hành quy chế tập trung quản lý của SBD với công ty thành viên</w:t>
            </w:r>
          </w:p>
        </w:tc>
      </w:tr>
      <w:tr w:rsidR="00CB5F2D" w:rsidRPr="005B3B90">
        <w:tc>
          <w:tcPr>
            <w:tcW w:w="5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11/2012/QĐ-HĐQT</w:t>
            </w:r>
          </w:p>
        </w:tc>
        <w:tc>
          <w:tcPr>
            <w:tcW w:w="1260" w:type="dxa"/>
          </w:tcPr>
          <w:p w:rsidR="00CB5F2D" w:rsidRPr="005B3B90" w:rsidRDefault="00CB5F2D" w:rsidP="00457E34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21/11/2012</w:t>
            </w:r>
          </w:p>
        </w:tc>
        <w:tc>
          <w:tcPr>
            <w:tcW w:w="43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sz w:val="22"/>
                <w:szCs w:val="22"/>
              </w:rPr>
              <w:t>chuyển nhượng phần đất còn lại tại Tân Thuận cho cty Kakusho</w:t>
            </w:r>
          </w:p>
        </w:tc>
      </w:tr>
    </w:tbl>
    <w:p w:rsidR="00CB5F2D" w:rsidRPr="005B3B90" w:rsidRDefault="00CB5F2D" w:rsidP="007C5A6D">
      <w:pPr>
        <w:pStyle w:val="BodyText"/>
        <w:ind w:left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B5F2D" w:rsidRPr="005B3B90" w:rsidRDefault="00CB5F2D" w:rsidP="007C5A6D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III. Thay đổi danh sách về người có liên quan của công ty đại chúng theo quy định tại khoản 34 Điều 6 Luật Chứng khoán </w:t>
      </w:r>
      <w:r w:rsidRPr="005B3B90">
        <w:rPr>
          <w:rFonts w:ascii="Times New Roman" w:hAnsi="Times New Roman" w:cs="Times New Roman"/>
          <w:color w:val="000000"/>
          <w:sz w:val="22"/>
          <w:szCs w:val="22"/>
        </w:rPr>
        <w:t xml:space="preserve">(Báo cáo 6 tháng/năm): </w:t>
      </w:r>
      <w:r>
        <w:rPr>
          <w:rFonts w:ascii="Times New Roman" w:hAnsi="Times New Roman" w:cs="Times New Roman"/>
          <w:color w:val="000000"/>
          <w:sz w:val="22"/>
          <w:szCs w:val="22"/>
        </w:rPr>
        <w:t>Không có thay đổi</w:t>
      </w:r>
    </w:p>
    <w:p w:rsidR="00CB5F2D" w:rsidRPr="005B3B90" w:rsidRDefault="00CB5F2D" w:rsidP="007C5A6D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5B3B90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928"/>
        <w:gridCol w:w="864"/>
        <w:gridCol w:w="842"/>
        <w:gridCol w:w="987"/>
        <w:gridCol w:w="1050"/>
        <w:gridCol w:w="987"/>
        <w:gridCol w:w="601"/>
        <w:gridCol w:w="808"/>
        <w:gridCol w:w="1435"/>
        <w:gridCol w:w="466"/>
      </w:tblGrid>
      <w:tr w:rsidR="00CB5F2D" w:rsidRPr="005B3B90">
        <w:tc>
          <w:tcPr>
            <w:tcW w:w="60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864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84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Nơi cấp</w:t>
            </w:r>
          </w:p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808" w:type="dxa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466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B3B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Lý do</w:t>
            </w:r>
          </w:p>
        </w:tc>
      </w:tr>
      <w:tr w:rsidR="00CB5F2D" w:rsidRPr="005B3B90">
        <w:tc>
          <w:tcPr>
            <w:tcW w:w="60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B5F2D" w:rsidRPr="005B3B90">
        <w:tc>
          <w:tcPr>
            <w:tcW w:w="60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</w:tcPr>
          <w:p w:rsidR="00CB5F2D" w:rsidRPr="005B3B90" w:rsidRDefault="00CB5F2D" w:rsidP="00110FA1">
            <w:pPr>
              <w:pStyle w:val="BodyTex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B5F2D" w:rsidRPr="005B3B90" w:rsidRDefault="00CB5F2D" w:rsidP="005B3B90">
      <w:pPr>
        <w:jc w:val="both"/>
        <w:rPr>
          <w:sz w:val="22"/>
          <w:szCs w:val="22"/>
        </w:rPr>
      </w:pPr>
    </w:p>
    <w:sectPr w:rsidR="00CB5F2D" w:rsidRPr="005B3B90" w:rsidSect="0082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/>
      </w:pPr>
      <w:rPr>
        <w:rFonts w:ascii=".VnTime" w:hAnsi=".VnTime" w:cs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1D6934"/>
    <w:multiLevelType w:val="hybridMultilevel"/>
    <w:tmpl w:val="6E30B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A6D"/>
    <w:rsid w:val="00110FA1"/>
    <w:rsid w:val="001C6114"/>
    <w:rsid w:val="00231E0F"/>
    <w:rsid w:val="002C386B"/>
    <w:rsid w:val="003064E6"/>
    <w:rsid w:val="00457E34"/>
    <w:rsid w:val="005868DA"/>
    <w:rsid w:val="005B3B90"/>
    <w:rsid w:val="005E1311"/>
    <w:rsid w:val="00693D93"/>
    <w:rsid w:val="007725E0"/>
    <w:rsid w:val="007C5A6D"/>
    <w:rsid w:val="007C5D46"/>
    <w:rsid w:val="00821B3F"/>
    <w:rsid w:val="009C7666"/>
    <w:rsid w:val="00AD7634"/>
    <w:rsid w:val="00CA44FC"/>
    <w:rsid w:val="00CB5F2D"/>
    <w:rsid w:val="00D31BF5"/>
    <w:rsid w:val="00E35165"/>
    <w:rsid w:val="00F010FC"/>
    <w:rsid w:val="00F34C85"/>
    <w:rsid w:val="00F66C89"/>
    <w:rsid w:val="00F9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6D"/>
    <w:pPr>
      <w:spacing w:line="276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7666"/>
    <w:pPr>
      <w:keepNext/>
      <w:keepLines/>
      <w:spacing w:before="200"/>
      <w:outlineLvl w:val="2"/>
    </w:pPr>
    <w:rPr>
      <w:rFonts w:ascii="Cambria" w:eastAsia="Times New Roman" w:hAnsi="Cambria" w:cs="Cambria"/>
      <w:b w:val="0"/>
      <w:bCs w:val="0"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A6D"/>
    <w:pPr>
      <w:keepNext/>
      <w:spacing w:line="240" w:lineRule="auto"/>
      <w:jc w:val="left"/>
      <w:outlineLvl w:val="7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7666"/>
    <w:rPr>
      <w:rFonts w:ascii="Cambria" w:hAnsi="Cambria" w:cs="Cambria"/>
      <w:color w:val="4F81BD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5A6D"/>
    <w:rPr>
      <w:rFonts w:ascii=".VnTime" w:hAnsi=".VnTime" w:cs=".VnTime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5A6D"/>
    <w:pPr>
      <w:spacing w:line="240" w:lineRule="auto"/>
      <w:jc w:val="both"/>
    </w:pPr>
    <w:rPr>
      <w:rFonts w:ascii=".VnTimeH" w:eastAsia="Times New Roman" w:hAnsi=".VnTimeH" w:cs=".VnTimeH"/>
      <w:b w:val="0"/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5A6D"/>
    <w:rPr>
      <w:rFonts w:ascii=".VnTimeH" w:hAnsi=".VnTimeH" w:cs=".VnTimeH"/>
      <w:snapToGrid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C5A6D"/>
    <w:pPr>
      <w:spacing w:line="240" w:lineRule="auto"/>
    </w:pPr>
    <w:rPr>
      <w:rFonts w:ascii=".VnTimeH" w:eastAsia="Times New Roman" w:hAnsi=".VnTimeH" w:cs=".VnTimeH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C5A6D"/>
    <w:rPr>
      <w:rFonts w:ascii=".VnTimeH" w:hAnsi=".VnTimeH" w:cs=".VnTimeH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5B3B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591</Words>
  <Characters>3371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III</dc:title>
  <dc:subject/>
  <dc:creator>Thu Trinh Anh</dc:creator>
  <cp:keywords/>
  <dc:description/>
  <cp:lastModifiedBy>Computer</cp:lastModifiedBy>
  <cp:revision>2</cp:revision>
  <cp:lastPrinted>2013-08-02T06:52:00Z</cp:lastPrinted>
  <dcterms:created xsi:type="dcterms:W3CDTF">2013-08-02T07:28:00Z</dcterms:created>
  <dcterms:modified xsi:type="dcterms:W3CDTF">2013-08-02T07:28:00Z</dcterms:modified>
</cp:coreProperties>
</file>