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1C" w:rsidRPr="009A571C" w:rsidRDefault="009A571C" w:rsidP="009A57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571C">
        <w:rPr>
          <w:rFonts w:ascii="Times New Roman" w:eastAsia="Times New Roman" w:hAnsi="Times New Roman" w:cs="Times New Roman"/>
          <w:b/>
          <w:bCs/>
          <w:sz w:val="36"/>
          <w:szCs w:val="36"/>
        </w:rPr>
        <w:t>BÁO CÁO QUẢN TRỊ 06 THÁNG ĐẦU NĂM 2014</w:t>
      </w:r>
    </w:p>
    <w:p w:rsidR="009A571C" w:rsidRPr="009A571C" w:rsidRDefault="009A571C" w:rsidP="009A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>        SỐ:   03</w:t>
      </w:r>
      <w:proofErr w:type="gramStart"/>
      <w:r w:rsidRPr="009A571C">
        <w:rPr>
          <w:rFonts w:ascii="Times New Roman" w:eastAsia="Times New Roman" w:hAnsi="Times New Roman" w:cs="Times New Roman"/>
          <w:sz w:val="26"/>
          <w:szCs w:val="26"/>
        </w:rPr>
        <w:t>  /</w:t>
      </w:r>
      <w:proofErr w:type="gram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BCQT-RCC      </w:t>
      </w:r>
      <w:r w:rsidRPr="009A571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TP </w:t>
      </w:r>
      <w:proofErr w:type="spellStart"/>
      <w:r w:rsidRPr="009A571C">
        <w:rPr>
          <w:rFonts w:ascii="Times New Roman" w:eastAsia="Times New Roman" w:hAnsi="Times New Roman" w:cs="Times New Roman"/>
          <w:i/>
          <w:iCs/>
          <w:sz w:val="26"/>
          <w:szCs w:val="26"/>
        </w:rPr>
        <w:t>Hồ</w:t>
      </w:r>
      <w:proofErr w:type="spellEnd"/>
      <w:r w:rsidRPr="009A571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i/>
          <w:iCs/>
          <w:sz w:val="26"/>
          <w:szCs w:val="26"/>
        </w:rPr>
        <w:t>Chí</w:t>
      </w:r>
      <w:proofErr w:type="spellEnd"/>
      <w:r w:rsidRPr="009A571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Minh, </w:t>
      </w:r>
      <w:proofErr w:type="spellStart"/>
      <w:r w:rsidRPr="009A571C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9A571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 23   </w:t>
      </w:r>
      <w:proofErr w:type="spellStart"/>
      <w:r w:rsidRPr="009A571C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9A571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07  </w:t>
      </w:r>
      <w:proofErr w:type="spellStart"/>
      <w:r w:rsidRPr="009A571C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9A571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2014</w:t>
      </w:r>
    </w:p>
    <w:p w:rsidR="009A571C" w:rsidRPr="009A571C" w:rsidRDefault="009A571C" w:rsidP="009A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571C" w:rsidRPr="009A571C" w:rsidRDefault="009A571C" w:rsidP="009A57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30"/>
          <w:szCs w:val="30"/>
        </w:rPr>
        <w:t>BÁO CÁO TÌNH HÌNH QUẢN TRỊ CÔNG TY</w:t>
      </w:r>
    </w:p>
    <w:p w:rsidR="009A571C" w:rsidRPr="009A571C" w:rsidRDefault="009A571C" w:rsidP="009A57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( 06</w:t>
      </w:r>
      <w:proofErr w:type="gram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tháng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2014)</w:t>
      </w:r>
    </w:p>
    <w:p w:rsidR="009A571C" w:rsidRPr="009A571C" w:rsidRDefault="009A571C" w:rsidP="009A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8910" w:type="dxa"/>
        <w:tblInd w:w="558" w:type="dxa"/>
        <w:tblCellMar>
          <w:left w:w="0" w:type="dxa"/>
          <w:right w:w="0" w:type="dxa"/>
        </w:tblCellMar>
        <w:tblLook w:val="04A0"/>
      </w:tblPr>
      <w:tblGrid>
        <w:gridCol w:w="2970"/>
        <w:gridCol w:w="5940"/>
      </w:tblGrid>
      <w:tr w:rsidR="009A571C" w:rsidRPr="009A571C" w:rsidTr="009A571C">
        <w:trPr>
          <w:trHeight w:val="251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1C" w:rsidRPr="009A571C" w:rsidRDefault="009A571C" w:rsidP="009A571C">
            <w:pPr>
              <w:spacing w:after="120" w:line="240" w:lineRule="auto"/>
              <w:jc w:val="right"/>
              <w:divId w:val="904951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Kính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gửi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: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1C" w:rsidRPr="009A571C" w:rsidRDefault="009A571C" w:rsidP="009A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ỦY BAN CHỨNG KHOÁN NHÀ NƯỚC</w:t>
            </w:r>
          </w:p>
          <w:p w:rsidR="009A571C" w:rsidRPr="009A571C" w:rsidRDefault="009A571C" w:rsidP="009A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A571C" w:rsidRPr="009A571C" w:rsidRDefault="009A571C" w:rsidP="009A571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CP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dựng-Địa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ốc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Cao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06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tháng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đầu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2014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A571C" w:rsidRPr="009A571C" w:rsidRDefault="009A571C" w:rsidP="009A57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cơ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bản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9A571C" w:rsidRPr="009A571C" w:rsidRDefault="009A571C" w:rsidP="009A571C">
      <w:pPr>
        <w:spacing w:after="12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A57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ty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Xây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dựng-Địa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ốc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Cao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su</w:t>
      </w:r>
      <w:proofErr w:type="spellEnd"/>
    </w:p>
    <w:p w:rsidR="009A571C" w:rsidRPr="009A571C" w:rsidRDefault="009A571C" w:rsidP="009A571C">
      <w:pPr>
        <w:spacing w:after="12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A57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trụ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: 402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Nguyễn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, F6, Q10, TP-HCM</w:t>
      </w:r>
    </w:p>
    <w:p w:rsidR="009A571C" w:rsidRPr="009A571C" w:rsidRDefault="009A571C" w:rsidP="009A571C">
      <w:pPr>
        <w:spacing w:after="12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A57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: (08) 38552037    Fax: (848)38577526</w:t>
      </w:r>
    </w:p>
    <w:p w:rsidR="009A571C" w:rsidRPr="009A571C" w:rsidRDefault="009A571C" w:rsidP="009A571C">
      <w:pPr>
        <w:spacing w:after="12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A57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Email: </w:t>
      </w:r>
      <w:hyperlink r:id="rId4" w:history="1">
        <w:r w:rsidRPr="009A571C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diaoccaosu@yahoo.com</w:t>
        </w:r>
      </w:hyperlink>
    </w:p>
    <w:p w:rsidR="009A571C" w:rsidRPr="009A571C" w:rsidRDefault="009A571C" w:rsidP="009A571C">
      <w:pPr>
        <w:spacing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A571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571C">
        <w:rPr>
          <w:rFonts w:ascii="Times New Roman" w:eastAsia="Times New Roman" w:hAnsi="Times New Roman" w:cs="Times New Roman"/>
          <w:sz w:val="26"/>
          <w:szCs w:val="26"/>
        </w:rPr>
        <w:t>  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Vốn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: 53.000.620.000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mươi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tỷ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sáu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trăm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mươi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nghìn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571C" w:rsidRPr="009A571C" w:rsidRDefault="009A571C" w:rsidP="009A571C">
      <w:pPr>
        <w:spacing w:after="12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A57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khoán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: RCC</w:t>
      </w:r>
    </w:p>
    <w:p w:rsidR="009A571C" w:rsidRPr="009A571C" w:rsidRDefault="009A571C" w:rsidP="009A57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I.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Hoạt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động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của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Hội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đồng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quản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trị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9A571C" w:rsidRPr="009A571C" w:rsidRDefault="009A571C" w:rsidP="009A571C">
      <w:pPr>
        <w:spacing w:after="12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họp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HĐQT: </w:t>
      </w:r>
    </w:p>
    <w:p w:rsidR="009A571C" w:rsidRPr="009A571C" w:rsidRDefault="009A571C" w:rsidP="009A571C">
      <w:pPr>
        <w:spacing w:after="120" w:line="240" w:lineRule="auto"/>
        <w:ind w:hanging="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06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tháng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đầu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2014, HĐQT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04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A571C" w:rsidRPr="009A571C" w:rsidRDefault="009A571C" w:rsidP="009A571C">
      <w:pPr>
        <w:spacing w:after="12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A57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06/ 3/ 2014: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HĐQT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trương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ốc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Cao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– Phnom Penh,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vốn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A571C"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9A571C" w:rsidRPr="009A571C" w:rsidRDefault="009A571C" w:rsidP="009A571C">
      <w:pPr>
        <w:spacing w:after="12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A57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24/ 4 /2014: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HĐQT </w:t>
      </w:r>
      <w:proofErr w:type="spellStart"/>
      <w:proofErr w:type="gramStart"/>
      <w:r w:rsidRPr="009A571C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proofErr w:type="gram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,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2014.</w:t>
      </w:r>
    </w:p>
    <w:p w:rsidR="009A571C" w:rsidRPr="009A571C" w:rsidRDefault="009A571C" w:rsidP="009A571C">
      <w:pPr>
        <w:spacing w:after="12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A57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07/ 5/ 2014: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A571C">
        <w:rPr>
          <w:rFonts w:ascii="Times New Roman" w:eastAsia="Times New Roman" w:hAnsi="Times New Roman" w:cs="Times New Roman"/>
          <w:sz w:val="26"/>
          <w:szCs w:val="26"/>
        </w:rPr>
        <w:t>HĐQT 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proofErr w:type="gram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vốn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HĐQT-BKS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Cao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Long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Tà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571C" w:rsidRPr="009A571C" w:rsidRDefault="009A571C" w:rsidP="009A571C">
      <w:pPr>
        <w:spacing w:after="12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A571C">
        <w:rPr>
          <w:rFonts w:ascii="Times New Roman" w:eastAsia="Times New Roman" w:hAnsi="Times New Roman" w:cs="Times New Roman"/>
          <w:sz w:val="14"/>
          <w:szCs w:val="14"/>
        </w:rPr>
        <w:t>              </w:t>
      </w:r>
      <w:r w:rsidRPr="009A571C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21/ 5/ 2014 HĐQT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tức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2013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đợt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A571C">
        <w:rPr>
          <w:rFonts w:ascii="Times New Roman" w:eastAsia="Times New Roman" w:hAnsi="Times New Roman" w:cs="Times New Roman"/>
          <w:sz w:val="15"/>
          <w:szCs w:val="15"/>
        </w:rPr>
        <w:br/>
      </w:r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9A571C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proofErr w:type="gram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thúc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đẩy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SXKD 06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2014.</w:t>
      </w:r>
    </w:p>
    <w:p w:rsidR="009A571C" w:rsidRPr="009A571C" w:rsidRDefault="009A571C" w:rsidP="009A57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9A571C" w:rsidRPr="009A571C" w:rsidRDefault="009A571C" w:rsidP="009A57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571C" w:rsidRPr="009A571C" w:rsidRDefault="009A571C" w:rsidP="009A57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439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900"/>
        <w:gridCol w:w="3600"/>
        <w:gridCol w:w="1620"/>
        <w:gridCol w:w="1800"/>
        <w:gridCol w:w="1519"/>
      </w:tblGrid>
      <w:tr w:rsidR="009A571C" w:rsidRPr="009A571C" w:rsidTr="009A571C">
        <w:trPr>
          <w:trHeight w:val="5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HĐQT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họp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tham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do</w:t>
            </w:r>
          </w:p>
        </w:tc>
      </w:tr>
      <w:tr w:rsidR="009A571C" w:rsidRPr="009A571C" w:rsidTr="009A571C">
        <w:trPr>
          <w:trHeight w:val="4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71C" w:rsidRPr="009A571C" w:rsidTr="009A571C">
        <w:trPr>
          <w:trHeight w:val="4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71C" w:rsidRPr="009A571C" w:rsidTr="009A571C">
        <w:trPr>
          <w:trHeight w:val="4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71C" w:rsidRPr="009A571C" w:rsidTr="009A571C">
        <w:trPr>
          <w:trHeight w:val="4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Mai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71C" w:rsidRPr="009A571C" w:rsidTr="009A571C">
        <w:trPr>
          <w:trHeight w:val="4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571C" w:rsidRPr="009A571C" w:rsidRDefault="009A571C" w:rsidP="009A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571C" w:rsidRPr="009A571C" w:rsidRDefault="009A571C" w:rsidP="009A57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giám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sát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HĐQT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Ban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Tổng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Giám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đốc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9A571C" w:rsidRPr="009A571C" w:rsidRDefault="009A571C" w:rsidP="009A571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HĐQT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xuyên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dõi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, 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HĐQT, Ban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soát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nâng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bối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nền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soát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rủi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ro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tuân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chặt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chẽ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RCC.</w:t>
      </w:r>
    </w:p>
    <w:p w:rsidR="009A571C" w:rsidRPr="009A571C" w:rsidRDefault="009A571C" w:rsidP="009A571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A571C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HĐQT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A571C" w:rsidRPr="009A571C" w:rsidRDefault="009A571C" w:rsidP="009A571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HĐQT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SXKD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đắn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kịp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phấn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đấu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SXKD 06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2014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sớm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niêm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yết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sàn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khoán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571C" w:rsidRPr="009A571C" w:rsidRDefault="009A571C" w:rsidP="009A571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luôn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bạch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,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571C" w:rsidRPr="009A571C" w:rsidRDefault="009A571C" w:rsidP="009A57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II.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Các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Nghị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quyết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/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Quyết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định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của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Hội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đồng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quản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trị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:</w:t>
      </w:r>
      <w:r w:rsidRPr="009A57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571C" w:rsidRPr="009A571C" w:rsidRDefault="009A571C" w:rsidP="009A57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   HĐQT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A571C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proofErr w:type="gram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9705" w:type="dxa"/>
        <w:jc w:val="center"/>
        <w:tblInd w:w="228" w:type="dxa"/>
        <w:tblCellMar>
          <w:left w:w="0" w:type="dxa"/>
          <w:right w:w="0" w:type="dxa"/>
        </w:tblCellMar>
        <w:tblLook w:val="04A0"/>
      </w:tblPr>
      <w:tblGrid>
        <w:gridCol w:w="708"/>
        <w:gridCol w:w="2552"/>
        <w:gridCol w:w="1530"/>
        <w:gridCol w:w="4915"/>
      </w:tblGrid>
      <w:tr w:rsidR="009A571C" w:rsidRPr="009A571C" w:rsidTr="009A571C">
        <w:trPr>
          <w:trHeight w:val="485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4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</w:p>
        </w:tc>
      </w:tr>
      <w:tr w:rsidR="009A571C" w:rsidRPr="009A571C" w:rsidTr="009A571C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02/14/NQ- HĐQT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06/ 3/ 2014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ốc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Cao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Phnom Penh,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đốc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 </w:t>
            </w:r>
            <w:proofErr w:type="gramEnd"/>
          </w:p>
        </w:tc>
      </w:tr>
      <w:tr w:rsidR="009A571C" w:rsidRPr="009A571C" w:rsidTr="009A571C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03/14/NQ- HĐQT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24/ 4/ 2014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tờ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2014</w:t>
            </w:r>
          </w:p>
        </w:tc>
      </w:tr>
      <w:tr w:rsidR="009A571C" w:rsidRPr="009A571C" w:rsidTr="009A571C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04/14/NQ- HĐQT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07/ 5/ 2014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HĐQT-BKS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Cao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Long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Tà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571C" w:rsidRPr="009A571C" w:rsidTr="009A571C">
        <w:trPr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05/14/NQ- HĐQT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21/ 5/ 2014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V/v Chi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tức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2013,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đợt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cuối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đẩy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SXKD 06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2014.</w:t>
            </w:r>
          </w:p>
        </w:tc>
      </w:tr>
    </w:tbl>
    <w:p w:rsidR="009A571C" w:rsidRPr="009A571C" w:rsidRDefault="009A571C" w:rsidP="009A57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A571C" w:rsidRPr="009A571C" w:rsidRDefault="009A571C" w:rsidP="009A571C">
      <w:pPr>
        <w:spacing w:after="12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III.</w:t>
      </w:r>
      <w:r w:rsidRPr="009A571C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             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Thay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đổi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thành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viên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Hội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đồng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quản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trị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9A571C" w:rsidRPr="009A571C" w:rsidRDefault="009A571C" w:rsidP="009A571C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01/01/2014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30/ 6/ </w:t>
      </w:r>
      <w:proofErr w:type="gramStart"/>
      <w:r w:rsidRPr="009A571C">
        <w:rPr>
          <w:rFonts w:ascii="Times New Roman" w:eastAsia="Times New Roman" w:hAnsi="Times New Roman" w:cs="Times New Roman"/>
          <w:sz w:val="26"/>
          <w:szCs w:val="26"/>
        </w:rPr>
        <w:t>2014  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proofErr w:type="gram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HĐQT</w:t>
      </w:r>
    </w:p>
    <w:p w:rsidR="009A571C" w:rsidRPr="009A571C" w:rsidRDefault="009A571C" w:rsidP="009A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IV.</w:t>
      </w: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Thay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đổi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danh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sách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về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NCLQ (so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với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tại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31/ 12/ 2013)</w:t>
      </w:r>
    </w:p>
    <w:p w:rsidR="009A571C" w:rsidRPr="009A571C" w:rsidRDefault="009A571C" w:rsidP="009A57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           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01/01/2014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30/ 6/ 2014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HĐQT</w:t>
      </w:r>
    </w:p>
    <w:p w:rsidR="009A571C" w:rsidRPr="009A571C" w:rsidRDefault="009A571C" w:rsidP="009A57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V.</w:t>
      </w: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Giao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dịch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của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đông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nội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bộ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/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đông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lớn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và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người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liên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quan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9A571C" w:rsidRPr="009A571C" w:rsidRDefault="009A571C" w:rsidP="009A571C">
      <w:pPr>
        <w:spacing w:after="12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Pr="009A571C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Danh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sách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lớn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nắm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giữ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5%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Vốn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lệ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RCC)</w:t>
      </w:r>
    </w:p>
    <w:tbl>
      <w:tblPr>
        <w:tblW w:w="9990" w:type="dxa"/>
        <w:tblInd w:w="-330" w:type="dxa"/>
        <w:tblCellMar>
          <w:left w:w="0" w:type="dxa"/>
          <w:right w:w="0" w:type="dxa"/>
        </w:tblCellMar>
        <w:tblLook w:val="04A0"/>
      </w:tblPr>
      <w:tblGrid>
        <w:gridCol w:w="671"/>
        <w:gridCol w:w="2839"/>
        <w:gridCol w:w="2070"/>
        <w:gridCol w:w="2160"/>
        <w:gridCol w:w="1170"/>
        <w:gridCol w:w="1080"/>
      </w:tblGrid>
      <w:tr w:rsidR="009A571C" w:rsidRPr="009A571C" w:rsidTr="009A571C">
        <w:trPr>
          <w:trHeight w:val="144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cổ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giấy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CMND/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sốGiấy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CNĐKKD,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A571C" w:rsidRPr="009A571C" w:rsidRDefault="009A571C" w:rsidP="009A571C">
            <w:pPr>
              <w:autoSpaceDE w:val="0"/>
              <w:autoSpaceDN w:val="0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cổ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Tỷ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lệ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hữu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(%)</w:t>
            </w:r>
          </w:p>
        </w:tc>
      </w:tr>
      <w:tr w:rsidR="009A571C" w:rsidRPr="009A571C" w:rsidTr="009A571C">
        <w:trPr>
          <w:trHeight w:val="14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12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12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Cao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spacing w:after="12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spacing w:after="12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290 Nam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Quận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spacing w:after="120" w:line="14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1.351.500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12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25,5%</w:t>
            </w:r>
          </w:p>
        </w:tc>
      </w:tr>
      <w:tr w:rsidR="009A571C" w:rsidRPr="009A571C" w:rsidTr="009A571C">
        <w:trPr>
          <w:trHeight w:val="14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12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12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Mai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023285132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spacing w:after="12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</w:rPr>
              <w:t xml:space="preserve">147/A 13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</w:rPr>
              <w:t>Đề</w:t>
            </w:r>
            <w:proofErr w:type="spellEnd"/>
            <w:r w:rsidRPr="009A57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</w:rPr>
              <w:t>Thám</w:t>
            </w:r>
            <w:proofErr w:type="spellEnd"/>
            <w:r w:rsidRPr="009A571C">
              <w:rPr>
                <w:rFonts w:ascii="Times New Roman" w:eastAsia="Times New Roman" w:hAnsi="Times New Roman" w:cs="Times New Roman"/>
              </w:rPr>
              <w:t xml:space="preserve">- P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9A57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</w:rPr>
              <w:t>Giang,Q</w:t>
            </w:r>
            <w:proofErr w:type="spellEnd"/>
            <w:r w:rsidRPr="009A571C">
              <w:rPr>
                <w:rFonts w:ascii="Times New Roman" w:eastAsia="Times New Roman" w:hAnsi="Times New Roman" w:cs="Times New Roman"/>
              </w:rPr>
              <w:t xml:space="preserve"> I- HCM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spacing w:after="120" w:line="3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A571C" w:rsidRPr="009A571C" w:rsidRDefault="009A571C" w:rsidP="009A571C">
            <w:pPr>
              <w:spacing w:after="120" w:line="14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436.538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12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8,24%</w:t>
            </w:r>
          </w:p>
        </w:tc>
      </w:tr>
      <w:tr w:rsidR="009A571C" w:rsidRPr="009A571C" w:rsidTr="009A571C">
        <w:trPr>
          <w:trHeight w:val="144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12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12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141944631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spacing w:after="12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</w:rPr>
              <w:t xml:space="preserve">35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9A571C">
              <w:rPr>
                <w:rFonts w:ascii="Times New Roman" w:eastAsia="Times New Roman" w:hAnsi="Times New Roman" w:cs="Times New Roman"/>
              </w:rPr>
              <w:t xml:space="preserve"> 17 KP3,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</w:rPr>
              <w:t>Thạnh</w:t>
            </w:r>
            <w:proofErr w:type="spellEnd"/>
            <w:r w:rsidRPr="009A57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</w:rPr>
              <w:t>Lộc</w:t>
            </w:r>
            <w:proofErr w:type="spellEnd"/>
            <w:r w:rsidRPr="009A571C">
              <w:rPr>
                <w:rFonts w:ascii="Times New Roman" w:eastAsia="Times New Roman" w:hAnsi="Times New Roman" w:cs="Times New Roman"/>
              </w:rPr>
              <w:t>, Q12, TP-HCM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spacing w:after="120" w:line="14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376.240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12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7,09%</w:t>
            </w:r>
          </w:p>
        </w:tc>
      </w:tr>
    </w:tbl>
    <w:p w:rsidR="009A571C" w:rsidRPr="009A571C" w:rsidRDefault="009A571C" w:rsidP="009A57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Danh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sách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tại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30/ 6/ 2014).</w:t>
      </w:r>
    </w:p>
    <w:p w:rsidR="009A571C" w:rsidRPr="009A571C" w:rsidRDefault="009A571C" w:rsidP="009A57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01/01/2014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30/ 6/ 2014 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sự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thay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đổi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danh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sách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quan</w:t>
      </w:r>
      <w:proofErr w:type="spellEnd"/>
    </w:p>
    <w:p w:rsidR="009A571C" w:rsidRPr="009A571C" w:rsidRDefault="009A571C" w:rsidP="009A571C">
      <w:p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Pr="009A571C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Giao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dịch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phiếu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theo</w:t>
      </w:r>
      <w:proofErr w:type="spellEnd"/>
      <w:proofErr w:type="gram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34 TT52/2012/TT-BTC:</w:t>
      </w:r>
    </w:p>
    <w:tbl>
      <w:tblPr>
        <w:tblW w:w="9990" w:type="dxa"/>
        <w:tblInd w:w="-330" w:type="dxa"/>
        <w:tblCellMar>
          <w:left w:w="0" w:type="dxa"/>
          <w:right w:w="0" w:type="dxa"/>
        </w:tblCellMar>
        <w:tblLook w:val="04A0"/>
      </w:tblPr>
      <w:tblGrid>
        <w:gridCol w:w="630"/>
        <w:gridCol w:w="1620"/>
        <w:gridCol w:w="1440"/>
        <w:gridCol w:w="1170"/>
        <w:gridCol w:w="810"/>
        <w:gridCol w:w="1170"/>
        <w:gridCol w:w="900"/>
        <w:gridCol w:w="2250"/>
      </w:tblGrid>
      <w:tr w:rsidR="009A571C" w:rsidRPr="009A571C" w:rsidTr="009A571C">
        <w:trPr>
          <w:trHeight w:val="143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hệ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với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CĐ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cổ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hữu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cổ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hữu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cuối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tăng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giảm</w:t>
            </w:r>
            <w:proofErr w:type="spellEnd"/>
          </w:p>
        </w:tc>
      </w:tr>
      <w:tr w:rsidR="009A571C" w:rsidRPr="009A571C" w:rsidTr="009A571C">
        <w:trPr>
          <w:trHeight w:val="14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12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spacing w:after="12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spacing w:after="12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spacing w:after="12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spacing w:after="12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spacing w:after="12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spacing w:after="12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spacing w:after="12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71C" w:rsidRPr="009A571C" w:rsidTr="009A571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A571C" w:rsidRPr="009A571C" w:rsidRDefault="009A571C" w:rsidP="009A57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phát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sinh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giao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dịch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9A571C" w:rsidRPr="009A571C" w:rsidRDefault="009A571C" w:rsidP="009A57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A571C" w:rsidRPr="009A571C" w:rsidRDefault="009A571C" w:rsidP="009A57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giao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dịch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khác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lớn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chính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ty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) </w:t>
      </w:r>
    </w:p>
    <w:tbl>
      <w:tblPr>
        <w:tblW w:w="9990" w:type="dxa"/>
        <w:tblInd w:w="-330" w:type="dxa"/>
        <w:tblCellMar>
          <w:left w:w="0" w:type="dxa"/>
          <w:right w:w="0" w:type="dxa"/>
        </w:tblCellMar>
        <w:tblLook w:val="04A0"/>
      </w:tblPr>
      <w:tblGrid>
        <w:gridCol w:w="630"/>
        <w:gridCol w:w="1890"/>
        <w:gridCol w:w="1170"/>
        <w:gridCol w:w="1980"/>
        <w:gridCol w:w="2070"/>
        <w:gridCol w:w="2250"/>
      </w:tblGrid>
      <w:tr w:rsidR="009A571C" w:rsidRPr="009A571C" w:rsidTr="009A571C">
        <w:trPr>
          <w:trHeight w:val="143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ty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cổ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hữu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cổ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hữu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cuối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tăng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giảm</w:t>
            </w:r>
            <w:proofErr w:type="spellEnd"/>
          </w:p>
        </w:tc>
      </w:tr>
      <w:tr w:rsidR="009A571C" w:rsidRPr="009A571C" w:rsidTr="009A571C">
        <w:trPr>
          <w:trHeight w:val="14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71C" w:rsidRPr="009A571C" w:rsidRDefault="009A571C" w:rsidP="009A571C">
            <w:pPr>
              <w:autoSpaceDE w:val="0"/>
              <w:autoSpaceDN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A571C" w:rsidRPr="009A571C" w:rsidRDefault="009A571C" w:rsidP="009A57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phát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sinh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giao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dịch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9A571C" w:rsidRPr="009A571C" w:rsidRDefault="009A571C" w:rsidP="009A57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3.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cần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lưu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ý </w:t>
      </w:r>
      <w:proofErr w:type="spell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>khác</w:t>
      </w:r>
      <w:proofErr w:type="spellEnd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9A571C" w:rsidRPr="009A571C" w:rsidRDefault="009A571C" w:rsidP="009A57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          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Tuân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chặt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chẽ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proofErr w:type="gramStart"/>
      <w:r w:rsidRPr="009A57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Pr="009A571C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proofErr w:type="gram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nghiêm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túc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buộc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tin.</w:t>
      </w:r>
    </w:p>
    <w:p w:rsidR="009A571C" w:rsidRPr="009A571C" w:rsidRDefault="009A571C" w:rsidP="009A57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71C"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A571C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9A571C">
        <w:rPr>
          <w:rFonts w:ascii="Times New Roman" w:eastAsia="Times New Roman" w:hAnsi="Times New Roman" w:cs="Times New Roman"/>
          <w:sz w:val="26"/>
          <w:szCs w:val="26"/>
        </w:rPr>
        <w:t xml:space="preserve"> ./</w:t>
      </w:r>
      <w:proofErr w:type="gramEnd"/>
      <w:r w:rsidRPr="009A571C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7"/>
        <w:gridCol w:w="4789"/>
      </w:tblGrid>
      <w:tr w:rsidR="009A571C" w:rsidRPr="009A571C" w:rsidTr="009A571C">
        <w:trPr>
          <w:trHeight w:val="2385"/>
        </w:trPr>
        <w:tc>
          <w:tcPr>
            <w:tcW w:w="5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1C" w:rsidRPr="009A571C" w:rsidRDefault="009A571C" w:rsidP="009A57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 </w:t>
            </w:r>
          </w:p>
          <w:p w:rsidR="009A571C" w:rsidRPr="009A571C" w:rsidRDefault="009A571C" w:rsidP="009A57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Nơi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nhận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: </w:t>
            </w:r>
          </w:p>
          <w:p w:rsidR="009A571C" w:rsidRPr="009A571C" w:rsidRDefault="009A571C" w:rsidP="009A571C">
            <w:pPr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Symbol" w:eastAsia="Times New Roman" w:hAnsi="Symbol" w:cs="Times New Roman"/>
                <w:sz w:val="16"/>
                <w:szCs w:val="16"/>
              </w:rPr>
              <w:t></w:t>
            </w:r>
            <w:r w:rsidRPr="009A57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571C" w:rsidRPr="009A571C" w:rsidRDefault="009A571C" w:rsidP="009A571C">
            <w:pPr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Symbol" w:eastAsia="Times New Roman" w:hAnsi="Symbol" w:cs="Times New Roman"/>
                <w:sz w:val="16"/>
                <w:szCs w:val="16"/>
              </w:rPr>
              <w:t></w:t>
            </w:r>
            <w:r w:rsidRPr="009A57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VPHĐQT, VT.</w:t>
            </w:r>
          </w:p>
        </w:tc>
        <w:tc>
          <w:tcPr>
            <w:tcW w:w="5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1C" w:rsidRPr="009A571C" w:rsidRDefault="009A571C" w:rsidP="009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TM. HỘI ĐỒNG QUẢN TRỊ</w:t>
            </w:r>
          </w:p>
          <w:p w:rsidR="009A571C" w:rsidRPr="009A571C" w:rsidRDefault="009A571C" w:rsidP="009A57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</w:p>
          <w:p w:rsidR="009A571C" w:rsidRPr="009A571C" w:rsidRDefault="009A571C" w:rsidP="009A57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 </w:t>
            </w:r>
          </w:p>
          <w:p w:rsidR="009A571C" w:rsidRPr="009A571C" w:rsidRDefault="009A571C" w:rsidP="009A57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Đã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:rsidR="009A571C" w:rsidRPr="009A571C" w:rsidRDefault="009A571C" w:rsidP="009A57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 </w:t>
            </w:r>
          </w:p>
          <w:p w:rsidR="009A571C" w:rsidRPr="009A571C" w:rsidRDefault="009A571C" w:rsidP="009A57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TRẦN XUÂN CHƯƠNG</w:t>
            </w:r>
          </w:p>
        </w:tc>
      </w:tr>
    </w:tbl>
    <w:p w:rsidR="00875166" w:rsidRDefault="00875166"/>
    <w:sectPr w:rsidR="00875166" w:rsidSect="0087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571C"/>
    <w:rsid w:val="000A55A6"/>
    <w:rsid w:val="0029653B"/>
    <w:rsid w:val="002F71D9"/>
    <w:rsid w:val="003C542B"/>
    <w:rsid w:val="00493CE0"/>
    <w:rsid w:val="00602CB7"/>
    <w:rsid w:val="00654EB1"/>
    <w:rsid w:val="007C5586"/>
    <w:rsid w:val="00875166"/>
    <w:rsid w:val="009A571C"/>
    <w:rsid w:val="00E27BE9"/>
    <w:rsid w:val="00E9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66"/>
  </w:style>
  <w:style w:type="paragraph" w:styleId="Heading2">
    <w:name w:val="heading 2"/>
    <w:basedOn w:val="Normal"/>
    <w:link w:val="Heading2Char"/>
    <w:uiPriority w:val="9"/>
    <w:qFormat/>
    <w:rsid w:val="009A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57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A5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6506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098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14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557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97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5196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6628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9542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095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3200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7045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36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944">
                      <w:marLeft w:val="567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6630">
                      <w:marLeft w:val="567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9797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5481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9391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221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974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5213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6861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19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89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08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37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853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603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9356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09132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8805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0084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813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9499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1091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489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8230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6169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5283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171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5988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935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9394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8048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48155">
                      <w:marLeft w:val="0"/>
                      <w:marRight w:val="0"/>
                      <w:marTop w:val="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6059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8704">
                      <w:marLeft w:val="108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7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30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754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3721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0586">
                      <w:marLeft w:val="284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01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339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1589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20866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2664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5022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6729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26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723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44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469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0909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6503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60741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42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0760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0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9589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154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4036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659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702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6081">
                      <w:marLeft w:val="36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05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6539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574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1428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9541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0333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8456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6566">
                      <w:marLeft w:val="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579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135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55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2421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4769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29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84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019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391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39631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2554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81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45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8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0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occaos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sangnt</dc:creator>
  <cp:lastModifiedBy>sangnt</cp:lastModifiedBy>
  <cp:revision>1</cp:revision>
  <dcterms:created xsi:type="dcterms:W3CDTF">2015-02-04T02:49:00Z</dcterms:created>
  <dcterms:modified xsi:type="dcterms:W3CDTF">2015-02-04T02:49:00Z</dcterms:modified>
</cp:coreProperties>
</file>