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CellMar>
          <w:left w:w="0" w:type="dxa"/>
          <w:right w:w="0" w:type="dxa"/>
        </w:tblCellMar>
        <w:tblLook w:val="04A0"/>
      </w:tblPr>
      <w:tblGrid>
        <w:gridCol w:w="4143"/>
        <w:gridCol w:w="5502"/>
      </w:tblGrid>
      <w:tr w:rsidR="00DF7746" w:rsidRPr="00DF7746" w:rsidTr="00DF7746">
        <w:trPr>
          <w:jc w:val="center"/>
        </w:trPr>
        <w:tc>
          <w:tcPr>
            <w:tcW w:w="41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46" w:rsidRPr="00DF7746" w:rsidRDefault="00DF7746" w:rsidP="00DF7746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CÔNG TY CỔ PHẦN XE KHÁCH</w:t>
            </w:r>
          </w:p>
        </w:tc>
        <w:tc>
          <w:tcPr>
            <w:tcW w:w="54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46" w:rsidRPr="00DF7746" w:rsidRDefault="00DF7746" w:rsidP="00DF7746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CỘNG HÒA XÃ HỘI CHỦ NGHĨA VIỆT NAM</w:t>
            </w:r>
          </w:p>
        </w:tc>
      </w:tr>
      <w:tr w:rsidR="00DF7746" w:rsidRPr="00DF7746" w:rsidTr="00DF7746">
        <w:trPr>
          <w:jc w:val="center"/>
        </w:trPr>
        <w:tc>
          <w:tcPr>
            <w:tcW w:w="41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46" w:rsidRPr="00DF7746" w:rsidRDefault="00DF7746" w:rsidP="00DF7746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THÁI BÌNH</w:t>
            </w:r>
          </w:p>
        </w:tc>
        <w:tc>
          <w:tcPr>
            <w:tcW w:w="54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Độc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lập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-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Tự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do -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Hạnh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phúc</w:t>
            </w:r>
            <w:proofErr w:type="spellEnd"/>
          </w:p>
        </w:tc>
      </w:tr>
      <w:tr w:rsidR="00DF7746" w:rsidRPr="00DF7746" w:rsidTr="00DF7746">
        <w:trPr>
          <w:jc w:val="center"/>
        </w:trPr>
        <w:tc>
          <w:tcPr>
            <w:tcW w:w="41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46" w:rsidRPr="00DF7746" w:rsidRDefault="00DF7746" w:rsidP="00DF7746">
            <w:pPr>
              <w:spacing w:before="120" w:after="100" w:afterAutospacing="1" w:line="30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Số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 05/BC-HĐQT</w:t>
            </w:r>
          </w:p>
        </w:tc>
        <w:tc>
          <w:tcPr>
            <w:tcW w:w="5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20" w:after="100" w:afterAutospacing="1" w:line="30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DF77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           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Thái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Bình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ngày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30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tháng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7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năm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2014</w:t>
            </w:r>
          </w:p>
        </w:tc>
      </w:tr>
    </w:tbl>
    <w:p w:rsidR="00DF7746" w:rsidRPr="00DF7746" w:rsidRDefault="00DF7746" w:rsidP="00DF77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774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7746" w:rsidRPr="00DF7746" w:rsidRDefault="00DF7746" w:rsidP="00DF77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7746">
        <w:rPr>
          <w:rFonts w:ascii="Times New Roman" w:eastAsia="Times New Roman" w:hAnsi="Times New Roman" w:cs="Times New Roman"/>
          <w:b/>
          <w:bCs/>
          <w:sz w:val="30"/>
          <w:szCs w:val="30"/>
        </w:rPr>
        <w:t>BÁO CÁO TÌNH HÌNH QUẢN TRỊ CÔNG TY</w:t>
      </w:r>
    </w:p>
    <w:p w:rsidR="00DF7746" w:rsidRPr="00DF7746" w:rsidRDefault="00DF7746" w:rsidP="00DF77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774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6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30"/>
          <w:szCs w:val="30"/>
        </w:rPr>
        <w:t>tháng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30"/>
          <w:szCs w:val="30"/>
        </w:rPr>
        <w:t>đầu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30"/>
          <w:szCs w:val="30"/>
        </w:rPr>
        <w:t>năm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2014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690"/>
        <w:gridCol w:w="6"/>
      </w:tblGrid>
      <w:tr w:rsidR="00DF7746" w:rsidRPr="00DF7746" w:rsidTr="00DF7746">
        <w:trPr>
          <w:gridAfter w:val="1"/>
          <w:tblCellSpacing w:w="0" w:type="dxa"/>
        </w:trPr>
        <w:tc>
          <w:tcPr>
            <w:tcW w:w="3690" w:type="dxa"/>
            <w:vAlign w:val="center"/>
            <w:hideMark/>
          </w:tcPr>
          <w:p w:rsidR="00DF7746" w:rsidRPr="00DF7746" w:rsidRDefault="00DF7746" w:rsidP="00DF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F7746" w:rsidRPr="00DF7746" w:rsidTr="00DF7746">
        <w:trPr>
          <w:tblCellSpacing w:w="0" w:type="dxa"/>
        </w:trPr>
        <w:tc>
          <w:tcPr>
            <w:tcW w:w="0" w:type="auto"/>
            <w:vAlign w:val="center"/>
            <w:hideMark/>
          </w:tcPr>
          <w:p w:rsidR="00DF7746" w:rsidRPr="00DF7746" w:rsidRDefault="00DF7746" w:rsidP="00DF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7746" w:rsidRPr="00DF7746" w:rsidRDefault="00DF7746" w:rsidP="00DF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7746" w:rsidRPr="00DF7746" w:rsidRDefault="00DF7746" w:rsidP="00DF7746">
      <w:pPr>
        <w:spacing w:before="100" w:beforeAutospacing="1" w:after="100" w:afterAutospacing="1" w:line="240" w:lineRule="auto"/>
        <w:ind w:firstLine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746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DF7746" w:rsidRPr="00DF7746" w:rsidRDefault="00DF7746" w:rsidP="00DF7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746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DF7746" w:rsidRPr="00DF7746" w:rsidRDefault="00DF7746" w:rsidP="00DF7746">
      <w:pPr>
        <w:spacing w:before="100" w:beforeAutospacing="1" w:after="100" w:afterAutospacing="1" w:line="240" w:lineRule="auto"/>
        <w:ind w:firstLine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77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Kính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gửi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  <w:r w:rsidRPr="00DF77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8"/>
          <w:szCs w:val="28"/>
        </w:rPr>
        <w:t>Uỷ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ban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8"/>
          <w:szCs w:val="28"/>
        </w:rPr>
        <w:t>chứng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8"/>
          <w:szCs w:val="28"/>
        </w:rPr>
        <w:t>khoán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8"/>
          <w:szCs w:val="28"/>
        </w:rPr>
        <w:t>Nhà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8"/>
          <w:szCs w:val="28"/>
        </w:rPr>
        <w:t>nước</w:t>
      </w:r>
      <w:proofErr w:type="spellEnd"/>
    </w:p>
    <w:p w:rsidR="00DF7746" w:rsidRPr="00DF7746" w:rsidRDefault="00DF7746" w:rsidP="00DF7746">
      <w:pPr>
        <w:spacing w:before="100" w:beforeAutospacing="1" w:after="100" w:afterAutospacing="1" w:line="240" w:lineRule="auto"/>
        <w:ind w:left="1710"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7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 -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8"/>
          <w:szCs w:val="28"/>
        </w:rPr>
        <w:t>Sở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8"/>
          <w:szCs w:val="28"/>
        </w:rPr>
        <w:t>giao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8"/>
          <w:szCs w:val="28"/>
        </w:rPr>
        <w:t>dịch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8"/>
          <w:szCs w:val="28"/>
        </w:rPr>
        <w:t>chứng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8"/>
          <w:szCs w:val="28"/>
        </w:rPr>
        <w:t>khoán</w:t>
      </w:r>
      <w:proofErr w:type="spellEnd"/>
    </w:p>
    <w:p w:rsidR="00DF7746" w:rsidRPr="00DF7746" w:rsidRDefault="00DF7746" w:rsidP="00DF774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746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DF7746" w:rsidRPr="00DF7746" w:rsidRDefault="00DF7746" w:rsidP="00DF774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Tên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ty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chúng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Công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ty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cổ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phần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proofErr w:type="gram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xe</w:t>
      </w:r>
      <w:proofErr w:type="spellEnd"/>
      <w:proofErr w:type="gram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khách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Thái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Bình</w:t>
      </w:r>
      <w:proofErr w:type="spellEnd"/>
    </w:p>
    <w:p w:rsidR="00DF7746" w:rsidRPr="00DF7746" w:rsidRDefault="00DF7746" w:rsidP="00DF774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Địa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trụ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sở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167,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phố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Trần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Thái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Tông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phường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Trần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Hưng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Đạo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phố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Thái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Bình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tỉnh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Thái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Bình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F7746" w:rsidRPr="00DF7746" w:rsidRDefault="00DF7746" w:rsidP="00DF774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Điện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thoại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>: 0363.845.988 – Fax: 0363.831.480</w:t>
      </w:r>
    </w:p>
    <w:p w:rsidR="00DF7746" w:rsidRPr="00DF7746" w:rsidRDefault="00DF7746" w:rsidP="00DF774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- Email: </w:t>
      </w:r>
      <w:hyperlink r:id="rId4" w:history="1">
        <w:r w:rsidRPr="00DF7746">
          <w:rPr>
            <w:rFonts w:ascii="Times New Roman" w:eastAsia="Times New Roman" w:hAnsi="Times New Roman" w:cs="Times New Roman"/>
            <w:color w:val="0000FF"/>
            <w:sz w:val="26"/>
            <w:u w:val="single"/>
          </w:rPr>
          <w:t>xekhachthaibinh@gmail.com</w:t>
        </w:r>
      </w:hyperlink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F7746" w:rsidRPr="00DF7746" w:rsidRDefault="00DF7746" w:rsidP="00DF774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Vốn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lệ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>: 14.125.054.116 VNĐ</w:t>
      </w:r>
    </w:p>
    <w:p w:rsidR="00DF7746" w:rsidRPr="00DF7746" w:rsidRDefault="00DF7746" w:rsidP="00DF774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Mã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khoán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F7746" w:rsidRPr="00DF7746" w:rsidRDefault="00DF7746" w:rsidP="00DF774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I.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Hoạt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động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của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Hội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đồng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quản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trị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DF7746" w:rsidRPr="00DF7746" w:rsidRDefault="00DF7746" w:rsidP="00DF774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1.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Các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cuộc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họp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của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Hội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đồng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quản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trị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8"/>
        <w:gridCol w:w="2520"/>
        <w:gridCol w:w="1890"/>
        <w:gridCol w:w="1260"/>
        <w:gridCol w:w="990"/>
        <w:gridCol w:w="1690"/>
      </w:tblGrid>
      <w:tr w:rsidR="00DF7746" w:rsidRPr="00DF7746" w:rsidTr="00DF7746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Thành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viên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HĐQT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Chức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vụ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buổi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tham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dự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Tỷ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lệ</w:t>
            </w:r>
            <w:proofErr w:type="spellEnd"/>
          </w:p>
        </w:tc>
        <w:tc>
          <w:tcPr>
            <w:tcW w:w="1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Lý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do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không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tham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dự</w:t>
            </w:r>
            <w:proofErr w:type="spellEnd"/>
          </w:p>
        </w:tc>
      </w:tr>
      <w:tr w:rsidR="00DF7746" w:rsidRPr="00DF7746" w:rsidTr="00DF7746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46">
              <w:rPr>
                <w:rFonts w:ascii="Times New Roman" w:eastAsia="Times New Roman" w:hAnsi="Times New Roman" w:cs="Times New Roman"/>
                <w:sz w:val="26"/>
                <w:szCs w:val="26"/>
              </w:rPr>
              <w:t>Phan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6"/>
                <w:szCs w:val="26"/>
              </w:rPr>
              <w:t>Hùng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46"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6"/>
                <w:szCs w:val="26"/>
              </w:rPr>
              <w:t>tịch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HĐQT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6"/>
                <w:szCs w:val="26"/>
              </w:rPr>
              <w:t>4/4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F7746" w:rsidRPr="00DF7746" w:rsidTr="00DF7746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46"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6"/>
                <w:szCs w:val="26"/>
              </w:rPr>
              <w:t>Trung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46">
              <w:rPr>
                <w:rFonts w:ascii="Times New Roman" w:eastAsia="Times New Roman" w:hAnsi="Times New Roman" w:cs="Times New Roman"/>
                <w:sz w:val="26"/>
                <w:szCs w:val="26"/>
              </w:rPr>
              <w:t>Phó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6"/>
                <w:szCs w:val="26"/>
              </w:rPr>
              <w:t>tịch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HĐQT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6"/>
                <w:szCs w:val="26"/>
              </w:rPr>
              <w:t>4/4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F7746" w:rsidRPr="00DF7746" w:rsidTr="00DF7746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46">
              <w:rPr>
                <w:rFonts w:ascii="Times New Roman" w:eastAsia="Times New Roman" w:hAnsi="Times New Roman" w:cs="Times New Roman"/>
                <w:sz w:val="26"/>
                <w:szCs w:val="26"/>
              </w:rPr>
              <w:t>Đào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6"/>
                <w:szCs w:val="26"/>
              </w:rPr>
              <w:t>Tuyết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6"/>
                <w:szCs w:val="26"/>
              </w:rPr>
              <w:t>Thanh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46">
              <w:rPr>
                <w:rFonts w:ascii="Times New Roman" w:eastAsia="Times New Roman" w:hAnsi="Times New Roman" w:cs="Times New Roman"/>
                <w:sz w:val="26"/>
                <w:szCs w:val="26"/>
              </w:rPr>
              <w:t>Phó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6"/>
                <w:szCs w:val="26"/>
              </w:rPr>
              <w:t>tịch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HĐQT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6"/>
                <w:szCs w:val="26"/>
              </w:rPr>
              <w:t>4/4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F7746" w:rsidRPr="00DF7746" w:rsidTr="00DF7746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46">
              <w:rPr>
                <w:rFonts w:ascii="Times New Roman" w:eastAsia="Times New Roman" w:hAnsi="Times New Roman" w:cs="Times New Roman"/>
                <w:sz w:val="26"/>
                <w:szCs w:val="26"/>
              </w:rPr>
              <w:t>Bùi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6"/>
                <w:szCs w:val="26"/>
              </w:rPr>
              <w:t>Duy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6"/>
                <w:szCs w:val="26"/>
              </w:rPr>
              <w:t>Hoàn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46">
              <w:rPr>
                <w:rFonts w:ascii="Times New Roman" w:eastAsia="Times New Roman" w:hAnsi="Times New Roman" w:cs="Times New Roman"/>
                <w:sz w:val="26"/>
                <w:szCs w:val="26"/>
              </w:rPr>
              <w:t>Uỷ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HĐQT –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6"/>
                <w:szCs w:val="26"/>
              </w:rPr>
              <w:t>Giám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6"/>
                <w:szCs w:val="26"/>
              </w:rPr>
              <w:t>đốc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6"/>
                <w:szCs w:val="26"/>
              </w:rPr>
              <w:t>4/4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F7746" w:rsidRPr="00DF7746" w:rsidTr="00DF7746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46">
              <w:rPr>
                <w:rFonts w:ascii="Times New Roman" w:eastAsia="Times New Roman" w:hAnsi="Times New Roman" w:cs="Times New Roman"/>
                <w:sz w:val="26"/>
                <w:szCs w:val="26"/>
              </w:rPr>
              <w:t>Phạm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6"/>
                <w:szCs w:val="26"/>
              </w:rPr>
              <w:t>Hương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46">
              <w:rPr>
                <w:rFonts w:ascii="Times New Roman" w:eastAsia="Times New Roman" w:hAnsi="Times New Roman" w:cs="Times New Roman"/>
                <w:sz w:val="26"/>
                <w:szCs w:val="26"/>
              </w:rPr>
              <w:t>Uỷ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6"/>
                <w:szCs w:val="26"/>
              </w:rPr>
              <w:t>4/4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DF7746" w:rsidRPr="00DF7746" w:rsidRDefault="00DF7746" w:rsidP="00DF7746">
      <w:pPr>
        <w:spacing w:before="120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2.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Hoạt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động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giám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sát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của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HĐQT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đối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với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Giám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đốc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công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ty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DF7746" w:rsidRPr="00DF7746" w:rsidRDefault="00DF7746" w:rsidP="00DF7746">
      <w:pPr>
        <w:spacing w:before="100" w:beforeAutospacing="1" w:after="100" w:afterAutospacing="1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quản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trị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ty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thường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xuyên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giám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sát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chặt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chẽ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Ban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lãnh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đạo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ty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đúng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hướng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dẫn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đạo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Tổng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ty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Đầu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tư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vốn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nước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(SCIC)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chế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do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quản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trị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xây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dựng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phê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chuẩn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6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đầu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2014,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quản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trị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ty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nỗ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lực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tốt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năng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mình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phối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Ban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lãnh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đạo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ty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tốt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mọi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trương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sách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Đảng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luật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nước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chế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ty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quản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trị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ty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tâm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hiệp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lực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đoàn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thống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nhất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tích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cực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quản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hoạt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ty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Cổ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F7746">
        <w:rPr>
          <w:rFonts w:ascii="Times New Roman" w:eastAsia="Times New Roman" w:hAnsi="Times New Roman" w:cs="Times New Roman"/>
          <w:sz w:val="26"/>
          <w:szCs w:val="26"/>
        </w:rPr>
        <w:t>xe</w:t>
      </w:r>
      <w:proofErr w:type="spellEnd"/>
      <w:proofErr w:type="gram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khách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Thái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Bình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quản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trị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ty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luôn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cập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nhật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tình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ty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qua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báo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cáo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trực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cuộc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họp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giao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ban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lãnh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đạo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ty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đột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F7746" w:rsidRPr="00DF7746" w:rsidRDefault="00DF7746" w:rsidP="00DF7746">
      <w:pPr>
        <w:spacing w:before="100" w:beforeAutospacing="1" w:after="100" w:afterAutospacing="1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quản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trị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ty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nghiêm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túc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sát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sao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giám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sát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hoạt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cảu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Ban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Giám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đốc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nhằm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đảm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bảo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tổ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hoạt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hiệu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Pr="00DF7746">
        <w:rPr>
          <w:rFonts w:ascii="Times New Roman" w:eastAsia="Times New Roman" w:hAnsi="Times New Roman" w:cs="Times New Roman"/>
          <w:sz w:val="26"/>
          <w:szCs w:val="26"/>
        </w:rPr>
        <w:t>Hoàn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hoạch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ra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6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đầu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DF7746" w:rsidRPr="00DF7746" w:rsidRDefault="00DF7746" w:rsidP="00DF774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3.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Các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hoạt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động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của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tiểu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ban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thuộc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Hội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đồng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quản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trị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Công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ty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</w:t>
      </w:r>
      <w:r w:rsidRPr="00DF7746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DF7746" w:rsidRDefault="00DF7746" w:rsidP="00DF774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II.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Các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Nghị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quyết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/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Quyết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định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của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Hội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đồng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quản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trị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Công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ty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DF7746" w:rsidRDefault="00DF7746" w:rsidP="00DF774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F7746" w:rsidRPr="00DF7746" w:rsidRDefault="00DF7746" w:rsidP="00DF774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5" w:type="dxa"/>
        <w:tblCellMar>
          <w:left w:w="0" w:type="dxa"/>
          <w:right w:w="0" w:type="dxa"/>
        </w:tblCellMar>
        <w:tblLook w:val="04A0"/>
      </w:tblPr>
      <w:tblGrid>
        <w:gridCol w:w="670"/>
        <w:gridCol w:w="3409"/>
        <w:gridCol w:w="1708"/>
        <w:gridCol w:w="3498"/>
      </w:tblGrid>
      <w:tr w:rsidR="00DF7746" w:rsidRPr="00DF7746" w:rsidTr="00DF7746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STT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Nghị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quyết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Quyết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Ngày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ban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3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dung</w:t>
            </w:r>
          </w:p>
        </w:tc>
      </w:tr>
      <w:tr w:rsidR="00DF7746" w:rsidRPr="00DF7746" w:rsidTr="00DF7746">
        <w:tc>
          <w:tcPr>
            <w:tcW w:w="6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20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20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01/BB-HĐQT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20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23/12/2013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46" w:rsidRPr="00DF7746" w:rsidRDefault="00DF7746" w:rsidP="00DF7746">
            <w:pPr>
              <w:spacing w:before="12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Bầu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danh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HĐQT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Giám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đốc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DF7746" w:rsidRPr="00DF7746" w:rsidTr="00DF7746">
        <w:trPr>
          <w:trHeight w:val="458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20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20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01/NQ-HĐQT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7746" w:rsidRPr="00DF7746" w:rsidRDefault="00DF7746" w:rsidP="00DF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7746" w:rsidRPr="00DF7746" w:rsidRDefault="00DF7746" w:rsidP="00DF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7746" w:rsidRPr="00DF7746" w:rsidTr="00DF7746">
        <w:trPr>
          <w:trHeight w:val="557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02/BB-HĐQT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03/3/2014</w:t>
            </w:r>
          </w:p>
        </w:tc>
        <w:tc>
          <w:tcPr>
            <w:tcW w:w="35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46" w:rsidRPr="00DF7746" w:rsidRDefault="00DF7746" w:rsidP="00DF7746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Đánh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kêt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quả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SXKD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2013,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hoạch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SXKD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2014,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thư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  <w:proofErr w:type="spellEnd"/>
          </w:p>
        </w:tc>
      </w:tr>
      <w:tr w:rsidR="00DF7746" w:rsidRPr="00DF7746" w:rsidTr="00DF7746">
        <w:trPr>
          <w:trHeight w:val="620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02/NQ-HĐQT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7746" w:rsidRPr="00DF7746" w:rsidRDefault="00DF7746" w:rsidP="00DF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7746" w:rsidRPr="00DF7746" w:rsidRDefault="00DF7746" w:rsidP="00DF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7746" w:rsidRPr="00DF7746" w:rsidTr="00DF7746">
        <w:trPr>
          <w:trHeight w:val="759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DF7746" w:rsidRPr="00DF7746" w:rsidRDefault="00DF7746" w:rsidP="00DF774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03/NQ-HĐQT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19/5/2014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46" w:rsidRPr="00DF7746" w:rsidRDefault="00DF7746" w:rsidP="00DF7746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cam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nợ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trả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nợ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thay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nợ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SCIC</w:t>
            </w:r>
          </w:p>
        </w:tc>
      </w:tr>
      <w:tr w:rsidR="00DF7746" w:rsidRPr="00DF7746" w:rsidTr="00DF7746">
        <w:trPr>
          <w:trHeight w:val="759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03/BB-HĐQT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21/5/2014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46" w:rsidRPr="00DF7746" w:rsidRDefault="00DF7746" w:rsidP="00DF7746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vay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vốn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ngắn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hạn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dùng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đảm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tiền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vay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Uỷ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Giám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đốc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tín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đảm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tiền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vay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7746" w:rsidRPr="00DF7746" w:rsidTr="00DF7746">
        <w:trPr>
          <w:trHeight w:val="503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04/BB-HĐQT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17/6/2014</w:t>
            </w:r>
          </w:p>
        </w:tc>
        <w:tc>
          <w:tcPr>
            <w:tcW w:w="35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46" w:rsidRPr="00DF7746" w:rsidRDefault="00DF7746" w:rsidP="00DF7746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Nghe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cáo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nhanh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Quý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quý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II,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phương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hướng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SXKD 6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cuối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</w:t>
            </w:r>
          </w:p>
        </w:tc>
      </w:tr>
      <w:tr w:rsidR="00DF7746" w:rsidRPr="00DF7746" w:rsidTr="00DF7746">
        <w:trPr>
          <w:trHeight w:val="692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04/NQ-HĐQT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7746" w:rsidRPr="00DF7746" w:rsidRDefault="00DF7746" w:rsidP="00DF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7746" w:rsidRPr="00DF7746" w:rsidRDefault="00DF7746" w:rsidP="00DF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7746" w:rsidRPr="00DF7746" w:rsidRDefault="00DF7746" w:rsidP="00DF7746">
      <w:pPr>
        <w:spacing w:before="120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III.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Thay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đổi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danh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sách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về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người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có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liên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quan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của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Công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ty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đại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chúng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proofErr w:type="gram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theo</w:t>
      </w:r>
      <w:proofErr w:type="spellEnd"/>
      <w:proofErr w:type="gram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quy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định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tại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khoản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34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Điều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6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Luật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Chứng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khoán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</w:t>
      </w:r>
      <w:r w:rsidRPr="00DF7746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thay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đổi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>)</w:t>
      </w:r>
    </w:p>
    <w:tbl>
      <w:tblPr>
        <w:tblW w:w="9630" w:type="dxa"/>
        <w:tblInd w:w="-252" w:type="dxa"/>
        <w:tblCellMar>
          <w:left w:w="0" w:type="dxa"/>
          <w:right w:w="0" w:type="dxa"/>
        </w:tblCellMar>
        <w:tblLook w:val="04A0"/>
      </w:tblPr>
      <w:tblGrid>
        <w:gridCol w:w="510"/>
        <w:gridCol w:w="1139"/>
        <w:gridCol w:w="909"/>
        <w:gridCol w:w="881"/>
        <w:gridCol w:w="1030"/>
        <w:gridCol w:w="1030"/>
        <w:gridCol w:w="1030"/>
        <w:gridCol w:w="648"/>
        <w:gridCol w:w="853"/>
        <w:gridCol w:w="869"/>
        <w:gridCol w:w="731"/>
      </w:tblGrid>
      <w:tr w:rsidR="00DF7746" w:rsidRPr="00DF7746" w:rsidTr="00DF7746"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  <w:proofErr w:type="spellEnd"/>
          </w:p>
        </w:tc>
        <w:tc>
          <w:tcPr>
            <w:tcW w:w="1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chức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nhân</w:t>
            </w:r>
            <w:proofErr w:type="spellEnd"/>
          </w:p>
        </w:tc>
        <w:tc>
          <w:tcPr>
            <w:tcW w:w="9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Tài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khoản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giao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dịch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chứng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khoán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nếu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có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Chức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vụ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tại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Công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nếu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có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CMND/ ĐKKD</w:t>
            </w:r>
          </w:p>
        </w:tc>
        <w:tc>
          <w:tcPr>
            <w:tcW w:w="9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Ngày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cấp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CMND/ ĐKKD</w:t>
            </w:r>
          </w:p>
        </w:tc>
        <w:tc>
          <w:tcPr>
            <w:tcW w:w="9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Nơi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cấp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CMND/ ĐKKD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Địa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Thời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điểm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bắt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đầu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là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có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liên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</w:t>
            </w:r>
            <w:proofErr w:type="spellEnd"/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Thời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điểm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không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còn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là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có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liên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</w:t>
            </w:r>
            <w:proofErr w:type="spellEnd"/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Lý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</w:t>
            </w:r>
          </w:p>
        </w:tc>
      </w:tr>
      <w:tr w:rsidR="00DF7746" w:rsidRPr="00DF7746" w:rsidTr="00DF7746">
        <w:tc>
          <w:tcPr>
            <w:tcW w:w="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7746" w:rsidRPr="00DF7746" w:rsidTr="00DF7746">
        <w:tc>
          <w:tcPr>
            <w:tcW w:w="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7746" w:rsidRPr="00DF7746" w:rsidTr="00DF7746">
        <w:tc>
          <w:tcPr>
            <w:tcW w:w="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7746" w:rsidRPr="00DF7746" w:rsidTr="00DF7746">
        <w:tc>
          <w:tcPr>
            <w:tcW w:w="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7746" w:rsidRPr="00DF7746" w:rsidTr="00DF7746">
        <w:tc>
          <w:tcPr>
            <w:tcW w:w="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7746" w:rsidRPr="00DF7746" w:rsidTr="00DF7746">
        <w:tc>
          <w:tcPr>
            <w:tcW w:w="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F7746" w:rsidRPr="00DF7746" w:rsidRDefault="00DF7746" w:rsidP="00DF7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 </w:t>
      </w:r>
    </w:p>
    <w:p w:rsidR="00DF7746" w:rsidRPr="00DF7746" w:rsidRDefault="00DF7746" w:rsidP="00DF7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IV.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Giao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dịch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của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cổ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đông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nội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bộ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và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người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có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liên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quan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DF7746" w:rsidRPr="00DF7746" w:rsidRDefault="00DF7746" w:rsidP="00DF774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1.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Danh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sách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cổ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đông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nội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bộ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và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người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có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liên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quan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tbl>
      <w:tblPr>
        <w:tblW w:w="9825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461"/>
        <w:gridCol w:w="976"/>
        <w:gridCol w:w="750"/>
        <w:gridCol w:w="943"/>
        <w:gridCol w:w="2796"/>
        <w:gridCol w:w="1310"/>
        <w:gridCol w:w="894"/>
        <w:gridCol w:w="1133"/>
        <w:gridCol w:w="695"/>
        <w:gridCol w:w="695"/>
      </w:tblGrid>
      <w:tr w:rsidR="00DF7746" w:rsidRPr="00DF7746" w:rsidTr="00DF7746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Stt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Tên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tổ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chức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cá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nhân</w:t>
            </w:r>
            <w:proofErr w:type="spellEnd"/>
          </w:p>
        </w:tc>
        <w:tc>
          <w:tcPr>
            <w:tcW w:w="8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Tài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khoản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giao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dịch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chứng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khoán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nếu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có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Chức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vụ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tại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Công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ty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nếu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có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Số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CMND/ ĐKKD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Ngày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cấp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CMND/ ĐKKD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Nơi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cấp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CMND/ ĐKKD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Địa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chỉ</w:t>
            </w:r>
            <w:proofErr w:type="spellEnd"/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Số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cổ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phiếu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sở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hữu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cuối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kỳ</w:t>
            </w:r>
            <w:proofErr w:type="spellEnd"/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sở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hữu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cổ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phiếu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cuối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kỳ</w:t>
            </w:r>
            <w:proofErr w:type="spellEnd"/>
          </w:p>
        </w:tc>
      </w:tr>
      <w:tr w:rsidR="00DF7746" w:rsidRPr="00DF7746" w:rsidTr="00DF7746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Phan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Thế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Hùng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tịch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HĐQT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150855578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20/11/2006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Thái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28,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P.Trần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Hưng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Đạo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, TPTB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0,21</w:t>
            </w:r>
          </w:p>
        </w:tc>
      </w:tr>
      <w:tr w:rsidR="00DF7746" w:rsidRPr="00DF7746" w:rsidTr="00DF7746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Trung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(SCIC)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Phó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CT HĐQT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012194741                         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06/06/2013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Hà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P.1710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Toà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25t2,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Hoàn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Đạo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Thuý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Hà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7746" w:rsidRPr="00DF7746" w:rsidTr="00DF7746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Đào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Tuyết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Thanh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Phó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CT HĐQT, K.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151179140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17/7/2007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Thái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11,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P.Tiền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Phong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, TPTB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0,21</w:t>
            </w:r>
          </w:p>
        </w:tc>
      </w:tr>
      <w:tr w:rsidR="00DF7746" w:rsidRPr="00DF7746" w:rsidTr="00DF7746">
        <w:trPr>
          <w:trHeight w:val="1088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Bùi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Duy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Hoàn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UV HĐQT,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G.đốc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151148231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16/09/2009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Thái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14,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Đ.Hoàng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Thái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P.Trần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Lãm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, TPTB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0,21</w:t>
            </w:r>
          </w:p>
        </w:tc>
      </w:tr>
      <w:tr w:rsidR="00DF7746" w:rsidRPr="00DF7746" w:rsidTr="00DF7746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Phạm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Hương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(SCIC)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Uỷ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HĐQT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164216862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23/10/2010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Ninh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167/56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P.Trương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Hai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Bà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Trưng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Hà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7746" w:rsidRPr="00DF7746" w:rsidTr="00DF7746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Minh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Ngọc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(SCIC)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Ban </w:t>
            </w: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142215716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22/03/2002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Hải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Dương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Ngõ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260,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Đội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Cấn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Ba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Đình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Hà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7746" w:rsidRPr="00DF7746" w:rsidTr="00DF7746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Anh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Tuấn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(SCIC)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Ban KS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112085858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19/09/2009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Hà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Ngõ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Kiến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Khâm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Thiên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Hà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7746" w:rsidRPr="00DF7746" w:rsidTr="00DF7746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Phạm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Ngọc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Chiển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Ban KS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151367985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12/07/2013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Thái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P.Kỳ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Bá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, TPTB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0,21</w:t>
            </w:r>
          </w:p>
        </w:tc>
      </w:tr>
    </w:tbl>
    <w:p w:rsidR="00DF7746" w:rsidRPr="00DF7746" w:rsidRDefault="00DF7746" w:rsidP="00DF7746">
      <w:pPr>
        <w:spacing w:before="120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2.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Giao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dịch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cổ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phiếu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của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cổ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đông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nội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bộ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tbl>
      <w:tblPr>
        <w:tblW w:w="9300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709"/>
        <w:gridCol w:w="1464"/>
        <w:gridCol w:w="1368"/>
        <w:gridCol w:w="900"/>
        <w:gridCol w:w="900"/>
        <w:gridCol w:w="900"/>
        <w:gridCol w:w="900"/>
        <w:gridCol w:w="2159"/>
      </w:tblGrid>
      <w:tr w:rsidR="00DF7746" w:rsidRPr="00DF7746" w:rsidTr="00DF7746">
        <w:trPr>
          <w:trHeight w:val="717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46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giao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136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hệ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với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cổ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đông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cổ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phiếu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sở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hữu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đầu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kỳ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cổ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phiếu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sở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hữu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cuối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kỳ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Lý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tăng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giảm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mua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bán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chuyển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đổi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thưởng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...)</w:t>
            </w:r>
          </w:p>
        </w:tc>
      </w:tr>
      <w:tr w:rsidR="00DF7746" w:rsidRPr="00DF7746" w:rsidTr="00DF774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7746" w:rsidRPr="00DF7746" w:rsidRDefault="00DF7746" w:rsidP="00DF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7746" w:rsidRPr="00DF7746" w:rsidRDefault="00DF7746" w:rsidP="00DF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7746" w:rsidRPr="00DF7746" w:rsidRDefault="00DF7746" w:rsidP="00DF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cổ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phiếu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Tỷ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lệ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cổ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phiếu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Tỷ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lệ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7746" w:rsidRPr="00DF7746" w:rsidRDefault="00DF7746" w:rsidP="00DF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7746" w:rsidRPr="00DF7746" w:rsidTr="00DF774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46" w:rsidRPr="00DF7746" w:rsidRDefault="00DF7746" w:rsidP="00DF7746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46" w:rsidRPr="00DF7746" w:rsidRDefault="00DF7746" w:rsidP="00DF7746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46">
              <w:rPr>
                <w:rFonts w:ascii="Times New Roman" w:eastAsia="Times New Roman" w:hAnsi="Times New Roman" w:cs="Times New Roman"/>
                <w:sz w:val="26"/>
                <w:szCs w:val="26"/>
              </w:rPr>
              <w:t>Phạm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6"/>
                <w:szCs w:val="26"/>
              </w:rPr>
              <w:t>Duy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6"/>
                <w:szCs w:val="26"/>
              </w:rPr>
              <w:t>Bình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46" w:rsidRPr="00DF7746" w:rsidRDefault="00DF7746" w:rsidP="00DF7746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46"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304,8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0,241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46" w:rsidRPr="00DF7746" w:rsidRDefault="00DF7746" w:rsidP="00DF774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Bán</w:t>
            </w:r>
            <w:proofErr w:type="spellEnd"/>
          </w:p>
        </w:tc>
      </w:tr>
      <w:tr w:rsidR="00DF7746" w:rsidRPr="00DF7746" w:rsidTr="00DF774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46" w:rsidRPr="00DF7746" w:rsidRDefault="00DF7746" w:rsidP="00DF7746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46" w:rsidRPr="00DF7746" w:rsidRDefault="00DF7746" w:rsidP="00DF7746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46">
              <w:rPr>
                <w:rFonts w:ascii="Times New Roman" w:eastAsia="Times New Roman" w:hAnsi="Times New Roman" w:cs="Times New Roman"/>
                <w:sz w:val="26"/>
                <w:szCs w:val="26"/>
              </w:rPr>
              <w:t>Lê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6"/>
                <w:szCs w:val="26"/>
              </w:rPr>
              <w:t>Đạt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46" w:rsidRPr="00DF7746" w:rsidRDefault="00DF7746" w:rsidP="00DF7746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46"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304,8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46" w:rsidRPr="00DF7746" w:rsidRDefault="00DF7746" w:rsidP="00DF774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0,241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46" w:rsidRPr="00DF7746" w:rsidRDefault="00DF7746" w:rsidP="00DF774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Mua</w:t>
            </w:r>
            <w:proofErr w:type="spellEnd"/>
          </w:p>
        </w:tc>
      </w:tr>
    </w:tbl>
    <w:p w:rsidR="00DF7746" w:rsidRPr="00DF7746" w:rsidRDefault="00DF7746" w:rsidP="00DF7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3.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Các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giao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dịch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khác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</w:t>
      </w:r>
      <w:r w:rsidRPr="00DF7746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giao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DF7746" w:rsidRPr="00DF7746" w:rsidRDefault="00DF7746" w:rsidP="00DF7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V.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Các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vấn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đề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cần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>lưu</w:t>
      </w:r>
      <w:proofErr w:type="spellEnd"/>
      <w:r w:rsidRPr="00DF7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ý:</w:t>
      </w:r>
    </w:p>
    <w:p w:rsidR="00DF7746" w:rsidRPr="00DF7746" w:rsidRDefault="00DF7746" w:rsidP="00DF7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vấn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cần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7746">
        <w:rPr>
          <w:rFonts w:ascii="Times New Roman" w:eastAsia="Times New Roman" w:hAnsi="Times New Roman" w:cs="Times New Roman"/>
          <w:sz w:val="26"/>
          <w:szCs w:val="26"/>
        </w:rPr>
        <w:t>lưu</w:t>
      </w:r>
      <w:proofErr w:type="spellEnd"/>
      <w:r w:rsidRPr="00DF7746">
        <w:rPr>
          <w:rFonts w:ascii="Times New Roman" w:eastAsia="Times New Roman" w:hAnsi="Times New Roman" w:cs="Times New Roman"/>
          <w:sz w:val="26"/>
          <w:szCs w:val="26"/>
        </w:rPr>
        <w:t xml:space="preserve"> ý.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9"/>
        <w:gridCol w:w="4499"/>
      </w:tblGrid>
      <w:tr w:rsidR="00DF7746" w:rsidRPr="00DF7746" w:rsidTr="00DF7746">
        <w:tc>
          <w:tcPr>
            <w:tcW w:w="44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ind w:firstLine="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F7746" w:rsidRPr="00DF7746" w:rsidRDefault="00DF7746" w:rsidP="00DF7746">
            <w:pPr>
              <w:spacing w:before="100" w:beforeAutospacing="1" w:after="100" w:afterAutospacing="1" w:line="240" w:lineRule="auto"/>
              <w:ind w:firstLine="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Nơi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nhận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DF7746" w:rsidRPr="00DF7746" w:rsidRDefault="00DF7746" w:rsidP="00DF7746">
            <w:pPr>
              <w:spacing w:before="100" w:beforeAutospacing="1" w:after="100" w:afterAutospacing="1" w:line="240" w:lineRule="auto"/>
              <w:ind w:firstLine="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kính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gửi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F7746" w:rsidRPr="00DF7746" w:rsidRDefault="00DF7746" w:rsidP="00DF7746">
            <w:pPr>
              <w:spacing w:before="100" w:beforeAutospacing="1" w:after="100" w:afterAutospacing="1" w:line="240" w:lineRule="auto"/>
              <w:ind w:firstLine="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VT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CHỦ TỊCH HĐQT</w:t>
            </w:r>
          </w:p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DF7746" w:rsidRPr="00DF7746" w:rsidRDefault="00DF7746" w:rsidP="00DF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DF7746" w:rsidRPr="00DF7746" w:rsidRDefault="00DF7746" w:rsidP="00DF7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Phan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Thế</w:t>
            </w:r>
            <w:proofErr w:type="spellEnd"/>
            <w:r w:rsidRPr="00DF77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F77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Hùng</w:t>
            </w:r>
            <w:proofErr w:type="spellEnd"/>
          </w:p>
        </w:tc>
      </w:tr>
    </w:tbl>
    <w:p w:rsidR="00875166" w:rsidRDefault="00875166"/>
    <w:sectPr w:rsidR="00875166" w:rsidSect="00875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7746"/>
    <w:rsid w:val="000A55A6"/>
    <w:rsid w:val="0029653B"/>
    <w:rsid w:val="003C542B"/>
    <w:rsid w:val="00493CE0"/>
    <w:rsid w:val="00602CB7"/>
    <w:rsid w:val="00654EB1"/>
    <w:rsid w:val="007C5586"/>
    <w:rsid w:val="00875166"/>
    <w:rsid w:val="00DF7746"/>
    <w:rsid w:val="00E27BE9"/>
    <w:rsid w:val="00E80EC4"/>
    <w:rsid w:val="00E9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166"/>
  </w:style>
  <w:style w:type="paragraph" w:styleId="Heading2">
    <w:name w:val="heading 2"/>
    <w:basedOn w:val="Normal"/>
    <w:link w:val="Heading2Char"/>
    <w:uiPriority w:val="9"/>
    <w:qFormat/>
    <w:rsid w:val="00DF77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F77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774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F774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F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77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ekhachthaibin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798</Words>
  <Characters>4553</Characters>
  <Application>Microsoft Office Word</Application>
  <DocSecurity>0</DocSecurity>
  <Lines>37</Lines>
  <Paragraphs>10</Paragraphs>
  <ScaleCrop>false</ScaleCrop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sangnt</dc:creator>
  <cp:lastModifiedBy>sangnt</cp:lastModifiedBy>
  <cp:revision>1</cp:revision>
  <dcterms:created xsi:type="dcterms:W3CDTF">2014-12-20T03:32:00Z</dcterms:created>
  <dcterms:modified xsi:type="dcterms:W3CDTF">2014-12-20T03:33:00Z</dcterms:modified>
</cp:coreProperties>
</file>