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Default="00303C2E" w:rsidP="00303C2E">
      <w:pPr>
        <w:spacing w:after="0" w:line="240" w:lineRule="auto"/>
        <w:rPr>
          <w:rFonts w:ascii="Times New Roman" w:eastAsia="Times New Roman" w:hAnsi="Times New Roman"/>
          <w:sz w:val="20"/>
          <w:szCs w:val="20"/>
        </w:rPr>
      </w:pPr>
    </w:p>
    <w:p w:rsidR="00DD5F99" w:rsidRDefault="00DD5F99" w:rsidP="00303C2E">
      <w:pPr>
        <w:spacing w:after="0" w:line="240" w:lineRule="auto"/>
        <w:rPr>
          <w:rFonts w:ascii="Times New Roman" w:eastAsia="Times New Roman" w:hAnsi="Times New Roman"/>
          <w:sz w:val="20"/>
          <w:szCs w:val="20"/>
        </w:rPr>
      </w:pPr>
    </w:p>
    <w:p w:rsidR="00DD5F99" w:rsidRDefault="00DD5F99" w:rsidP="00303C2E">
      <w:pPr>
        <w:spacing w:after="0" w:line="240" w:lineRule="auto"/>
        <w:rPr>
          <w:rFonts w:ascii="Times New Roman" w:eastAsia="Times New Roman" w:hAnsi="Times New Roman"/>
          <w:sz w:val="20"/>
          <w:szCs w:val="20"/>
        </w:rPr>
      </w:pPr>
    </w:p>
    <w:p w:rsidR="00984223" w:rsidRDefault="00984223" w:rsidP="00303C2E">
      <w:pPr>
        <w:spacing w:after="0" w:line="240" w:lineRule="auto"/>
        <w:rPr>
          <w:rFonts w:ascii="Times New Roman" w:eastAsia="Times New Roman" w:hAnsi="Times New Roman"/>
          <w:sz w:val="20"/>
          <w:szCs w:val="20"/>
        </w:rPr>
      </w:pPr>
    </w:p>
    <w:p w:rsidR="00DD5F99" w:rsidRPr="00374801" w:rsidRDefault="00DD5F99"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Default="00303C2E" w:rsidP="00303C2E">
      <w:pPr>
        <w:spacing w:after="0" w:line="240" w:lineRule="auto"/>
        <w:ind w:left="180"/>
        <w:jc w:val="center"/>
        <w:rPr>
          <w:rFonts w:ascii="Times New Roman" w:eastAsia="Times New Roman" w:hAnsi="Times New Roman"/>
          <w:b/>
          <w:i/>
          <w:sz w:val="20"/>
          <w:szCs w:val="20"/>
        </w:rPr>
      </w:pPr>
    </w:p>
    <w:p w:rsidR="00984223" w:rsidRPr="00374801" w:rsidRDefault="00984223" w:rsidP="00303C2E">
      <w:pPr>
        <w:spacing w:after="0" w:line="240" w:lineRule="auto"/>
        <w:ind w:left="180"/>
        <w:jc w:val="center"/>
        <w:rPr>
          <w:rFonts w:ascii="Times New Roman" w:eastAsia="Times New Roman" w:hAnsi="Times New Roman"/>
          <w:b/>
          <w:i/>
          <w:sz w:val="20"/>
          <w:szCs w:val="20"/>
        </w:rPr>
      </w:pPr>
    </w:p>
    <w:p w:rsidR="00303C2E" w:rsidRPr="00374801" w:rsidRDefault="00303C2E" w:rsidP="006E3406">
      <w:pPr>
        <w:keepNext/>
        <w:spacing w:before="120" w:after="0" w:line="240" w:lineRule="auto"/>
        <w:jc w:val="center"/>
        <w:outlineLvl w:val="0"/>
        <w:rPr>
          <w:rFonts w:ascii="Times New Roman" w:eastAsia="Times New Roman" w:hAnsi="Times New Roman"/>
          <w:b/>
          <w:i/>
          <w:iCs/>
          <w:sz w:val="20"/>
          <w:szCs w:val="20"/>
        </w:rPr>
      </w:pPr>
      <w:r w:rsidRPr="00374801">
        <w:rPr>
          <w:rFonts w:ascii="Times New Roman" w:eastAsia="Times New Roman" w:hAnsi="Times New Roman"/>
          <w:b/>
          <w:iCs/>
          <w:sz w:val="20"/>
          <w:szCs w:val="20"/>
        </w:rPr>
        <w:t xml:space="preserve">CÔNG TY CỔ PHẦN </w:t>
      </w:r>
      <w:r w:rsidR="00C470DD" w:rsidRPr="00374801">
        <w:rPr>
          <w:rFonts w:ascii="Times New Roman" w:eastAsia="Times New Roman" w:hAnsi="Times New Roman"/>
          <w:b/>
          <w:iCs/>
          <w:sz w:val="20"/>
          <w:szCs w:val="20"/>
        </w:rPr>
        <w:t xml:space="preserve">CHỨNG KHOÁN </w:t>
      </w:r>
      <w:r w:rsidR="00167605" w:rsidRPr="00374801">
        <w:rPr>
          <w:rFonts w:ascii="Times New Roman" w:eastAsia="Times New Roman" w:hAnsi="Times New Roman"/>
          <w:b/>
          <w:iCs/>
          <w:sz w:val="20"/>
          <w:szCs w:val="20"/>
        </w:rPr>
        <w:t>KIS VIỆT NAM</w:t>
      </w:r>
    </w:p>
    <w:p w:rsidR="006E3406" w:rsidRPr="00374801" w:rsidRDefault="006E3406" w:rsidP="00303C2E">
      <w:pPr>
        <w:spacing w:after="0" w:line="240" w:lineRule="auto"/>
        <w:jc w:val="center"/>
        <w:rPr>
          <w:rFonts w:ascii="Times New Roman" w:eastAsia="Times New Roman" w:hAnsi="Times New Roman"/>
          <w:b/>
          <w:i/>
          <w:sz w:val="20"/>
          <w:szCs w:val="20"/>
        </w:rPr>
      </w:pPr>
    </w:p>
    <w:p w:rsidR="00A141AE" w:rsidRPr="00374801" w:rsidRDefault="00A141AE" w:rsidP="00A141AE">
      <w:pPr>
        <w:spacing w:after="0" w:line="240" w:lineRule="auto"/>
        <w:jc w:val="center"/>
        <w:rPr>
          <w:rFonts w:ascii="Times New Roman" w:eastAsia="Times New Roman" w:hAnsi="Times New Roman"/>
          <w:b/>
          <w:i/>
          <w:sz w:val="20"/>
          <w:szCs w:val="20"/>
        </w:rPr>
      </w:pPr>
      <w:r w:rsidRPr="00374801">
        <w:rPr>
          <w:rFonts w:ascii="Times New Roman" w:eastAsia="Times New Roman" w:hAnsi="Times New Roman"/>
          <w:b/>
          <w:i/>
          <w:sz w:val="20"/>
          <w:szCs w:val="20"/>
        </w:rPr>
        <w:t>Báo cáo tỷ lệ an toàn tài chính</w:t>
      </w:r>
      <w:r>
        <w:rPr>
          <w:rFonts w:ascii="Times New Roman" w:eastAsia="Times New Roman" w:hAnsi="Times New Roman"/>
          <w:b/>
          <w:i/>
          <w:sz w:val="20"/>
          <w:szCs w:val="20"/>
        </w:rPr>
        <w:t xml:space="preserve"> đã được soát xét</w:t>
      </w:r>
    </w:p>
    <w:p w:rsidR="00303C2E" w:rsidRPr="00374801" w:rsidRDefault="00A141AE" w:rsidP="00A141AE">
      <w:pPr>
        <w:spacing w:after="0" w:line="240" w:lineRule="auto"/>
        <w:jc w:val="center"/>
        <w:rPr>
          <w:rFonts w:ascii="Times New Roman" w:eastAsia="Times New Roman" w:hAnsi="Times New Roman"/>
          <w:i/>
          <w:sz w:val="20"/>
          <w:szCs w:val="20"/>
        </w:rPr>
      </w:pPr>
      <w:r w:rsidRPr="00374801">
        <w:rPr>
          <w:rFonts w:ascii="Times New Roman" w:eastAsia="Times New Roman" w:hAnsi="Times New Roman"/>
          <w:i/>
          <w:sz w:val="20"/>
          <w:szCs w:val="20"/>
        </w:rPr>
        <w:t xml:space="preserve">Tại thời điểm </w:t>
      </w:r>
      <w:r>
        <w:rPr>
          <w:rFonts w:ascii="Times New Roman" w:eastAsia="Times New Roman" w:hAnsi="Times New Roman"/>
          <w:i/>
          <w:sz w:val="20"/>
          <w:szCs w:val="20"/>
        </w:rPr>
        <w:t>30 tháng 6 năm 2015</w:t>
      </w: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tabs>
          <w:tab w:val="center" w:pos="4320"/>
          <w:tab w:val="right" w:pos="8640"/>
        </w:tabs>
        <w:spacing w:after="0" w:line="240" w:lineRule="auto"/>
        <w:rPr>
          <w:rFonts w:ascii="Times New Roman" w:eastAsia="Times New Roman" w:hAnsi="Times New Roman"/>
          <w:b/>
          <w:noProof/>
          <w:sz w:val="20"/>
          <w:szCs w:val="20"/>
        </w:rPr>
      </w:pPr>
    </w:p>
    <w:p w:rsidR="004C0A10" w:rsidRPr="00374801" w:rsidRDefault="004C0A10" w:rsidP="00303C2E">
      <w:pPr>
        <w:tabs>
          <w:tab w:val="center" w:pos="4320"/>
          <w:tab w:val="right" w:pos="8640"/>
        </w:tabs>
        <w:spacing w:after="0" w:line="240" w:lineRule="auto"/>
        <w:rPr>
          <w:rFonts w:ascii="Times New Roman" w:eastAsia="Times New Roman" w:hAnsi="Times New Roman"/>
          <w:b/>
          <w:noProof/>
          <w:sz w:val="20"/>
          <w:szCs w:val="20"/>
        </w:rPr>
      </w:pPr>
    </w:p>
    <w:p w:rsidR="004C0A10" w:rsidRDefault="004C0A10" w:rsidP="00303C2E">
      <w:pPr>
        <w:tabs>
          <w:tab w:val="center" w:pos="4320"/>
          <w:tab w:val="right" w:pos="8640"/>
        </w:tabs>
        <w:spacing w:after="0" w:line="240" w:lineRule="auto"/>
        <w:rPr>
          <w:rFonts w:ascii="Times New Roman" w:eastAsia="Times New Roman" w:hAnsi="Times New Roman"/>
          <w:b/>
          <w:noProof/>
          <w:sz w:val="20"/>
          <w:szCs w:val="20"/>
        </w:rPr>
      </w:pPr>
    </w:p>
    <w:p w:rsidR="00374801" w:rsidRDefault="00374801" w:rsidP="00303C2E">
      <w:pPr>
        <w:tabs>
          <w:tab w:val="center" w:pos="4320"/>
          <w:tab w:val="right" w:pos="8640"/>
        </w:tabs>
        <w:spacing w:after="0" w:line="240" w:lineRule="auto"/>
        <w:rPr>
          <w:rFonts w:ascii="Times New Roman" w:eastAsia="Times New Roman" w:hAnsi="Times New Roman"/>
          <w:b/>
          <w:noProof/>
          <w:sz w:val="20"/>
          <w:szCs w:val="20"/>
        </w:rPr>
      </w:pPr>
    </w:p>
    <w:p w:rsidR="00374801" w:rsidRDefault="00374801" w:rsidP="00303C2E">
      <w:pPr>
        <w:tabs>
          <w:tab w:val="center" w:pos="4320"/>
          <w:tab w:val="right" w:pos="8640"/>
        </w:tabs>
        <w:spacing w:after="0" w:line="240" w:lineRule="auto"/>
        <w:rPr>
          <w:rFonts w:ascii="Times New Roman" w:eastAsia="Times New Roman" w:hAnsi="Times New Roman"/>
          <w:b/>
          <w:noProof/>
          <w:sz w:val="20"/>
          <w:szCs w:val="20"/>
        </w:rPr>
      </w:pPr>
    </w:p>
    <w:p w:rsidR="00374801" w:rsidRDefault="00374801" w:rsidP="00303C2E">
      <w:pPr>
        <w:tabs>
          <w:tab w:val="center" w:pos="4320"/>
          <w:tab w:val="right" w:pos="8640"/>
        </w:tabs>
        <w:spacing w:after="0" w:line="240" w:lineRule="auto"/>
        <w:rPr>
          <w:rFonts w:ascii="Times New Roman" w:eastAsia="Times New Roman" w:hAnsi="Times New Roman"/>
          <w:b/>
          <w:noProof/>
          <w:sz w:val="20"/>
          <w:szCs w:val="20"/>
        </w:rPr>
      </w:pPr>
    </w:p>
    <w:p w:rsidR="00947E7C" w:rsidRPr="00374801" w:rsidRDefault="00947E7C" w:rsidP="00303C2E">
      <w:pPr>
        <w:tabs>
          <w:tab w:val="center" w:pos="4320"/>
          <w:tab w:val="right" w:pos="8640"/>
        </w:tabs>
        <w:spacing w:after="0" w:line="240" w:lineRule="auto"/>
        <w:rPr>
          <w:rFonts w:ascii="Times New Roman" w:eastAsia="Times New Roman" w:hAnsi="Times New Roman"/>
          <w:b/>
          <w:noProof/>
          <w:sz w:val="20"/>
          <w:szCs w:val="20"/>
        </w:rPr>
      </w:pPr>
    </w:p>
    <w:p w:rsidR="00303C2E" w:rsidRPr="00374801" w:rsidRDefault="00ED31CB" w:rsidP="00303C2E">
      <w:pPr>
        <w:tabs>
          <w:tab w:val="center" w:pos="4320"/>
          <w:tab w:val="right" w:pos="8640"/>
        </w:tabs>
        <w:spacing w:after="0" w:line="240" w:lineRule="auto"/>
        <w:rPr>
          <w:rFonts w:ascii="Times New Roman" w:eastAsia="Times New Roman" w:hAnsi="Times New Roman"/>
          <w:b/>
          <w:sz w:val="20"/>
          <w:szCs w:val="20"/>
        </w:rPr>
      </w:pPr>
      <w:r w:rsidRPr="00ED31CB">
        <w:rPr>
          <w:rFonts w:ascii="Times New Roman" w:eastAsia="Times New Roman" w:hAnsi="Times New Roman"/>
          <w:noProof/>
          <w:sz w:val="20"/>
          <w:szCs w:val="20"/>
        </w:rPr>
        <w:pict>
          <v:line id="_x0000_s1028" style="position:absolute;z-index:251656192" from="-3.6pt,21.6pt" to="435.65pt,21.65pt" o:allowincell="f" strokecolor="red" strokeweight=".25pt">
            <v:stroke startarrowwidth="narrow" startarrowlength="short" endarrowwidth="narrow" endarrowlength="short"/>
          </v:line>
        </w:pict>
      </w:r>
      <w:r w:rsidR="00303C2E" w:rsidRPr="00374801">
        <w:rPr>
          <w:rFonts w:ascii="Times New Roman" w:eastAsia="Times New Roman" w:hAnsi="Times New Roman"/>
          <w:b/>
          <w:noProof/>
          <w:sz w:val="20"/>
          <w:szCs w:val="20"/>
        </w:rPr>
        <w:t xml:space="preserve">CÔNG TY </w:t>
      </w:r>
      <w:r w:rsidR="00FB2022" w:rsidRPr="00374801">
        <w:rPr>
          <w:rFonts w:ascii="Times New Roman" w:eastAsia="Times New Roman" w:hAnsi="Times New Roman"/>
          <w:b/>
          <w:noProof/>
          <w:sz w:val="20"/>
          <w:szCs w:val="20"/>
        </w:rPr>
        <w:t xml:space="preserve">CỔ PHẦN CHỨNG KHOÁN </w:t>
      </w:r>
      <w:r w:rsidR="00167605" w:rsidRPr="00374801">
        <w:rPr>
          <w:rFonts w:ascii="Times New Roman" w:eastAsia="Times New Roman" w:hAnsi="Times New Roman"/>
          <w:b/>
          <w:noProof/>
          <w:sz w:val="20"/>
          <w:szCs w:val="20"/>
        </w:rPr>
        <w:t>KIS VIỆT NAM</w:t>
      </w:r>
    </w:p>
    <w:p w:rsidR="00303C2E" w:rsidRPr="00374801" w:rsidRDefault="00303C2E" w:rsidP="00303C2E">
      <w:pPr>
        <w:tabs>
          <w:tab w:val="center" w:pos="4320"/>
          <w:tab w:val="right" w:pos="8640"/>
        </w:tabs>
        <w:spacing w:after="0" w:line="240" w:lineRule="auto"/>
        <w:rPr>
          <w:rFonts w:ascii="Times New Roman" w:eastAsia="Times New Roman" w:hAnsi="Times New Roman"/>
          <w:b/>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jc w:val="center"/>
        <w:rPr>
          <w:rFonts w:ascii="Times New Roman" w:eastAsia="Times New Roman" w:hAnsi="Times New Roman"/>
          <w:b/>
          <w:sz w:val="20"/>
          <w:szCs w:val="20"/>
        </w:rPr>
      </w:pPr>
      <w:r w:rsidRPr="00374801">
        <w:rPr>
          <w:rFonts w:ascii="Times New Roman" w:eastAsia="Times New Roman" w:hAnsi="Times New Roman"/>
          <w:b/>
          <w:sz w:val="20"/>
          <w:szCs w:val="20"/>
        </w:rPr>
        <w:t>MỤC LỤC</w:t>
      </w:r>
    </w:p>
    <w:p w:rsidR="00303C2E" w:rsidRPr="00374801" w:rsidRDefault="00303C2E" w:rsidP="00303C2E">
      <w:pPr>
        <w:tabs>
          <w:tab w:val="left" w:pos="540"/>
          <w:tab w:val="right" w:pos="8460"/>
        </w:tabs>
        <w:spacing w:after="0" w:line="240" w:lineRule="auto"/>
        <w:rPr>
          <w:rFonts w:ascii="Times New Roman" w:eastAsia="Times New Roman" w:hAnsi="Times New Roman"/>
          <w:sz w:val="20"/>
          <w:szCs w:val="20"/>
        </w:rPr>
      </w:pPr>
      <w:r w:rsidRPr="00374801">
        <w:rPr>
          <w:rFonts w:ascii="Times New Roman" w:eastAsia="Times New Roman" w:hAnsi="Times New Roman"/>
          <w:sz w:val="20"/>
          <w:szCs w:val="20"/>
        </w:rPr>
        <w:tab/>
      </w:r>
      <w:r w:rsidRPr="00374801">
        <w:rPr>
          <w:rFonts w:ascii="Times New Roman" w:eastAsia="Times New Roman" w:hAnsi="Times New Roman"/>
          <w:sz w:val="20"/>
          <w:szCs w:val="20"/>
        </w:rPr>
        <w:tab/>
      </w:r>
      <w:r w:rsidRPr="00374801">
        <w:rPr>
          <w:rFonts w:ascii="Times New Roman" w:eastAsia="Times New Roman" w:hAnsi="Times New Roman"/>
          <w:sz w:val="20"/>
          <w:szCs w:val="20"/>
        </w:rPr>
        <w:tab/>
      </w:r>
      <w:r w:rsidRPr="00374801">
        <w:rPr>
          <w:rFonts w:ascii="Times New Roman" w:eastAsia="Times New Roman" w:hAnsi="Times New Roman"/>
          <w:sz w:val="20"/>
          <w:szCs w:val="20"/>
        </w:rPr>
        <w:tab/>
      </w:r>
      <w:r w:rsidRPr="00374801">
        <w:rPr>
          <w:rFonts w:ascii="Times New Roman" w:eastAsia="Times New Roman" w:hAnsi="Times New Roman"/>
          <w:sz w:val="20"/>
          <w:szCs w:val="20"/>
        </w:rPr>
        <w:tab/>
      </w:r>
      <w:r w:rsidRPr="00374801">
        <w:rPr>
          <w:rFonts w:ascii="Times New Roman" w:eastAsia="Times New Roman" w:hAnsi="Times New Roman"/>
          <w:sz w:val="20"/>
          <w:szCs w:val="20"/>
        </w:rPr>
        <w:tab/>
      </w:r>
      <w:r w:rsidRPr="00374801">
        <w:rPr>
          <w:rFonts w:ascii="Times New Roman" w:eastAsia="Times New Roman" w:hAnsi="Times New Roman"/>
          <w:sz w:val="20"/>
          <w:szCs w:val="20"/>
        </w:rPr>
        <w:tab/>
      </w:r>
      <w:r w:rsidRPr="00374801">
        <w:rPr>
          <w:rFonts w:ascii="Times New Roman" w:eastAsia="Times New Roman" w:hAnsi="Times New Roman"/>
          <w:sz w:val="20"/>
          <w:szCs w:val="20"/>
        </w:rPr>
        <w:tab/>
        <w:t>Trang</w:t>
      </w:r>
    </w:p>
    <w:p w:rsidR="00303C2E" w:rsidRPr="00374801" w:rsidRDefault="00303C2E" w:rsidP="00303C2E">
      <w:pPr>
        <w:spacing w:after="0" w:line="240" w:lineRule="auto"/>
        <w:rPr>
          <w:rFonts w:ascii="Times New Roman" w:eastAsia="Times New Roman" w:hAnsi="Times New Roman"/>
          <w:sz w:val="20"/>
          <w:szCs w:val="20"/>
        </w:rPr>
      </w:pPr>
    </w:p>
    <w:p w:rsidR="003C37AE" w:rsidRPr="00374801" w:rsidRDefault="00303C2E" w:rsidP="00303C2E">
      <w:pPr>
        <w:tabs>
          <w:tab w:val="left" w:pos="540"/>
          <w:tab w:val="right" w:pos="8460"/>
        </w:tabs>
        <w:spacing w:after="0" w:line="240" w:lineRule="auto"/>
        <w:rPr>
          <w:rFonts w:ascii="Times New Roman" w:eastAsia="Times New Roman" w:hAnsi="Times New Roman"/>
          <w:sz w:val="20"/>
          <w:szCs w:val="20"/>
        </w:rPr>
      </w:pPr>
      <w:r w:rsidRPr="00374801">
        <w:rPr>
          <w:rFonts w:ascii="Times New Roman" w:eastAsia="Times New Roman" w:hAnsi="Times New Roman"/>
          <w:sz w:val="20"/>
          <w:szCs w:val="20"/>
        </w:rPr>
        <w:t>1.</w:t>
      </w:r>
      <w:r w:rsidRPr="00374801">
        <w:rPr>
          <w:rFonts w:ascii="Times New Roman" w:eastAsia="Times New Roman" w:hAnsi="Times New Roman"/>
          <w:sz w:val="20"/>
          <w:szCs w:val="20"/>
        </w:rPr>
        <w:tab/>
      </w:r>
      <w:r w:rsidR="003C37AE" w:rsidRPr="00374801">
        <w:rPr>
          <w:rFonts w:ascii="Times New Roman" w:eastAsia="Times New Roman" w:hAnsi="Times New Roman"/>
          <w:sz w:val="20"/>
          <w:szCs w:val="20"/>
        </w:rPr>
        <w:t>Thông tin chung</w:t>
      </w:r>
      <w:r w:rsidR="003C37AE" w:rsidRPr="00374801">
        <w:rPr>
          <w:rFonts w:ascii="Times New Roman" w:eastAsia="Times New Roman" w:hAnsi="Times New Roman"/>
          <w:sz w:val="20"/>
          <w:szCs w:val="20"/>
        </w:rPr>
        <w:tab/>
        <w:t>1</w:t>
      </w:r>
    </w:p>
    <w:p w:rsidR="003C37AE" w:rsidRPr="00374801" w:rsidRDefault="003C37AE" w:rsidP="00303C2E">
      <w:pPr>
        <w:tabs>
          <w:tab w:val="left" w:pos="540"/>
          <w:tab w:val="right" w:pos="8460"/>
        </w:tabs>
        <w:spacing w:after="0" w:line="240" w:lineRule="auto"/>
        <w:rPr>
          <w:rFonts w:ascii="Times New Roman" w:eastAsia="Times New Roman" w:hAnsi="Times New Roman"/>
          <w:sz w:val="20"/>
          <w:szCs w:val="20"/>
        </w:rPr>
      </w:pPr>
    </w:p>
    <w:p w:rsidR="00303C2E" w:rsidRPr="00374801" w:rsidRDefault="003C37AE" w:rsidP="00303C2E">
      <w:pPr>
        <w:tabs>
          <w:tab w:val="left" w:pos="540"/>
          <w:tab w:val="right" w:pos="8460"/>
        </w:tabs>
        <w:spacing w:after="0" w:line="240" w:lineRule="auto"/>
        <w:rPr>
          <w:rFonts w:ascii="Times New Roman" w:eastAsia="Times New Roman" w:hAnsi="Times New Roman"/>
          <w:sz w:val="20"/>
          <w:szCs w:val="20"/>
        </w:rPr>
      </w:pPr>
      <w:r w:rsidRPr="00374801">
        <w:rPr>
          <w:rFonts w:ascii="Times New Roman" w:eastAsia="Times New Roman" w:hAnsi="Times New Roman"/>
          <w:sz w:val="20"/>
          <w:szCs w:val="20"/>
        </w:rPr>
        <w:t>2.</w:t>
      </w:r>
      <w:r w:rsidRPr="00374801">
        <w:rPr>
          <w:rFonts w:ascii="Times New Roman" w:eastAsia="Times New Roman" w:hAnsi="Times New Roman"/>
          <w:sz w:val="20"/>
          <w:szCs w:val="20"/>
        </w:rPr>
        <w:tab/>
      </w:r>
      <w:r w:rsidR="00303C2E" w:rsidRPr="00374801">
        <w:rPr>
          <w:rFonts w:ascii="Times New Roman" w:eastAsia="Times New Roman" w:hAnsi="Times New Roman"/>
          <w:sz w:val="20"/>
          <w:szCs w:val="20"/>
        </w:rPr>
        <w:t xml:space="preserve">Báo cáo của </w:t>
      </w:r>
      <w:r w:rsidR="005E614A" w:rsidRPr="00374801">
        <w:rPr>
          <w:rFonts w:ascii="Times New Roman" w:eastAsia="Times New Roman" w:hAnsi="Times New Roman"/>
          <w:sz w:val="20"/>
          <w:szCs w:val="20"/>
        </w:rPr>
        <w:t>Tổng Giám đốc</w:t>
      </w:r>
      <w:r w:rsidRPr="00374801">
        <w:rPr>
          <w:rFonts w:ascii="Times New Roman" w:eastAsia="Times New Roman" w:hAnsi="Times New Roman"/>
          <w:sz w:val="20"/>
          <w:szCs w:val="20"/>
        </w:rPr>
        <w:tab/>
      </w:r>
      <w:r w:rsidR="00663330" w:rsidRPr="00374801">
        <w:rPr>
          <w:rFonts w:ascii="Times New Roman" w:eastAsia="Times New Roman" w:hAnsi="Times New Roman"/>
          <w:sz w:val="20"/>
          <w:szCs w:val="20"/>
        </w:rPr>
        <w:t>2</w:t>
      </w:r>
      <w:r w:rsidR="00303C2E" w:rsidRPr="00374801">
        <w:rPr>
          <w:rFonts w:ascii="Times New Roman" w:eastAsia="Times New Roman" w:hAnsi="Times New Roman"/>
          <w:sz w:val="20"/>
          <w:szCs w:val="20"/>
        </w:rPr>
        <w:t xml:space="preserve"> </w:t>
      </w:r>
    </w:p>
    <w:p w:rsidR="00303C2E" w:rsidRPr="00374801" w:rsidRDefault="00303C2E" w:rsidP="00303C2E">
      <w:pPr>
        <w:tabs>
          <w:tab w:val="left" w:pos="540"/>
          <w:tab w:val="right" w:pos="7740"/>
        </w:tabs>
        <w:spacing w:after="0" w:line="240" w:lineRule="auto"/>
        <w:rPr>
          <w:rFonts w:ascii="Times New Roman" w:eastAsia="Times New Roman" w:hAnsi="Times New Roman"/>
          <w:sz w:val="20"/>
          <w:szCs w:val="20"/>
        </w:rPr>
      </w:pPr>
    </w:p>
    <w:p w:rsidR="00303C2E" w:rsidRPr="00374801" w:rsidRDefault="003C37AE" w:rsidP="00303C2E">
      <w:pPr>
        <w:tabs>
          <w:tab w:val="left" w:pos="540"/>
          <w:tab w:val="right" w:pos="8460"/>
        </w:tabs>
        <w:spacing w:after="0" w:line="240" w:lineRule="auto"/>
        <w:rPr>
          <w:rFonts w:ascii="Times New Roman" w:eastAsia="Times New Roman" w:hAnsi="Times New Roman"/>
          <w:sz w:val="20"/>
          <w:szCs w:val="20"/>
        </w:rPr>
      </w:pPr>
      <w:r w:rsidRPr="00374801">
        <w:rPr>
          <w:rFonts w:ascii="Times New Roman" w:eastAsia="Times New Roman" w:hAnsi="Times New Roman"/>
          <w:sz w:val="20"/>
          <w:szCs w:val="20"/>
        </w:rPr>
        <w:t>3</w:t>
      </w:r>
      <w:r w:rsidR="00303C2E" w:rsidRPr="00374801">
        <w:rPr>
          <w:rFonts w:ascii="Times New Roman" w:eastAsia="Times New Roman" w:hAnsi="Times New Roman"/>
          <w:sz w:val="20"/>
          <w:szCs w:val="20"/>
        </w:rPr>
        <w:t>.</w:t>
      </w:r>
      <w:r w:rsidR="00303C2E" w:rsidRPr="00374801">
        <w:rPr>
          <w:rFonts w:ascii="Times New Roman" w:eastAsia="Times New Roman" w:hAnsi="Times New Roman"/>
          <w:sz w:val="20"/>
          <w:szCs w:val="20"/>
        </w:rPr>
        <w:tab/>
      </w:r>
      <w:r w:rsidR="00A141AE">
        <w:rPr>
          <w:rFonts w:ascii="Times New Roman" w:eastAsia="Times New Roman" w:hAnsi="Times New Roman"/>
          <w:sz w:val="20"/>
          <w:szCs w:val="20"/>
        </w:rPr>
        <w:t>B</w:t>
      </w:r>
      <w:r w:rsidR="00A141AE">
        <w:rPr>
          <w:rFonts w:ascii="Times New Roman" w:hAnsi="Times New Roman"/>
          <w:sz w:val="20"/>
          <w:szCs w:val="20"/>
        </w:rPr>
        <w:t xml:space="preserve">áo cáo </w:t>
      </w:r>
      <w:r w:rsidR="00A141AE">
        <w:rPr>
          <w:rFonts w:ascii="Times New Roman" w:hAnsi="Times New Roman"/>
          <w:sz w:val="20"/>
          <w:szCs w:val="20"/>
          <w:lang w:val="nl-NL"/>
        </w:rPr>
        <w:t>kết quả công tác soát xét</w:t>
      </w:r>
      <w:r w:rsidR="00A141AE">
        <w:rPr>
          <w:rFonts w:ascii="Times New Roman" w:hAnsi="Times New Roman"/>
          <w:sz w:val="20"/>
          <w:szCs w:val="20"/>
        </w:rPr>
        <w:t xml:space="preserve"> Báo cáo tỷ lệ an toàn tài chính</w:t>
      </w:r>
      <w:r w:rsidR="00303C2E" w:rsidRPr="00374801">
        <w:rPr>
          <w:rFonts w:ascii="Times New Roman" w:eastAsia="Times New Roman" w:hAnsi="Times New Roman"/>
          <w:sz w:val="20"/>
          <w:szCs w:val="20"/>
        </w:rPr>
        <w:tab/>
      </w:r>
      <w:r w:rsidR="00E92806" w:rsidRPr="00374801">
        <w:rPr>
          <w:rFonts w:ascii="Times New Roman" w:eastAsia="Times New Roman" w:hAnsi="Times New Roman"/>
          <w:sz w:val="20"/>
          <w:szCs w:val="20"/>
        </w:rPr>
        <w:t>3</w:t>
      </w:r>
    </w:p>
    <w:p w:rsidR="00303C2E" w:rsidRPr="00374801" w:rsidRDefault="00303C2E" w:rsidP="00303C2E">
      <w:pPr>
        <w:tabs>
          <w:tab w:val="left" w:pos="540"/>
          <w:tab w:val="right" w:pos="8460"/>
        </w:tabs>
        <w:spacing w:after="0" w:line="240" w:lineRule="auto"/>
        <w:rPr>
          <w:rFonts w:ascii="Times New Roman" w:eastAsia="Times New Roman" w:hAnsi="Times New Roman"/>
          <w:sz w:val="20"/>
          <w:szCs w:val="20"/>
        </w:rPr>
      </w:pPr>
    </w:p>
    <w:p w:rsidR="00303C2E" w:rsidRPr="00374801" w:rsidRDefault="003C37AE" w:rsidP="00FB2022">
      <w:pPr>
        <w:tabs>
          <w:tab w:val="left" w:pos="540"/>
          <w:tab w:val="right" w:pos="8460"/>
        </w:tabs>
        <w:spacing w:after="0" w:line="240" w:lineRule="auto"/>
        <w:rPr>
          <w:rFonts w:ascii="Times New Roman" w:eastAsia="Times New Roman" w:hAnsi="Times New Roman"/>
          <w:sz w:val="20"/>
          <w:szCs w:val="20"/>
        </w:rPr>
      </w:pPr>
      <w:r w:rsidRPr="00374801">
        <w:rPr>
          <w:rFonts w:ascii="Times New Roman" w:eastAsia="Times New Roman" w:hAnsi="Times New Roman"/>
          <w:sz w:val="20"/>
          <w:szCs w:val="20"/>
        </w:rPr>
        <w:t>4</w:t>
      </w:r>
      <w:r w:rsidR="002B3053" w:rsidRPr="00374801">
        <w:rPr>
          <w:rFonts w:ascii="Times New Roman" w:eastAsia="Times New Roman" w:hAnsi="Times New Roman"/>
          <w:sz w:val="20"/>
          <w:szCs w:val="20"/>
        </w:rPr>
        <w:t>.</w:t>
      </w:r>
      <w:r w:rsidR="002B3053" w:rsidRPr="00374801">
        <w:rPr>
          <w:rFonts w:ascii="Times New Roman" w:eastAsia="Times New Roman" w:hAnsi="Times New Roman"/>
          <w:sz w:val="20"/>
          <w:szCs w:val="20"/>
        </w:rPr>
        <w:tab/>
      </w:r>
      <w:r w:rsidR="00EB110A" w:rsidRPr="00374801">
        <w:rPr>
          <w:rFonts w:ascii="Times New Roman" w:eastAsia="Times New Roman" w:hAnsi="Times New Roman"/>
          <w:sz w:val="20"/>
          <w:szCs w:val="20"/>
        </w:rPr>
        <w:t>Báo cáo t</w:t>
      </w:r>
      <w:r w:rsidR="00FB2022" w:rsidRPr="00374801">
        <w:rPr>
          <w:rFonts w:ascii="Times New Roman" w:eastAsia="Times New Roman" w:hAnsi="Times New Roman"/>
          <w:sz w:val="20"/>
          <w:szCs w:val="20"/>
        </w:rPr>
        <w:t xml:space="preserve">ỷ </w:t>
      </w:r>
      <w:r w:rsidR="004C0A10" w:rsidRPr="00374801">
        <w:rPr>
          <w:rFonts w:ascii="Times New Roman" w:eastAsia="Times New Roman" w:hAnsi="Times New Roman"/>
          <w:sz w:val="20"/>
          <w:szCs w:val="20"/>
        </w:rPr>
        <w:t xml:space="preserve">lệ an toàn tài chính tại ngày </w:t>
      </w:r>
      <w:r w:rsidR="00A141AE">
        <w:rPr>
          <w:rFonts w:ascii="Times New Roman" w:eastAsia="Times New Roman" w:hAnsi="Times New Roman"/>
          <w:sz w:val="20"/>
          <w:szCs w:val="20"/>
        </w:rPr>
        <w:t>30 tháng 6 năm 2015</w:t>
      </w:r>
      <w:r w:rsidR="00FB2022" w:rsidRPr="00374801">
        <w:rPr>
          <w:rFonts w:ascii="Times New Roman" w:eastAsia="Times New Roman" w:hAnsi="Times New Roman"/>
          <w:sz w:val="20"/>
          <w:szCs w:val="20"/>
        </w:rPr>
        <w:tab/>
      </w:r>
      <w:r w:rsidR="00F948EE" w:rsidRPr="00374801">
        <w:rPr>
          <w:rFonts w:ascii="Times New Roman" w:eastAsia="Times New Roman" w:hAnsi="Times New Roman"/>
          <w:sz w:val="20"/>
          <w:szCs w:val="20"/>
        </w:rPr>
        <w:t xml:space="preserve">4 </w:t>
      </w:r>
      <w:r w:rsidRPr="00374801">
        <w:rPr>
          <w:rFonts w:ascii="Times New Roman" w:eastAsia="Times New Roman" w:hAnsi="Times New Roman"/>
          <w:sz w:val="20"/>
          <w:szCs w:val="20"/>
        </w:rPr>
        <w:t>–</w:t>
      </w:r>
      <w:r w:rsidR="00F948EE" w:rsidRPr="00374801">
        <w:rPr>
          <w:rFonts w:ascii="Times New Roman" w:eastAsia="Times New Roman" w:hAnsi="Times New Roman"/>
          <w:sz w:val="20"/>
          <w:szCs w:val="20"/>
        </w:rPr>
        <w:t xml:space="preserve"> </w:t>
      </w:r>
      <w:r w:rsidR="00322C9B" w:rsidRPr="00374801">
        <w:rPr>
          <w:rFonts w:ascii="Times New Roman" w:eastAsia="Times New Roman" w:hAnsi="Times New Roman"/>
          <w:sz w:val="20"/>
          <w:szCs w:val="20"/>
        </w:rPr>
        <w:t>5</w:t>
      </w:r>
    </w:p>
    <w:p w:rsidR="003C37AE" w:rsidRPr="00374801" w:rsidRDefault="003C37AE" w:rsidP="00FB2022">
      <w:pPr>
        <w:tabs>
          <w:tab w:val="left" w:pos="540"/>
          <w:tab w:val="right" w:pos="8460"/>
        </w:tabs>
        <w:spacing w:after="0" w:line="240" w:lineRule="auto"/>
        <w:rPr>
          <w:rFonts w:ascii="Times New Roman" w:eastAsia="Times New Roman" w:hAnsi="Times New Roman"/>
          <w:sz w:val="20"/>
          <w:szCs w:val="20"/>
        </w:rPr>
      </w:pPr>
    </w:p>
    <w:p w:rsidR="003C37AE" w:rsidRPr="00374801" w:rsidRDefault="004C0A10" w:rsidP="00FB2022">
      <w:pPr>
        <w:tabs>
          <w:tab w:val="left" w:pos="540"/>
          <w:tab w:val="right" w:pos="8460"/>
        </w:tabs>
        <w:spacing w:after="0" w:line="240" w:lineRule="auto"/>
        <w:rPr>
          <w:rFonts w:ascii="Times New Roman" w:eastAsia="Times New Roman" w:hAnsi="Times New Roman"/>
          <w:sz w:val="20"/>
          <w:szCs w:val="20"/>
        </w:rPr>
      </w:pPr>
      <w:r w:rsidRPr="00374801">
        <w:rPr>
          <w:rFonts w:ascii="Times New Roman" w:eastAsia="Times New Roman" w:hAnsi="Times New Roman"/>
          <w:sz w:val="20"/>
          <w:szCs w:val="20"/>
        </w:rPr>
        <w:t>5.</w:t>
      </w:r>
      <w:r w:rsidRPr="00374801">
        <w:rPr>
          <w:rFonts w:ascii="Times New Roman" w:eastAsia="Times New Roman" w:hAnsi="Times New Roman"/>
          <w:sz w:val="20"/>
          <w:szCs w:val="20"/>
        </w:rPr>
        <w:tab/>
        <w:t>Thuyết minh B</w:t>
      </w:r>
      <w:r w:rsidR="003C37AE" w:rsidRPr="00374801">
        <w:rPr>
          <w:rFonts w:ascii="Times New Roman" w:eastAsia="Times New Roman" w:hAnsi="Times New Roman"/>
          <w:sz w:val="20"/>
          <w:szCs w:val="20"/>
        </w:rPr>
        <w:t xml:space="preserve">áo cáo tỷ lệ an toàn tài chính tại ngày </w:t>
      </w:r>
      <w:r w:rsidR="00A141AE">
        <w:rPr>
          <w:rFonts w:ascii="Times New Roman" w:eastAsia="Times New Roman" w:hAnsi="Times New Roman"/>
          <w:sz w:val="20"/>
          <w:szCs w:val="20"/>
        </w:rPr>
        <w:t>30 tháng 6 năm 2015</w:t>
      </w:r>
      <w:r w:rsidR="00322C9B" w:rsidRPr="00374801">
        <w:rPr>
          <w:rFonts w:ascii="Times New Roman" w:eastAsia="Times New Roman" w:hAnsi="Times New Roman"/>
          <w:sz w:val="20"/>
          <w:szCs w:val="20"/>
        </w:rPr>
        <w:tab/>
      </w:r>
      <w:r w:rsidR="00DC018A">
        <w:rPr>
          <w:rFonts w:ascii="Times New Roman" w:eastAsia="Times New Roman" w:hAnsi="Times New Roman"/>
          <w:sz w:val="20"/>
          <w:szCs w:val="20"/>
        </w:rPr>
        <w:t>6</w:t>
      </w:r>
      <w:r w:rsidR="003C37AE" w:rsidRPr="00374801">
        <w:rPr>
          <w:rFonts w:ascii="Times New Roman" w:eastAsia="Times New Roman" w:hAnsi="Times New Roman"/>
          <w:sz w:val="20"/>
          <w:szCs w:val="20"/>
        </w:rPr>
        <w:t xml:space="preserve"> – </w:t>
      </w:r>
      <w:r w:rsidR="00D55C3B">
        <w:rPr>
          <w:rFonts w:ascii="Times New Roman" w:eastAsia="Times New Roman" w:hAnsi="Times New Roman"/>
          <w:sz w:val="20"/>
          <w:szCs w:val="20"/>
        </w:rPr>
        <w:t>19</w:t>
      </w:r>
    </w:p>
    <w:p w:rsidR="003C37AE" w:rsidRPr="00374801" w:rsidRDefault="003C37AE" w:rsidP="00FB2022">
      <w:pPr>
        <w:tabs>
          <w:tab w:val="left" w:pos="540"/>
          <w:tab w:val="right" w:pos="8460"/>
        </w:tabs>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pPr>
    </w:p>
    <w:p w:rsidR="00303C2E" w:rsidRPr="00374801" w:rsidRDefault="00303C2E" w:rsidP="00303C2E">
      <w:pPr>
        <w:spacing w:after="0" w:line="240" w:lineRule="auto"/>
        <w:rPr>
          <w:rFonts w:ascii="Times New Roman" w:eastAsia="Times New Roman" w:hAnsi="Times New Roman"/>
          <w:sz w:val="20"/>
          <w:szCs w:val="20"/>
        </w:rPr>
        <w:sectPr w:rsidR="00303C2E" w:rsidRPr="00374801" w:rsidSect="00682D49">
          <w:pgSz w:w="11907" w:h="16840" w:code="9"/>
          <w:pgMar w:top="539" w:right="1304" w:bottom="1440" w:left="2041" w:header="720" w:footer="720" w:gutter="0"/>
          <w:pgNumType w:start="1"/>
          <w:cols w:space="720"/>
          <w:docGrid w:linePitch="360"/>
        </w:sectPr>
      </w:pPr>
    </w:p>
    <w:p w:rsidR="00994B04" w:rsidRPr="00374801" w:rsidRDefault="00994B04" w:rsidP="00994B04">
      <w:pPr>
        <w:spacing w:after="0"/>
        <w:jc w:val="both"/>
        <w:rPr>
          <w:rFonts w:ascii="Times New Roman" w:hAnsi="Times New Roman"/>
          <w:b/>
          <w:sz w:val="20"/>
          <w:szCs w:val="20"/>
        </w:rPr>
      </w:pPr>
      <w:r w:rsidRPr="00374801">
        <w:rPr>
          <w:rFonts w:ascii="Times New Roman" w:hAnsi="Times New Roman"/>
          <w:b/>
          <w:sz w:val="20"/>
          <w:szCs w:val="20"/>
        </w:rPr>
        <w:lastRenderedPageBreak/>
        <w:t>THÔNG TIN CHUNG</w:t>
      </w:r>
    </w:p>
    <w:p w:rsidR="00994B04" w:rsidRPr="00374801" w:rsidRDefault="00994B04" w:rsidP="00303C2E">
      <w:pPr>
        <w:spacing w:after="0" w:line="240" w:lineRule="auto"/>
        <w:ind w:left="540"/>
        <w:jc w:val="both"/>
        <w:rPr>
          <w:rFonts w:ascii="Times New Roman" w:eastAsia="Times New Roman" w:hAnsi="Times New Roman"/>
          <w:b/>
          <w:sz w:val="20"/>
          <w:szCs w:val="20"/>
        </w:rPr>
      </w:pPr>
    </w:p>
    <w:p w:rsidR="00994B04" w:rsidRPr="00374801" w:rsidRDefault="00994B04" w:rsidP="00994B04">
      <w:pPr>
        <w:spacing w:after="0" w:line="240" w:lineRule="auto"/>
        <w:jc w:val="both"/>
        <w:rPr>
          <w:rFonts w:ascii="Times New Roman" w:eastAsia="Times New Roman" w:hAnsi="Times New Roman"/>
          <w:b/>
          <w:sz w:val="20"/>
          <w:szCs w:val="20"/>
        </w:rPr>
      </w:pPr>
      <w:r w:rsidRPr="00374801">
        <w:rPr>
          <w:rFonts w:ascii="Times New Roman" w:eastAsia="Times New Roman" w:hAnsi="Times New Roman"/>
          <w:b/>
          <w:sz w:val="20"/>
          <w:szCs w:val="20"/>
        </w:rPr>
        <w:t>CÔNG TY</w:t>
      </w:r>
    </w:p>
    <w:p w:rsidR="00994B04" w:rsidRPr="00374801" w:rsidRDefault="00994B04" w:rsidP="00303C2E">
      <w:pPr>
        <w:spacing w:after="0" w:line="240" w:lineRule="auto"/>
        <w:ind w:left="540"/>
        <w:jc w:val="both"/>
        <w:rPr>
          <w:rFonts w:ascii="Times New Roman" w:eastAsia="Times New Roman" w:hAnsi="Times New Roman"/>
          <w:sz w:val="20"/>
          <w:szCs w:val="20"/>
        </w:rPr>
      </w:pPr>
    </w:p>
    <w:p w:rsidR="00994B04" w:rsidRPr="00374801" w:rsidRDefault="0076388D" w:rsidP="00994B04">
      <w:pPr>
        <w:spacing w:after="0"/>
        <w:jc w:val="both"/>
        <w:rPr>
          <w:rFonts w:ascii="Times New Roman" w:eastAsia="PMingLiU" w:hAnsi="Times New Roman"/>
          <w:sz w:val="20"/>
          <w:szCs w:val="20"/>
          <w:lang w:val="es-MX"/>
        </w:rPr>
      </w:pPr>
      <w:r>
        <w:rPr>
          <w:rFonts w:ascii="Times New Roman" w:eastAsia="PMingLiU" w:hAnsi="Times New Roman"/>
          <w:sz w:val="20"/>
          <w:lang w:val="es-MX"/>
        </w:rPr>
        <w:t>Công ty Cổ phần Chứng khoán KIS Việt Nam (sau đây gọi tắt là "Công ty"), là Công ty cổ phần được thành lập theo Giấy phép Thành lập và Hoạt động Kinh doanh Chứng khoán Số 56/UBCK-GPHĐKD ngày 05 tháng 7 năm 2007, Giấy phép điều chỉnh số 376/GPĐC-UBCK ngày 17 tháng 12 năm 2010, Giấy phép điều chỉnh số 19/GPĐC-UBCK ngày 21 tháng 3 năm 2011, Giấy phép điều chỉnh số</w:t>
      </w:r>
      <w:r>
        <w:rPr>
          <w:rFonts w:ascii="Times New Roman" w:hAnsi="Times New Roman"/>
          <w:sz w:val="20"/>
        </w:rPr>
        <w:t xml:space="preserve"> 42/GPĐC-UBCK ngày 08 tháng 7 năm 2011, </w:t>
      </w:r>
      <w:r>
        <w:rPr>
          <w:rFonts w:ascii="Times New Roman" w:hAnsi="Times New Roman"/>
          <w:sz w:val="20"/>
          <w:lang w:val="en-GB"/>
        </w:rPr>
        <w:t>Giấy phép điều chỉnh số 01/GPĐC-UBCK</w:t>
      </w:r>
      <w:r>
        <w:rPr>
          <w:rFonts w:ascii="Times New Roman" w:eastAsia="PMingLiU" w:hAnsi="Times New Roman"/>
          <w:sz w:val="20"/>
          <w:lang w:val="es-MX"/>
        </w:rPr>
        <w:t xml:space="preserve"> ngày 09 tháng 01 năm 2015 và </w:t>
      </w:r>
      <w:r>
        <w:rPr>
          <w:rFonts w:ascii="Times New Roman" w:hAnsi="Times New Roman"/>
          <w:sz w:val="20"/>
          <w:lang w:val="en-GB"/>
        </w:rPr>
        <w:t>Giấy phép điều chỉnh số 20/GPĐC-UBCK</w:t>
      </w:r>
      <w:r>
        <w:rPr>
          <w:rFonts w:ascii="Times New Roman" w:eastAsia="PMingLiU" w:hAnsi="Times New Roman"/>
          <w:sz w:val="20"/>
          <w:lang w:val="es-MX"/>
        </w:rPr>
        <w:t xml:space="preserve"> ngày 22 tháng 4 năm 2015 do Ủy ban Chứng khoán Nhà nước cấp. Vốn điều lệ theo Giấy phép là 1.112.766.000.000 đồng</w:t>
      </w:r>
      <w:r w:rsidR="00994B04" w:rsidRPr="00374801">
        <w:rPr>
          <w:rFonts w:ascii="Times New Roman" w:eastAsia="PMingLiU" w:hAnsi="Times New Roman"/>
          <w:sz w:val="20"/>
          <w:szCs w:val="20"/>
          <w:lang w:val="es-MX"/>
        </w:rPr>
        <w:t>.</w:t>
      </w:r>
    </w:p>
    <w:p w:rsidR="00994B04" w:rsidRPr="00374801" w:rsidRDefault="00994B04" w:rsidP="00994B04">
      <w:pPr>
        <w:spacing w:after="0"/>
        <w:ind w:left="540" w:firstLine="7"/>
        <w:rPr>
          <w:rFonts w:ascii="Times New Roman" w:eastAsia="PMingLiU" w:hAnsi="Times New Roman"/>
          <w:sz w:val="20"/>
          <w:szCs w:val="20"/>
          <w:lang w:val="es-MX"/>
        </w:rPr>
      </w:pPr>
    </w:p>
    <w:p w:rsidR="00994B04" w:rsidRPr="00374801" w:rsidRDefault="00994B04" w:rsidP="00994B04">
      <w:pPr>
        <w:spacing w:after="0"/>
        <w:rPr>
          <w:rFonts w:ascii="Times New Roman" w:eastAsia="PMingLiU" w:hAnsi="Times New Roman"/>
          <w:b/>
          <w:sz w:val="20"/>
          <w:szCs w:val="20"/>
          <w:lang w:val="es-MX"/>
        </w:rPr>
      </w:pPr>
      <w:r w:rsidRPr="00374801">
        <w:rPr>
          <w:rFonts w:ascii="Times New Roman" w:eastAsia="PMingLiU" w:hAnsi="Times New Roman"/>
          <w:b/>
          <w:sz w:val="20"/>
          <w:szCs w:val="20"/>
          <w:lang w:val="es-MX"/>
        </w:rPr>
        <w:t>Tên giao dịch và trụ sở</w:t>
      </w:r>
    </w:p>
    <w:p w:rsidR="00994B04" w:rsidRPr="00374801" w:rsidRDefault="00994B04" w:rsidP="00994B04">
      <w:pPr>
        <w:spacing w:after="0"/>
        <w:ind w:left="540" w:firstLine="7"/>
        <w:rPr>
          <w:rFonts w:ascii="Times New Roman" w:eastAsia="PMingLiU" w:hAnsi="Times New Roman"/>
          <w:sz w:val="20"/>
          <w:szCs w:val="20"/>
          <w:lang w:val="es-MX"/>
        </w:rPr>
      </w:pPr>
    </w:p>
    <w:p w:rsidR="00994B04" w:rsidRPr="00374801" w:rsidRDefault="00994B04" w:rsidP="0076388D">
      <w:pPr>
        <w:spacing w:after="120" w:line="288" w:lineRule="auto"/>
        <w:jc w:val="both"/>
        <w:rPr>
          <w:rFonts w:ascii="Times New Roman" w:eastAsia="PMingLiU" w:hAnsi="Times New Roman"/>
          <w:sz w:val="20"/>
          <w:szCs w:val="20"/>
          <w:lang w:val="es-MX"/>
        </w:rPr>
      </w:pPr>
      <w:r w:rsidRPr="00374801">
        <w:rPr>
          <w:rFonts w:ascii="Times New Roman" w:eastAsia="PMingLiU" w:hAnsi="Times New Roman"/>
          <w:sz w:val="20"/>
          <w:szCs w:val="20"/>
          <w:lang w:val="es-MX"/>
        </w:rPr>
        <w:t xml:space="preserve">Tên giao dịch tiếng Anh của Công ty là KIS VIET NAM SECURITIES CORPORATION. </w:t>
      </w:r>
    </w:p>
    <w:p w:rsidR="00994B04" w:rsidRPr="00374801" w:rsidRDefault="00994B04" w:rsidP="0076388D">
      <w:pPr>
        <w:spacing w:after="120"/>
        <w:jc w:val="both"/>
        <w:rPr>
          <w:rFonts w:ascii="Times New Roman" w:eastAsia="PMingLiU" w:hAnsi="Times New Roman"/>
          <w:sz w:val="20"/>
          <w:szCs w:val="20"/>
        </w:rPr>
      </w:pPr>
      <w:r w:rsidRPr="00374801">
        <w:rPr>
          <w:rFonts w:ascii="Times New Roman" w:eastAsia="PMingLiU" w:hAnsi="Times New Roman"/>
          <w:sz w:val="20"/>
          <w:szCs w:val="20"/>
        </w:rPr>
        <w:t xml:space="preserve">Trụ sở chính đặt tại </w:t>
      </w:r>
      <w:r w:rsidRPr="00374801">
        <w:rPr>
          <w:rFonts w:ascii="Times New Roman" w:hAnsi="Times New Roman"/>
          <w:sz w:val="20"/>
          <w:szCs w:val="20"/>
        </w:rPr>
        <w:t>Tầng 3, Tòa nhà Maritime Bank Tower, 180-192 Nguyễn Công Trứ, phường Nguyễn Thái Bình, quận 1, Thành phố Hồ Chí Minh</w:t>
      </w:r>
      <w:r w:rsidRPr="00374801">
        <w:rPr>
          <w:rFonts w:ascii="Times New Roman" w:eastAsia="PMingLiU" w:hAnsi="Times New Roman"/>
          <w:sz w:val="20"/>
          <w:szCs w:val="20"/>
        </w:rPr>
        <w:t>.</w:t>
      </w:r>
    </w:p>
    <w:p w:rsidR="00994B04" w:rsidRDefault="00994B04" w:rsidP="0076388D">
      <w:pPr>
        <w:spacing w:after="120" w:line="288" w:lineRule="auto"/>
        <w:jc w:val="both"/>
        <w:rPr>
          <w:rFonts w:ascii="Times New Roman" w:eastAsia="PMingLiU" w:hAnsi="Times New Roman"/>
          <w:sz w:val="20"/>
          <w:szCs w:val="20"/>
        </w:rPr>
      </w:pPr>
      <w:r w:rsidRPr="00374801">
        <w:rPr>
          <w:rFonts w:ascii="Times New Roman" w:eastAsia="PMingLiU" w:hAnsi="Times New Roman"/>
          <w:sz w:val="20"/>
          <w:szCs w:val="20"/>
        </w:rPr>
        <w:t>Chi nhánh của Công ty Cổ phần Chứng khoán KIS Việt Nam đặt tại tầng 6 số 299 Cầu Giấy, Quận Cầu Giấy, Thành phố Hà Nội.</w:t>
      </w:r>
    </w:p>
    <w:p w:rsidR="0076388D" w:rsidRPr="00374801" w:rsidRDefault="0076388D" w:rsidP="0076388D">
      <w:pPr>
        <w:spacing w:after="120" w:line="288" w:lineRule="auto"/>
        <w:jc w:val="both"/>
        <w:rPr>
          <w:rFonts w:ascii="Times New Roman" w:eastAsia="PMingLiU" w:hAnsi="Times New Roman"/>
          <w:sz w:val="20"/>
          <w:szCs w:val="20"/>
        </w:rPr>
      </w:pPr>
      <w:r>
        <w:rPr>
          <w:rFonts w:ascii="Times New Roman" w:eastAsia="PMingLiU" w:hAnsi="Times New Roman"/>
          <w:sz w:val="20"/>
        </w:rPr>
        <w:t>Các Phòng giao dịch tại Thành phố Hồ Chí Minh và Hà Nội</w:t>
      </w:r>
    </w:p>
    <w:p w:rsidR="00994B04" w:rsidRPr="00374801" w:rsidRDefault="00994B04" w:rsidP="00994B04">
      <w:pPr>
        <w:jc w:val="both"/>
        <w:rPr>
          <w:rFonts w:ascii="Times New Roman" w:eastAsia="PMingLiU" w:hAnsi="Times New Roman"/>
          <w:b/>
          <w:sz w:val="20"/>
          <w:szCs w:val="20"/>
        </w:rPr>
      </w:pPr>
      <w:r w:rsidRPr="00374801">
        <w:rPr>
          <w:rFonts w:ascii="Times New Roman" w:eastAsia="PMingLiU" w:hAnsi="Times New Roman"/>
          <w:b/>
          <w:sz w:val="20"/>
          <w:szCs w:val="20"/>
        </w:rPr>
        <w:t>Hoạt động kinh doanh chính</w:t>
      </w:r>
    </w:p>
    <w:p w:rsidR="00994B04" w:rsidRPr="00374801" w:rsidRDefault="0076388D" w:rsidP="00994B04">
      <w:pPr>
        <w:spacing w:after="0" w:line="240" w:lineRule="auto"/>
        <w:jc w:val="both"/>
        <w:rPr>
          <w:rFonts w:ascii="Times New Roman" w:eastAsia="Times New Roman" w:hAnsi="Times New Roman"/>
          <w:sz w:val="20"/>
          <w:szCs w:val="20"/>
        </w:rPr>
      </w:pPr>
      <w:r>
        <w:rPr>
          <w:rFonts w:ascii="Times New Roman" w:eastAsia="PMingLiU" w:hAnsi="Times New Roman"/>
          <w:sz w:val="20"/>
        </w:rPr>
        <w:t>H</w:t>
      </w:r>
      <w:r w:rsidRPr="002E4669">
        <w:rPr>
          <w:rFonts w:ascii="Times New Roman" w:eastAsia="PMingLiU" w:hAnsi="Times New Roman"/>
          <w:sz w:val="20"/>
        </w:rPr>
        <w:t>oạt động</w:t>
      </w:r>
      <w:r>
        <w:rPr>
          <w:rFonts w:ascii="Times New Roman" w:eastAsia="PMingLiU" w:hAnsi="Times New Roman"/>
          <w:sz w:val="20"/>
        </w:rPr>
        <w:t xml:space="preserve"> kinh doanh chính</w:t>
      </w:r>
      <w:r w:rsidRPr="002E4669">
        <w:rPr>
          <w:rFonts w:ascii="Times New Roman" w:eastAsia="PMingLiU" w:hAnsi="Times New Roman"/>
          <w:sz w:val="20"/>
        </w:rPr>
        <w:t xml:space="preserve"> của Công ty bao gồm: môi giới chứng khoán; tự doanh chứng khoán; tư vấn đầu tư chứng khoán; lưu ký chứ</w:t>
      </w:r>
      <w:r>
        <w:rPr>
          <w:rFonts w:ascii="Times New Roman" w:eastAsia="PMingLiU" w:hAnsi="Times New Roman"/>
          <w:sz w:val="20"/>
        </w:rPr>
        <w:t>ng khoán và bảo lãnh phát hành chứng khoán</w:t>
      </w:r>
      <w:r w:rsidR="00994B04" w:rsidRPr="00374801">
        <w:rPr>
          <w:rFonts w:ascii="Times New Roman" w:eastAsia="PMingLiU" w:hAnsi="Times New Roman"/>
          <w:sz w:val="20"/>
          <w:szCs w:val="20"/>
        </w:rPr>
        <w:t>.</w:t>
      </w:r>
    </w:p>
    <w:p w:rsidR="00994B04" w:rsidRPr="00374801" w:rsidRDefault="00994B04" w:rsidP="00303C2E">
      <w:pPr>
        <w:spacing w:after="0" w:line="240" w:lineRule="auto"/>
        <w:ind w:left="540"/>
        <w:jc w:val="both"/>
        <w:rPr>
          <w:rFonts w:ascii="Times New Roman" w:eastAsia="Times New Roman" w:hAnsi="Times New Roman"/>
          <w:sz w:val="20"/>
          <w:szCs w:val="20"/>
        </w:rPr>
      </w:pPr>
    </w:p>
    <w:p w:rsidR="00994B04" w:rsidRPr="00374801" w:rsidRDefault="00994B04" w:rsidP="00994B04">
      <w:pPr>
        <w:pStyle w:val="Heading1"/>
        <w:tabs>
          <w:tab w:val="left" w:pos="3119"/>
          <w:tab w:val="left" w:pos="5670"/>
          <w:tab w:val="left" w:pos="6804"/>
          <w:tab w:val="left" w:pos="8928"/>
        </w:tabs>
        <w:ind w:firstLine="0"/>
      </w:pPr>
      <w:r w:rsidRPr="00374801">
        <w:t xml:space="preserve">Hội đồng quản trị, Ban kiểm soát và Tổng Giám đốc </w:t>
      </w:r>
    </w:p>
    <w:p w:rsidR="00994B04" w:rsidRPr="00374801" w:rsidRDefault="00994B04" w:rsidP="00994B04">
      <w:pPr>
        <w:pStyle w:val="Heading1"/>
        <w:tabs>
          <w:tab w:val="left" w:pos="3119"/>
          <w:tab w:val="left" w:pos="5670"/>
          <w:tab w:val="left" w:pos="6804"/>
          <w:tab w:val="left" w:pos="8928"/>
        </w:tabs>
      </w:pPr>
    </w:p>
    <w:p w:rsidR="00994B04" w:rsidRDefault="00994B04" w:rsidP="00994B04">
      <w:pPr>
        <w:jc w:val="both"/>
        <w:rPr>
          <w:rFonts w:ascii="Times New Roman" w:hAnsi="Times New Roman"/>
          <w:sz w:val="20"/>
          <w:szCs w:val="20"/>
        </w:rPr>
      </w:pPr>
      <w:r w:rsidRPr="00374801">
        <w:rPr>
          <w:rFonts w:ascii="Times New Roman" w:hAnsi="Times New Roman"/>
          <w:sz w:val="20"/>
          <w:szCs w:val="20"/>
        </w:rPr>
        <w:t>Các thành viên của Hội đồng Quản trị</w:t>
      </w:r>
      <w:r w:rsidR="000B6B61">
        <w:rPr>
          <w:rFonts w:ascii="Times New Roman" w:hAnsi="Times New Roman"/>
          <w:sz w:val="20"/>
          <w:szCs w:val="20"/>
        </w:rPr>
        <w:t xml:space="preserve"> trong kỳ</w:t>
      </w:r>
      <w:r w:rsidRPr="00374801">
        <w:rPr>
          <w:rFonts w:ascii="Times New Roman" w:hAnsi="Times New Roman"/>
          <w:sz w:val="20"/>
          <w:szCs w:val="20"/>
        </w:rPr>
        <w:t xml:space="preserve"> và đến ngày lập báo cáo này gồm:</w:t>
      </w:r>
    </w:p>
    <w:p w:rsidR="0076388D" w:rsidRDefault="0076388D" w:rsidP="0076388D">
      <w:pPr>
        <w:ind w:left="540"/>
        <w:jc w:val="both"/>
        <w:rPr>
          <w:rFonts w:ascii="Times New Roman" w:hAnsi="Times New Roman"/>
          <w:sz w:val="20"/>
        </w:rPr>
      </w:pPr>
    </w:p>
    <w:tbl>
      <w:tblPr>
        <w:tblW w:w="9828" w:type="dxa"/>
        <w:tblLayout w:type="fixed"/>
        <w:tblLook w:val="0000"/>
      </w:tblPr>
      <w:tblGrid>
        <w:gridCol w:w="2988"/>
        <w:gridCol w:w="360"/>
        <w:gridCol w:w="6120"/>
        <w:gridCol w:w="360"/>
      </w:tblGrid>
      <w:tr w:rsidR="0076388D" w:rsidRPr="00787736" w:rsidTr="00A64F75">
        <w:trPr>
          <w:gridAfter w:val="1"/>
          <w:wAfter w:w="360" w:type="dxa"/>
          <w:cantSplit/>
        </w:trPr>
        <w:tc>
          <w:tcPr>
            <w:tcW w:w="2988" w:type="dxa"/>
          </w:tcPr>
          <w:p w:rsidR="0076388D" w:rsidRPr="00787736" w:rsidRDefault="0076388D" w:rsidP="00A64F75">
            <w:pPr>
              <w:pStyle w:val="response"/>
              <w:spacing w:before="0" w:after="0"/>
              <w:jc w:val="both"/>
              <w:rPr>
                <w:b/>
                <w:u w:val="single"/>
              </w:rPr>
            </w:pPr>
            <w:r w:rsidRPr="00787736">
              <w:rPr>
                <w:b/>
                <w:u w:val="single"/>
              </w:rPr>
              <w:t>Hội đồng Quản trị</w:t>
            </w:r>
          </w:p>
        </w:tc>
        <w:tc>
          <w:tcPr>
            <w:tcW w:w="6480" w:type="dxa"/>
            <w:gridSpan w:val="2"/>
          </w:tcPr>
          <w:p w:rsidR="0076388D" w:rsidRPr="00787736" w:rsidRDefault="0076388D" w:rsidP="00A64F75">
            <w:pPr>
              <w:pStyle w:val="response"/>
              <w:spacing w:before="0" w:after="0"/>
              <w:ind w:left="540"/>
              <w:jc w:val="both"/>
            </w:pPr>
          </w:p>
        </w:tc>
      </w:tr>
      <w:tr w:rsidR="0076388D" w:rsidRPr="00787736" w:rsidTr="00A64F75">
        <w:trPr>
          <w:gridAfter w:val="1"/>
          <w:wAfter w:w="360" w:type="dxa"/>
          <w:cantSplit/>
        </w:trPr>
        <w:tc>
          <w:tcPr>
            <w:tcW w:w="2988" w:type="dxa"/>
          </w:tcPr>
          <w:p w:rsidR="0076388D" w:rsidRPr="00787736" w:rsidRDefault="0076388D" w:rsidP="00A64F75">
            <w:pPr>
              <w:pStyle w:val="response"/>
              <w:spacing w:before="0" w:after="0"/>
              <w:ind w:left="540"/>
              <w:jc w:val="both"/>
              <w:rPr>
                <w:sz w:val="12"/>
                <w:szCs w:val="12"/>
              </w:rPr>
            </w:pPr>
          </w:p>
        </w:tc>
        <w:tc>
          <w:tcPr>
            <w:tcW w:w="6480" w:type="dxa"/>
            <w:gridSpan w:val="2"/>
          </w:tcPr>
          <w:p w:rsidR="0076388D" w:rsidRPr="00787736" w:rsidRDefault="0076388D" w:rsidP="00A64F75">
            <w:pPr>
              <w:pStyle w:val="response"/>
              <w:spacing w:before="0" w:after="0"/>
              <w:ind w:left="540"/>
              <w:jc w:val="both"/>
              <w:rPr>
                <w:sz w:val="12"/>
                <w:szCs w:val="12"/>
              </w:rPr>
            </w:pPr>
          </w:p>
        </w:tc>
      </w:tr>
      <w:tr w:rsidR="0076388D" w:rsidRPr="00787736" w:rsidTr="00A64F75">
        <w:trPr>
          <w:cantSplit/>
        </w:trPr>
        <w:tc>
          <w:tcPr>
            <w:tcW w:w="3348" w:type="dxa"/>
            <w:gridSpan w:val="2"/>
          </w:tcPr>
          <w:p w:rsidR="0076388D" w:rsidRPr="00787736" w:rsidRDefault="0076388D" w:rsidP="00A64F75">
            <w:pPr>
              <w:pStyle w:val="response"/>
              <w:spacing w:before="0" w:after="0"/>
              <w:ind w:left="540"/>
              <w:jc w:val="both"/>
            </w:pPr>
            <w:r w:rsidRPr="00787736">
              <w:t>Ông Oh Kyung Hee</w:t>
            </w:r>
          </w:p>
          <w:p w:rsidR="0076388D" w:rsidRDefault="0076388D" w:rsidP="00A64F75">
            <w:pPr>
              <w:pStyle w:val="response"/>
              <w:spacing w:before="0" w:after="0"/>
              <w:ind w:left="540"/>
              <w:jc w:val="both"/>
            </w:pPr>
            <w:r w:rsidRPr="00787736">
              <w:t xml:space="preserve">Ông </w:t>
            </w:r>
            <w:r>
              <w:t>Kim Min Kyu</w:t>
            </w:r>
          </w:p>
          <w:p w:rsidR="0076388D" w:rsidRPr="00787736" w:rsidRDefault="0076388D" w:rsidP="00A64F75">
            <w:pPr>
              <w:pStyle w:val="response"/>
              <w:spacing w:before="0" w:after="0"/>
              <w:ind w:left="540"/>
              <w:jc w:val="both"/>
            </w:pPr>
            <w:r>
              <w:t>Ông Lee Seok Lo</w:t>
            </w:r>
          </w:p>
          <w:p w:rsidR="0076388D" w:rsidRPr="00787736" w:rsidRDefault="0076388D" w:rsidP="00A64F75">
            <w:pPr>
              <w:pStyle w:val="response"/>
              <w:spacing w:before="0" w:after="0"/>
              <w:ind w:left="540"/>
              <w:jc w:val="both"/>
            </w:pPr>
            <w:r w:rsidRPr="00787736">
              <w:t>Ông Lee Kang Haeng</w:t>
            </w:r>
          </w:p>
        </w:tc>
        <w:tc>
          <w:tcPr>
            <w:tcW w:w="6480" w:type="dxa"/>
            <w:gridSpan w:val="2"/>
          </w:tcPr>
          <w:p w:rsidR="0076388D" w:rsidRPr="00787736" w:rsidRDefault="0076388D" w:rsidP="00A64F75">
            <w:pPr>
              <w:pStyle w:val="response"/>
              <w:spacing w:before="0" w:after="0"/>
              <w:ind w:left="540"/>
              <w:jc w:val="both"/>
            </w:pPr>
            <w:r>
              <w:t xml:space="preserve">Chủ tịch </w:t>
            </w:r>
          </w:p>
          <w:p w:rsidR="0076388D" w:rsidRPr="00787736" w:rsidRDefault="0076388D" w:rsidP="00A64F75">
            <w:pPr>
              <w:pStyle w:val="response"/>
              <w:spacing w:before="0" w:after="0"/>
              <w:ind w:left="540"/>
              <w:jc w:val="both"/>
            </w:pPr>
            <w:r w:rsidRPr="00787736">
              <w:t xml:space="preserve">Thành viên </w:t>
            </w:r>
          </w:p>
          <w:p w:rsidR="0076388D" w:rsidRDefault="0076388D" w:rsidP="00A64F75">
            <w:pPr>
              <w:pStyle w:val="response"/>
              <w:spacing w:before="0" w:after="0"/>
              <w:ind w:left="540"/>
              <w:jc w:val="both"/>
            </w:pPr>
            <w:r>
              <w:t>Thành viên (Bổ nhiệm ngày 02 tháng 3 năm 2015)</w:t>
            </w:r>
          </w:p>
          <w:p w:rsidR="0076388D" w:rsidRPr="00787736" w:rsidRDefault="0076388D" w:rsidP="00A64F75">
            <w:pPr>
              <w:pStyle w:val="response"/>
              <w:spacing w:before="0" w:after="0"/>
              <w:ind w:left="540"/>
              <w:jc w:val="both"/>
            </w:pPr>
            <w:r w:rsidRPr="00787736">
              <w:t xml:space="preserve">Thành viên </w:t>
            </w:r>
            <w:r>
              <w:t>(Miễn nhiệm ngày 02 tháng 3 năm 2015)</w:t>
            </w:r>
          </w:p>
        </w:tc>
      </w:tr>
      <w:tr w:rsidR="0076388D" w:rsidRPr="00787736" w:rsidTr="00A64F75">
        <w:trPr>
          <w:cantSplit/>
        </w:trPr>
        <w:tc>
          <w:tcPr>
            <w:tcW w:w="3348" w:type="dxa"/>
            <w:gridSpan w:val="2"/>
          </w:tcPr>
          <w:p w:rsidR="0076388D" w:rsidRPr="00787736" w:rsidDel="004A2956" w:rsidRDefault="0076388D" w:rsidP="00A64F75">
            <w:pPr>
              <w:pStyle w:val="response"/>
              <w:spacing w:before="0" w:after="0"/>
              <w:jc w:val="both"/>
            </w:pPr>
          </w:p>
        </w:tc>
        <w:tc>
          <w:tcPr>
            <w:tcW w:w="6480" w:type="dxa"/>
            <w:gridSpan w:val="2"/>
          </w:tcPr>
          <w:p w:rsidR="0076388D" w:rsidRPr="00787736" w:rsidDel="004A2956" w:rsidRDefault="0076388D" w:rsidP="00A64F75">
            <w:pPr>
              <w:pStyle w:val="response"/>
              <w:spacing w:before="0" w:after="0"/>
              <w:jc w:val="both"/>
            </w:pPr>
          </w:p>
        </w:tc>
      </w:tr>
      <w:tr w:rsidR="0076388D" w:rsidRPr="00787736" w:rsidTr="00A64F75">
        <w:trPr>
          <w:cantSplit/>
        </w:trPr>
        <w:tc>
          <w:tcPr>
            <w:tcW w:w="3348" w:type="dxa"/>
            <w:gridSpan w:val="2"/>
          </w:tcPr>
          <w:p w:rsidR="0076388D" w:rsidRPr="00787736" w:rsidRDefault="0076388D" w:rsidP="00A64F75">
            <w:pPr>
              <w:pStyle w:val="response"/>
              <w:spacing w:before="0" w:after="0"/>
              <w:jc w:val="both"/>
              <w:rPr>
                <w:b/>
                <w:u w:val="single"/>
              </w:rPr>
            </w:pPr>
            <w:r w:rsidRPr="00787736">
              <w:rPr>
                <w:b/>
                <w:u w:val="single"/>
              </w:rPr>
              <w:t>Ban kiểm soát</w:t>
            </w:r>
          </w:p>
        </w:tc>
        <w:tc>
          <w:tcPr>
            <w:tcW w:w="6480" w:type="dxa"/>
            <w:gridSpan w:val="2"/>
          </w:tcPr>
          <w:p w:rsidR="0076388D" w:rsidRPr="00787736" w:rsidRDefault="0076388D" w:rsidP="00A64F75">
            <w:pPr>
              <w:pStyle w:val="response"/>
              <w:spacing w:before="0" w:after="0"/>
              <w:ind w:left="540"/>
              <w:jc w:val="both"/>
            </w:pPr>
          </w:p>
        </w:tc>
      </w:tr>
      <w:tr w:rsidR="0076388D" w:rsidRPr="00787736" w:rsidTr="00A64F75">
        <w:trPr>
          <w:cantSplit/>
        </w:trPr>
        <w:tc>
          <w:tcPr>
            <w:tcW w:w="3348" w:type="dxa"/>
            <w:gridSpan w:val="2"/>
          </w:tcPr>
          <w:p w:rsidR="0076388D" w:rsidRPr="00787736" w:rsidRDefault="0076388D" w:rsidP="00A64F75">
            <w:pPr>
              <w:pStyle w:val="response"/>
              <w:spacing w:before="0" w:after="0"/>
              <w:ind w:left="540"/>
              <w:jc w:val="both"/>
              <w:rPr>
                <w:sz w:val="12"/>
                <w:szCs w:val="12"/>
              </w:rPr>
            </w:pPr>
          </w:p>
        </w:tc>
        <w:tc>
          <w:tcPr>
            <w:tcW w:w="6480" w:type="dxa"/>
            <w:gridSpan w:val="2"/>
          </w:tcPr>
          <w:p w:rsidR="0076388D" w:rsidRPr="00787736" w:rsidRDefault="0076388D" w:rsidP="00A64F75">
            <w:pPr>
              <w:pStyle w:val="response"/>
              <w:spacing w:before="0" w:after="0"/>
              <w:ind w:left="540"/>
              <w:jc w:val="both"/>
              <w:rPr>
                <w:sz w:val="12"/>
                <w:szCs w:val="12"/>
              </w:rPr>
            </w:pPr>
          </w:p>
        </w:tc>
      </w:tr>
      <w:tr w:rsidR="0076388D" w:rsidRPr="00787736" w:rsidTr="00A64F75">
        <w:trPr>
          <w:cantSplit/>
        </w:trPr>
        <w:tc>
          <w:tcPr>
            <w:tcW w:w="3348" w:type="dxa"/>
            <w:gridSpan w:val="2"/>
          </w:tcPr>
          <w:p w:rsidR="0076388D" w:rsidRDefault="0076388D" w:rsidP="00A64F75">
            <w:pPr>
              <w:pStyle w:val="response"/>
              <w:spacing w:before="0" w:after="0"/>
              <w:ind w:left="540"/>
              <w:jc w:val="both"/>
            </w:pPr>
            <w:r>
              <w:t>Bà Trần Thị Trúc Linh</w:t>
            </w:r>
          </w:p>
          <w:p w:rsidR="0076388D" w:rsidRPr="00787736" w:rsidRDefault="0076388D" w:rsidP="00A64F75">
            <w:pPr>
              <w:pStyle w:val="response"/>
              <w:spacing w:before="0" w:after="0"/>
              <w:ind w:left="540"/>
              <w:jc w:val="both"/>
            </w:pPr>
            <w:r>
              <w:t>Ông Lê Phương Thành</w:t>
            </w:r>
          </w:p>
        </w:tc>
        <w:tc>
          <w:tcPr>
            <w:tcW w:w="6480" w:type="dxa"/>
            <w:gridSpan w:val="2"/>
          </w:tcPr>
          <w:p w:rsidR="0076388D" w:rsidRDefault="0076388D" w:rsidP="00A64F75">
            <w:pPr>
              <w:pStyle w:val="response"/>
              <w:spacing w:before="0" w:after="0"/>
              <w:ind w:left="540"/>
              <w:jc w:val="both"/>
            </w:pPr>
            <w:r w:rsidRPr="00787736">
              <w:t>Trưởng ban</w:t>
            </w:r>
            <w:r>
              <w:t xml:space="preserve"> (Bổ nhiệm ngày 02 tháng 3 năm 2015)</w:t>
            </w:r>
          </w:p>
          <w:p w:rsidR="0076388D" w:rsidRPr="00787736" w:rsidRDefault="0076388D" w:rsidP="00A64F75">
            <w:pPr>
              <w:pStyle w:val="response"/>
              <w:spacing w:before="0" w:after="0"/>
              <w:ind w:left="540"/>
              <w:jc w:val="both"/>
            </w:pPr>
            <w:r w:rsidRPr="00787736">
              <w:t>Trưởng ban</w:t>
            </w:r>
            <w:r>
              <w:t xml:space="preserve"> (Miễn nhiệm ngày 02 tháng 3 năm 2015)</w:t>
            </w:r>
          </w:p>
        </w:tc>
      </w:tr>
      <w:tr w:rsidR="0076388D" w:rsidRPr="00787736" w:rsidTr="00A64F75">
        <w:trPr>
          <w:cantSplit/>
        </w:trPr>
        <w:tc>
          <w:tcPr>
            <w:tcW w:w="3348" w:type="dxa"/>
            <w:gridSpan w:val="2"/>
          </w:tcPr>
          <w:p w:rsidR="0076388D" w:rsidRDefault="0076388D" w:rsidP="00A64F75">
            <w:pPr>
              <w:pStyle w:val="response"/>
              <w:spacing w:before="0" w:after="0"/>
              <w:ind w:left="540"/>
              <w:jc w:val="both"/>
            </w:pPr>
            <w:r>
              <w:t>Bà Nguyễn Thao Giang</w:t>
            </w:r>
          </w:p>
          <w:p w:rsidR="0076388D" w:rsidRPr="00787736" w:rsidRDefault="0076388D" w:rsidP="00A64F75">
            <w:pPr>
              <w:pStyle w:val="response"/>
              <w:spacing w:before="0" w:after="0"/>
              <w:ind w:left="540"/>
              <w:jc w:val="both"/>
            </w:pPr>
            <w:r>
              <w:t>Ông Kim Sin Yeol</w:t>
            </w:r>
          </w:p>
        </w:tc>
        <w:tc>
          <w:tcPr>
            <w:tcW w:w="6480" w:type="dxa"/>
            <w:gridSpan w:val="2"/>
          </w:tcPr>
          <w:p w:rsidR="0076388D" w:rsidRDefault="0076388D" w:rsidP="00A64F75">
            <w:pPr>
              <w:pStyle w:val="response"/>
              <w:spacing w:before="0" w:after="0"/>
              <w:ind w:left="540"/>
              <w:jc w:val="both"/>
            </w:pPr>
            <w:r w:rsidRPr="00787736">
              <w:t>Thành viên</w:t>
            </w:r>
            <w:r>
              <w:t xml:space="preserve"> </w:t>
            </w:r>
          </w:p>
          <w:p w:rsidR="0076388D" w:rsidRPr="00787736" w:rsidRDefault="0076388D" w:rsidP="00A64F75">
            <w:pPr>
              <w:pStyle w:val="response"/>
              <w:spacing w:before="0" w:after="0"/>
              <w:ind w:left="540"/>
              <w:jc w:val="both"/>
            </w:pPr>
            <w:r w:rsidRPr="00787736">
              <w:t>Thành viên</w:t>
            </w:r>
            <w:r>
              <w:t xml:space="preserve"> </w:t>
            </w:r>
          </w:p>
        </w:tc>
      </w:tr>
    </w:tbl>
    <w:p w:rsidR="0076388D" w:rsidRDefault="0076388D" w:rsidP="0076388D">
      <w:pPr>
        <w:ind w:left="540"/>
        <w:jc w:val="both"/>
        <w:rPr>
          <w:rFonts w:ascii="Times New Roman" w:hAnsi="Times New Roman"/>
          <w:sz w:val="20"/>
        </w:rPr>
      </w:pPr>
    </w:p>
    <w:p w:rsidR="005F7C76" w:rsidRDefault="005F7C76" w:rsidP="00994B04">
      <w:pPr>
        <w:pStyle w:val="response"/>
        <w:spacing w:before="0" w:after="0"/>
        <w:jc w:val="both"/>
        <w:rPr>
          <w:b/>
        </w:rPr>
      </w:pPr>
    </w:p>
    <w:p w:rsidR="00994B04" w:rsidRPr="0076388D" w:rsidRDefault="00994B04" w:rsidP="00994B04">
      <w:pPr>
        <w:pStyle w:val="response"/>
        <w:spacing w:before="0" w:after="0"/>
        <w:jc w:val="both"/>
        <w:rPr>
          <w:b/>
          <w:u w:val="single"/>
        </w:rPr>
      </w:pPr>
      <w:r w:rsidRPr="0076388D">
        <w:rPr>
          <w:b/>
          <w:u w:val="single"/>
        </w:rPr>
        <w:t>Tổng Giám đốc</w:t>
      </w:r>
    </w:p>
    <w:p w:rsidR="00994B04" w:rsidRPr="00374801" w:rsidRDefault="00994B04" w:rsidP="00994B04">
      <w:pPr>
        <w:spacing w:after="0" w:line="240" w:lineRule="auto"/>
        <w:jc w:val="both"/>
        <w:rPr>
          <w:rFonts w:ascii="Times New Roman" w:eastAsia="Times New Roman" w:hAnsi="Times New Roman"/>
          <w:sz w:val="20"/>
          <w:szCs w:val="20"/>
        </w:rPr>
      </w:pPr>
    </w:p>
    <w:p w:rsidR="00994B04" w:rsidRPr="00374801" w:rsidRDefault="00994B04" w:rsidP="0076388D">
      <w:pPr>
        <w:spacing w:after="0" w:line="240" w:lineRule="auto"/>
        <w:jc w:val="both"/>
        <w:rPr>
          <w:rFonts w:ascii="Times New Roman" w:eastAsia="Times New Roman" w:hAnsi="Times New Roman"/>
          <w:sz w:val="20"/>
          <w:szCs w:val="20"/>
        </w:rPr>
      </w:pPr>
      <w:r w:rsidRPr="00374801">
        <w:rPr>
          <w:rFonts w:ascii="Times New Roman" w:eastAsia="Times New Roman" w:hAnsi="Times New Roman"/>
          <w:sz w:val="20"/>
          <w:szCs w:val="20"/>
        </w:rPr>
        <w:t>Tổng Giám đốc trong năm và đến ngày lập báo cáo này là:</w:t>
      </w:r>
    </w:p>
    <w:p w:rsidR="00994B04" w:rsidRPr="00374801" w:rsidRDefault="00994B04" w:rsidP="0076388D">
      <w:pPr>
        <w:spacing w:after="0" w:line="240" w:lineRule="auto"/>
        <w:ind w:left="540"/>
        <w:jc w:val="both"/>
        <w:rPr>
          <w:rFonts w:ascii="Times New Roman" w:eastAsia="Times New Roman" w:hAnsi="Times New Roman"/>
          <w:sz w:val="20"/>
          <w:szCs w:val="20"/>
        </w:rPr>
      </w:pPr>
    </w:p>
    <w:p w:rsidR="00994B04" w:rsidRPr="00374801" w:rsidRDefault="00994B04" w:rsidP="0076388D">
      <w:pPr>
        <w:tabs>
          <w:tab w:val="left" w:pos="3870"/>
        </w:tabs>
        <w:spacing w:after="0" w:line="240" w:lineRule="auto"/>
        <w:ind w:left="540"/>
        <w:jc w:val="both"/>
        <w:rPr>
          <w:rFonts w:ascii="Times New Roman" w:eastAsia="Times New Roman" w:hAnsi="Times New Roman"/>
          <w:sz w:val="20"/>
          <w:szCs w:val="20"/>
        </w:rPr>
      </w:pPr>
      <w:r w:rsidRPr="00374801">
        <w:rPr>
          <w:rFonts w:ascii="Times New Roman" w:hAnsi="Times New Roman"/>
          <w:sz w:val="20"/>
          <w:szCs w:val="20"/>
        </w:rPr>
        <w:t>Ông Oh Kyung Hee</w:t>
      </w:r>
      <w:r w:rsidRPr="00374801">
        <w:rPr>
          <w:rFonts w:ascii="Times New Roman" w:hAnsi="Times New Roman"/>
          <w:sz w:val="20"/>
          <w:szCs w:val="20"/>
        </w:rPr>
        <w:tab/>
        <w:t>Tổng Giám đốc</w:t>
      </w:r>
    </w:p>
    <w:p w:rsidR="00994B04" w:rsidRPr="00374801" w:rsidRDefault="00994B04" w:rsidP="00303C2E">
      <w:pPr>
        <w:spacing w:after="0" w:line="240" w:lineRule="auto"/>
        <w:ind w:left="540"/>
        <w:jc w:val="both"/>
        <w:rPr>
          <w:rFonts w:ascii="Times New Roman" w:eastAsia="Times New Roman" w:hAnsi="Times New Roman"/>
          <w:sz w:val="20"/>
          <w:szCs w:val="20"/>
        </w:rPr>
      </w:pPr>
    </w:p>
    <w:p w:rsidR="00FC282E" w:rsidRPr="00374801" w:rsidRDefault="00FC282E" w:rsidP="00FC282E">
      <w:pPr>
        <w:pStyle w:val="Heading1"/>
        <w:tabs>
          <w:tab w:val="left" w:pos="3119"/>
          <w:tab w:val="left" w:pos="5670"/>
          <w:tab w:val="left" w:pos="6804"/>
          <w:tab w:val="left" w:pos="8928"/>
        </w:tabs>
        <w:ind w:firstLine="0"/>
      </w:pPr>
      <w:r w:rsidRPr="00374801">
        <w:t>Kiểm toán viên</w:t>
      </w:r>
    </w:p>
    <w:p w:rsidR="00FC282E" w:rsidRPr="00374801" w:rsidRDefault="00FC282E" w:rsidP="00FC282E">
      <w:pPr>
        <w:spacing w:after="0"/>
        <w:rPr>
          <w:sz w:val="20"/>
          <w:szCs w:val="20"/>
        </w:rPr>
      </w:pPr>
    </w:p>
    <w:p w:rsidR="00FC282E" w:rsidRPr="00374801" w:rsidRDefault="00FC282E" w:rsidP="00FC282E">
      <w:pPr>
        <w:spacing w:after="0" w:line="240" w:lineRule="auto"/>
        <w:jc w:val="both"/>
        <w:rPr>
          <w:rFonts w:ascii="Times New Roman" w:eastAsia="Times New Roman" w:hAnsi="Times New Roman"/>
          <w:sz w:val="20"/>
          <w:szCs w:val="20"/>
        </w:rPr>
      </w:pPr>
      <w:r w:rsidRPr="00374801">
        <w:rPr>
          <w:rFonts w:ascii="Times New Roman" w:eastAsia="Times New Roman" w:hAnsi="Times New Roman"/>
          <w:sz w:val="20"/>
          <w:szCs w:val="20"/>
        </w:rPr>
        <w:t xml:space="preserve">Công ty TNHH Kiểm toán DFK Việt Nam được chỉ định </w:t>
      </w:r>
      <w:r w:rsidR="00EE24ED">
        <w:rPr>
          <w:rFonts w:ascii="Times New Roman" w:eastAsia="Times New Roman" w:hAnsi="Times New Roman"/>
          <w:sz w:val="20"/>
          <w:szCs w:val="20"/>
        </w:rPr>
        <w:t>kiểm toán</w:t>
      </w:r>
      <w:r w:rsidRPr="00374801">
        <w:rPr>
          <w:rFonts w:ascii="Times New Roman" w:eastAsia="Times New Roman" w:hAnsi="Times New Roman"/>
          <w:sz w:val="20"/>
          <w:szCs w:val="20"/>
        </w:rPr>
        <w:t xml:space="preserve"> Báo cáo tỷ lệ an toàn tài chính tại ngày </w:t>
      </w:r>
      <w:r w:rsidR="007D4C87">
        <w:rPr>
          <w:rFonts w:ascii="Times New Roman" w:eastAsia="Times New Roman" w:hAnsi="Times New Roman"/>
          <w:sz w:val="20"/>
          <w:szCs w:val="20"/>
        </w:rPr>
        <w:t>3</w:t>
      </w:r>
      <w:r w:rsidR="0076388D">
        <w:rPr>
          <w:rFonts w:ascii="Times New Roman" w:eastAsia="Times New Roman" w:hAnsi="Times New Roman"/>
          <w:sz w:val="20"/>
          <w:szCs w:val="20"/>
        </w:rPr>
        <w:t>0</w:t>
      </w:r>
      <w:r w:rsidR="007D4C87">
        <w:rPr>
          <w:rFonts w:ascii="Times New Roman" w:eastAsia="Times New Roman" w:hAnsi="Times New Roman"/>
          <w:sz w:val="20"/>
          <w:szCs w:val="20"/>
        </w:rPr>
        <w:t xml:space="preserve"> tháng </w:t>
      </w:r>
      <w:r w:rsidR="0076388D">
        <w:rPr>
          <w:rFonts w:ascii="Times New Roman" w:eastAsia="Times New Roman" w:hAnsi="Times New Roman"/>
          <w:sz w:val="20"/>
          <w:szCs w:val="20"/>
        </w:rPr>
        <w:t>6 năm 2015</w:t>
      </w:r>
      <w:r w:rsidRPr="00374801">
        <w:rPr>
          <w:rFonts w:ascii="Times New Roman" w:eastAsia="Times New Roman" w:hAnsi="Times New Roman"/>
          <w:sz w:val="20"/>
          <w:szCs w:val="20"/>
        </w:rPr>
        <w:t>.</w:t>
      </w:r>
    </w:p>
    <w:p w:rsidR="00374801" w:rsidRDefault="00374801" w:rsidP="00303C2E">
      <w:pPr>
        <w:spacing w:after="0" w:line="240" w:lineRule="auto"/>
        <w:ind w:left="540"/>
        <w:jc w:val="both"/>
        <w:rPr>
          <w:rFonts w:ascii="Times New Roman" w:eastAsia="Times New Roman" w:hAnsi="Times New Roman"/>
          <w:sz w:val="20"/>
          <w:szCs w:val="20"/>
        </w:rPr>
      </w:pPr>
    </w:p>
    <w:p w:rsidR="0076388D" w:rsidRDefault="0076388D" w:rsidP="00303C2E">
      <w:pPr>
        <w:spacing w:after="0" w:line="240" w:lineRule="auto"/>
        <w:ind w:left="540"/>
        <w:jc w:val="both"/>
        <w:rPr>
          <w:rFonts w:ascii="Times New Roman" w:eastAsia="Times New Roman" w:hAnsi="Times New Roman"/>
          <w:sz w:val="20"/>
          <w:szCs w:val="20"/>
        </w:rPr>
      </w:pPr>
    </w:p>
    <w:p w:rsidR="00994B04" w:rsidRPr="00374801" w:rsidRDefault="00FC282E" w:rsidP="00FC282E">
      <w:pPr>
        <w:spacing w:after="0" w:line="240" w:lineRule="auto"/>
        <w:jc w:val="both"/>
        <w:rPr>
          <w:rFonts w:ascii="Times New Roman" w:eastAsia="Times New Roman" w:hAnsi="Times New Roman"/>
          <w:b/>
          <w:sz w:val="20"/>
          <w:szCs w:val="20"/>
        </w:rPr>
      </w:pPr>
      <w:r w:rsidRPr="00374801">
        <w:rPr>
          <w:rFonts w:ascii="Times New Roman" w:eastAsia="Times New Roman" w:hAnsi="Times New Roman"/>
          <w:b/>
          <w:sz w:val="20"/>
          <w:szCs w:val="20"/>
        </w:rPr>
        <w:lastRenderedPageBreak/>
        <w:t>BÁO CÁO CỦA TỔNG GIÁM ĐỐC</w:t>
      </w:r>
    </w:p>
    <w:p w:rsidR="00FC282E" w:rsidRPr="00374801" w:rsidRDefault="00FC282E" w:rsidP="00303C2E">
      <w:pPr>
        <w:spacing w:after="0" w:line="240" w:lineRule="auto"/>
        <w:ind w:left="540"/>
        <w:jc w:val="both"/>
        <w:rPr>
          <w:rFonts w:ascii="Times New Roman" w:eastAsia="Times New Roman" w:hAnsi="Times New Roman"/>
          <w:sz w:val="20"/>
          <w:szCs w:val="20"/>
        </w:rPr>
      </w:pPr>
    </w:p>
    <w:p w:rsidR="00303C2E" w:rsidRPr="00374801" w:rsidRDefault="0038618B" w:rsidP="00FC282E">
      <w:pPr>
        <w:spacing w:after="0" w:line="240" w:lineRule="auto"/>
        <w:jc w:val="both"/>
        <w:rPr>
          <w:rFonts w:ascii="Times New Roman" w:eastAsia="Times New Roman" w:hAnsi="Times New Roman"/>
          <w:sz w:val="20"/>
          <w:szCs w:val="20"/>
        </w:rPr>
      </w:pPr>
      <w:r w:rsidRPr="00374801">
        <w:rPr>
          <w:rFonts w:ascii="Times New Roman" w:eastAsia="Times New Roman" w:hAnsi="Times New Roman"/>
          <w:sz w:val="20"/>
          <w:szCs w:val="20"/>
        </w:rPr>
        <w:t>Tổng Giám đốc</w:t>
      </w:r>
      <w:r w:rsidR="00303C2E" w:rsidRPr="00374801">
        <w:rPr>
          <w:rFonts w:ascii="Times New Roman" w:eastAsia="Times New Roman" w:hAnsi="Times New Roman"/>
          <w:sz w:val="20"/>
          <w:szCs w:val="20"/>
        </w:rPr>
        <w:t xml:space="preserve"> Công ty </w:t>
      </w:r>
      <w:r w:rsidR="00976D33" w:rsidRPr="00374801">
        <w:rPr>
          <w:rFonts w:ascii="Times New Roman" w:eastAsia="Times New Roman" w:hAnsi="Times New Roman"/>
          <w:sz w:val="20"/>
          <w:szCs w:val="20"/>
        </w:rPr>
        <w:t xml:space="preserve">Cổ phần </w:t>
      </w:r>
      <w:r w:rsidR="00FB2022" w:rsidRPr="00374801">
        <w:rPr>
          <w:rFonts w:ascii="Times New Roman" w:eastAsia="Times New Roman" w:hAnsi="Times New Roman"/>
          <w:sz w:val="20"/>
          <w:szCs w:val="20"/>
        </w:rPr>
        <w:t xml:space="preserve">Chứng khoán </w:t>
      </w:r>
      <w:r w:rsidR="00272128" w:rsidRPr="00374801">
        <w:rPr>
          <w:rFonts w:ascii="Times New Roman" w:eastAsia="Times New Roman" w:hAnsi="Times New Roman"/>
          <w:sz w:val="20"/>
          <w:szCs w:val="20"/>
        </w:rPr>
        <w:t>KIS Việt Nam</w:t>
      </w:r>
      <w:r w:rsidR="00976D33" w:rsidRPr="00374801">
        <w:rPr>
          <w:rFonts w:ascii="Times New Roman" w:eastAsia="Times New Roman" w:hAnsi="Times New Roman"/>
          <w:sz w:val="20"/>
          <w:szCs w:val="20"/>
        </w:rPr>
        <w:t xml:space="preserve"> </w:t>
      </w:r>
      <w:r w:rsidR="00FC282E" w:rsidRPr="00374801">
        <w:rPr>
          <w:rFonts w:ascii="Times New Roman" w:eastAsia="Times New Roman" w:hAnsi="Times New Roman"/>
          <w:sz w:val="20"/>
          <w:szCs w:val="20"/>
        </w:rPr>
        <w:t>(</w:t>
      </w:r>
      <w:r w:rsidR="00303C2E" w:rsidRPr="00374801">
        <w:rPr>
          <w:rFonts w:ascii="Times New Roman" w:eastAsia="Times New Roman" w:hAnsi="Times New Roman"/>
          <w:sz w:val="20"/>
          <w:szCs w:val="20"/>
        </w:rPr>
        <w:t xml:space="preserve">“Công ty”) </w:t>
      </w:r>
      <w:r w:rsidR="005B33D9" w:rsidRPr="00374801">
        <w:rPr>
          <w:rFonts w:ascii="Times New Roman" w:eastAsia="Times New Roman" w:hAnsi="Times New Roman"/>
          <w:sz w:val="20"/>
          <w:szCs w:val="20"/>
        </w:rPr>
        <w:t>trình bày báo cáo</w:t>
      </w:r>
      <w:r w:rsidR="00FC282E" w:rsidRPr="00374801">
        <w:rPr>
          <w:rFonts w:ascii="Times New Roman" w:eastAsia="Times New Roman" w:hAnsi="Times New Roman"/>
          <w:sz w:val="20"/>
          <w:szCs w:val="20"/>
        </w:rPr>
        <w:t xml:space="preserve"> này và</w:t>
      </w:r>
      <w:r w:rsidR="005B33D9" w:rsidRPr="00374801">
        <w:rPr>
          <w:rFonts w:ascii="Times New Roman" w:eastAsia="Times New Roman" w:hAnsi="Times New Roman"/>
          <w:sz w:val="20"/>
          <w:szCs w:val="20"/>
        </w:rPr>
        <w:t xml:space="preserve"> B</w:t>
      </w:r>
      <w:r w:rsidR="00303C2E" w:rsidRPr="00374801">
        <w:rPr>
          <w:rFonts w:ascii="Times New Roman" w:eastAsia="Times New Roman" w:hAnsi="Times New Roman"/>
          <w:sz w:val="20"/>
          <w:szCs w:val="20"/>
        </w:rPr>
        <w:t xml:space="preserve">áo cáo </w:t>
      </w:r>
      <w:r w:rsidR="005B33D9" w:rsidRPr="00374801">
        <w:rPr>
          <w:rFonts w:ascii="Times New Roman" w:eastAsia="Times New Roman" w:hAnsi="Times New Roman"/>
          <w:sz w:val="20"/>
          <w:szCs w:val="20"/>
        </w:rPr>
        <w:t>t</w:t>
      </w:r>
      <w:r w:rsidR="00FB2022" w:rsidRPr="00374801">
        <w:rPr>
          <w:rFonts w:ascii="Times New Roman" w:eastAsia="Times New Roman" w:hAnsi="Times New Roman"/>
          <w:sz w:val="20"/>
          <w:szCs w:val="20"/>
        </w:rPr>
        <w:t xml:space="preserve">ỷ lệ an toàn tài chính </w:t>
      </w:r>
      <w:r w:rsidR="00303C2E" w:rsidRPr="00374801">
        <w:rPr>
          <w:rFonts w:ascii="Times New Roman" w:eastAsia="Times New Roman" w:hAnsi="Times New Roman"/>
          <w:sz w:val="20"/>
          <w:szCs w:val="20"/>
        </w:rPr>
        <w:t xml:space="preserve">đã được </w:t>
      </w:r>
      <w:r w:rsidR="00B80902">
        <w:rPr>
          <w:rFonts w:ascii="Times New Roman" w:eastAsia="Times New Roman" w:hAnsi="Times New Roman"/>
          <w:sz w:val="20"/>
          <w:szCs w:val="20"/>
        </w:rPr>
        <w:t>soát xét</w:t>
      </w:r>
      <w:r w:rsidR="00303C2E" w:rsidRPr="00374801">
        <w:rPr>
          <w:rFonts w:ascii="Times New Roman" w:eastAsia="Times New Roman" w:hAnsi="Times New Roman"/>
          <w:sz w:val="20"/>
          <w:szCs w:val="20"/>
        </w:rPr>
        <w:t xml:space="preserve"> của Công ty </w:t>
      </w:r>
      <w:r w:rsidR="00B80902">
        <w:rPr>
          <w:rFonts w:ascii="Times New Roman" w:eastAsia="Times New Roman" w:hAnsi="Times New Roman"/>
          <w:sz w:val="20"/>
          <w:szCs w:val="20"/>
        </w:rPr>
        <w:t xml:space="preserve">tại ngày </w:t>
      </w:r>
      <w:r w:rsidR="0076388D">
        <w:rPr>
          <w:rFonts w:ascii="Times New Roman" w:eastAsia="Times New Roman" w:hAnsi="Times New Roman"/>
          <w:sz w:val="20"/>
          <w:szCs w:val="20"/>
        </w:rPr>
        <w:t>30</w:t>
      </w:r>
      <w:r w:rsidR="007D4C87">
        <w:rPr>
          <w:rFonts w:ascii="Times New Roman" w:eastAsia="Times New Roman" w:hAnsi="Times New Roman"/>
          <w:sz w:val="20"/>
          <w:szCs w:val="20"/>
        </w:rPr>
        <w:t xml:space="preserve"> tháng </w:t>
      </w:r>
      <w:r w:rsidR="0076388D">
        <w:rPr>
          <w:rFonts w:ascii="Times New Roman" w:eastAsia="Times New Roman" w:hAnsi="Times New Roman"/>
          <w:sz w:val="20"/>
          <w:szCs w:val="20"/>
        </w:rPr>
        <w:t>6 năm 2015</w:t>
      </w:r>
      <w:r w:rsidR="00303C2E" w:rsidRPr="00374801">
        <w:rPr>
          <w:rFonts w:ascii="Times New Roman" w:eastAsia="Times New Roman" w:hAnsi="Times New Roman"/>
          <w:sz w:val="20"/>
          <w:szCs w:val="20"/>
        </w:rPr>
        <w:t>.</w:t>
      </w:r>
    </w:p>
    <w:p w:rsidR="006E3406" w:rsidRPr="00374801" w:rsidRDefault="006E3406" w:rsidP="00303C2E">
      <w:pPr>
        <w:spacing w:after="0" w:line="240" w:lineRule="auto"/>
        <w:ind w:left="540"/>
        <w:jc w:val="both"/>
        <w:rPr>
          <w:rFonts w:ascii="Times New Roman" w:eastAsia="Times New Roman" w:hAnsi="Times New Roman"/>
          <w:sz w:val="20"/>
          <w:szCs w:val="20"/>
        </w:rPr>
      </w:pPr>
    </w:p>
    <w:p w:rsidR="00303C2E" w:rsidRPr="00374801" w:rsidRDefault="00FC282E" w:rsidP="00FC282E">
      <w:pPr>
        <w:pStyle w:val="Heading1"/>
        <w:tabs>
          <w:tab w:val="left" w:pos="3119"/>
          <w:tab w:val="left" w:pos="5670"/>
          <w:tab w:val="left" w:pos="6804"/>
          <w:tab w:val="left" w:pos="8928"/>
        </w:tabs>
        <w:ind w:firstLine="0"/>
      </w:pPr>
      <w:r w:rsidRPr="00374801">
        <w:t>T</w:t>
      </w:r>
      <w:r w:rsidR="00303C2E" w:rsidRPr="00374801">
        <w:t xml:space="preserve">rách nhiệm của </w:t>
      </w:r>
      <w:r w:rsidR="008046FC" w:rsidRPr="00374801">
        <w:t>Tổng</w:t>
      </w:r>
      <w:r w:rsidR="00303C2E" w:rsidRPr="00374801">
        <w:t xml:space="preserve"> Giám đốc Công ty đối với </w:t>
      </w:r>
      <w:r w:rsidR="008A5739" w:rsidRPr="00374801">
        <w:t xml:space="preserve">báo cáo </w:t>
      </w:r>
      <w:r w:rsidRPr="00374801">
        <w:t>tỷ lệ an toàn tài chính</w:t>
      </w:r>
    </w:p>
    <w:p w:rsidR="00167605" w:rsidRPr="00374801" w:rsidRDefault="00167605" w:rsidP="00AA0825">
      <w:pPr>
        <w:autoSpaceDE w:val="0"/>
        <w:autoSpaceDN w:val="0"/>
        <w:adjustRightInd w:val="0"/>
        <w:spacing w:after="0" w:line="240" w:lineRule="auto"/>
        <w:ind w:left="547"/>
        <w:jc w:val="both"/>
        <w:rPr>
          <w:rFonts w:ascii="Times New Roman" w:eastAsia="Times New Roman" w:hAnsi="Times New Roman"/>
          <w:sz w:val="20"/>
          <w:szCs w:val="20"/>
        </w:rPr>
      </w:pPr>
    </w:p>
    <w:p w:rsidR="00FC282E" w:rsidRPr="00374801" w:rsidRDefault="00FC282E" w:rsidP="00FC282E">
      <w:pPr>
        <w:autoSpaceDE w:val="0"/>
        <w:autoSpaceDN w:val="0"/>
        <w:adjustRightInd w:val="0"/>
        <w:spacing w:after="0" w:line="240" w:lineRule="auto"/>
        <w:jc w:val="both"/>
        <w:rPr>
          <w:rFonts w:ascii="Times New Roman" w:eastAsia="Times New Roman" w:hAnsi="Times New Roman"/>
          <w:sz w:val="20"/>
          <w:szCs w:val="20"/>
        </w:rPr>
      </w:pPr>
      <w:r w:rsidRPr="00374801">
        <w:rPr>
          <w:rFonts w:ascii="Times New Roman" w:eastAsia="Times New Roman" w:hAnsi="Times New Roman"/>
          <w:sz w:val="20"/>
          <w:szCs w:val="20"/>
        </w:rPr>
        <w:t>Tổng Giám đốc cam kết đã tuân thủ những yêu cầu của Thông tư số 226/2010/TT-BTC ngày 31 tháng 12 năm 2010 và Thông tư số 165/2012/TT-BTC ngày 09 tháng 10 năm 2012 sửa đổi, bổ sung một số điều của Thông tư số 226/2010/TT-BTC của Bộ Tài chính về việc quy định chỉ tiêu an toàn tài chính và biện pháp xử lý đối với các tổ chức kinh doanh chứng khoán không đáp ứng các chỉ tiêu an toàn tài chính trong việc lập và trình bày báo cáo tỷ lệ an toàn tài chính.</w:t>
      </w:r>
    </w:p>
    <w:p w:rsidR="00FC282E" w:rsidRPr="00374801" w:rsidRDefault="00FC282E" w:rsidP="00AA0825">
      <w:pPr>
        <w:autoSpaceDE w:val="0"/>
        <w:autoSpaceDN w:val="0"/>
        <w:adjustRightInd w:val="0"/>
        <w:spacing w:after="0" w:line="240" w:lineRule="auto"/>
        <w:ind w:left="547"/>
        <w:jc w:val="both"/>
        <w:rPr>
          <w:rFonts w:ascii="Times New Roman" w:eastAsia="Times New Roman" w:hAnsi="Times New Roman"/>
          <w:sz w:val="20"/>
          <w:szCs w:val="20"/>
        </w:rPr>
      </w:pPr>
    </w:p>
    <w:p w:rsidR="00303C2E" w:rsidRPr="00374801" w:rsidRDefault="00FC282E" w:rsidP="00AA0825">
      <w:pPr>
        <w:spacing w:after="0" w:line="240" w:lineRule="auto"/>
        <w:jc w:val="both"/>
        <w:rPr>
          <w:rFonts w:ascii="Times New Roman" w:eastAsia="Times New Roman" w:hAnsi="Times New Roman"/>
          <w:b/>
          <w:sz w:val="20"/>
          <w:szCs w:val="20"/>
        </w:rPr>
      </w:pPr>
      <w:r w:rsidRPr="00374801">
        <w:rPr>
          <w:rFonts w:ascii="Times New Roman" w:eastAsia="Times New Roman" w:hAnsi="Times New Roman"/>
          <w:b/>
          <w:sz w:val="20"/>
          <w:szCs w:val="20"/>
        </w:rPr>
        <w:t>Công bố của Tổng Giám đốc</w:t>
      </w:r>
    </w:p>
    <w:p w:rsidR="00FC282E" w:rsidRPr="00374801" w:rsidRDefault="00FC282E" w:rsidP="00AA0825">
      <w:pPr>
        <w:spacing w:after="0" w:line="240" w:lineRule="auto"/>
        <w:jc w:val="both"/>
        <w:rPr>
          <w:rFonts w:ascii="Times New Roman" w:hAnsi="Times New Roman"/>
          <w:color w:val="000000"/>
          <w:sz w:val="20"/>
          <w:szCs w:val="20"/>
        </w:rPr>
      </w:pPr>
    </w:p>
    <w:p w:rsidR="00FC282E" w:rsidRPr="00374801" w:rsidRDefault="00FC282E" w:rsidP="00AA0825">
      <w:pPr>
        <w:spacing w:after="0" w:line="240" w:lineRule="auto"/>
        <w:jc w:val="both"/>
        <w:rPr>
          <w:rFonts w:ascii="Times New Roman" w:hAnsi="Times New Roman"/>
          <w:color w:val="000000"/>
          <w:sz w:val="20"/>
          <w:szCs w:val="20"/>
        </w:rPr>
      </w:pPr>
      <w:r w:rsidRPr="00374801">
        <w:rPr>
          <w:rFonts w:ascii="Times New Roman" w:hAnsi="Times New Roman"/>
          <w:color w:val="000000"/>
          <w:sz w:val="20"/>
          <w:szCs w:val="20"/>
        </w:rPr>
        <w:t xml:space="preserve">Theo ý kiến của Tổng Giám đốc, báo cáo tỷ lệ an toàn tài chính kèm theo </w:t>
      </w:r>
      <w:r w:rsidR="00AA0825" w:rsidRPr="00374801">
        <w:rPr>
          <w:rFonts w:ascii="Times New Roman" w:hAnsi="Times New Roman"/>
          <w:color w:val="000000"/>
          <w:sz w:val="20"/>
          <w:szCs w:val="20"/>
        </w:rPr>
        <w:t xml:space="preserve">được trình bày phù hợp với </w:t>
      </w:r>
      <w:r w:rsidR="00AA0825" w:rsidRPr="00374801">
        <w:rPr>
          <w:rFonts w:ascii="Times New Roman" w:eastAsia="Times New Roman" w:hAnsi="Times New Roman"/>
          <w:sz w:val="20"/>
          <w:szCs w:val="20"/>
        </w:rPr>
        <w:t>Thông tư số 226/2010/TT-BTC ngày 31 tháng 12 năm 2010 và Thông tư số 165/2012/TT-BTC ngày 09 tháng 10 năm 2012 sửa đổi, bổ sung một số điều của Thông tư số 226/2010/TT-BTC của Bộ Tài chính về việc quy định chỉ tiêu an toàn tài chính và biện pháp xử lý đối với các tổ chức kinh doanh chứng khoán không đáp ứng các chỉ tiêu an toàn tài chính.</w:t>
      </w:r>
    </w:p>
    <w:p w:rsidR="0038618B" w:rsidRPr="00374801" w:rsidRDefault="0038618B" w:rsidP="00303C2E">
      <w:pPr>
        <w:spacing w:after="0" w:line="240" w:lineRule="auto"/>
        <w:jc w:val="both"/>
        <w:rPr>
          <w:rFonts w:ascii="Times New Roman" w:eastAsia="Times New Roman" w:hAnsi="Times New Roman"/>
          <w:sz w:val="20"/>
          <w:szCs w:val="20"/>
        </w:rPr>
      </w:pPr>
    </w:p>
    <w:p w:rsidR="0038618B" w:rsidRPr="00374801" w:rsidRDefault="0038618B" w:rsidP="00303C2E">
      <w:pPr>
        <w:spacing w:after="0" w:line="240" w:lineRule="auto"/>
        <w:jc w:val="both"/>
        <w:rPr>
          <w:rFonts w:ascii="Times New Roman" w:eastAsia="Times New Roman" w:hAnsi="Times New Roman"/>
          <w:sz w:val="20"/>
          <w:szCs w:val="20"/>
        </w:rPr>
      </w:pPr>
    </w:p>
    <w:p w:rsidR="00303C2E" w:rsidRPr="00374801" w:rsidRDefault="00013C38" w:rsidP="00303C2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Đã ký</w:t>
      </w:r>
    </w:p>
    <w:p w:rsidR="00AA0825" w:rsidRPr="00374801" w:rsidRDefault="00AA0825" w:rsidP="00303C2E">
      <w:pPr>
        <w:spacing w:after="0" w:line="240" w:lineRule="auto"/>
        <w:jc w:val="both"/>
        <w:rPr>
          <w:rFonts w:ascii="Times New Roman" w:eastAsia="Times New Roman" w:hAnsi="Times New Roman"/>
          <w:sz w:val="20"/>
          <w:szCs w:val="20"/>
        </w:rPr>
      </w:pPr>
    </w:p>
    <w:p w:rsidR="00303C2E" w:rsidRPr="00374801" w:rsidRDefault="00303C2E" w:rsidP="00303C2E">
      <w:pPr>
        <w:spacing w:after="0" w:line="240" w:lineRule="auto"/>
        <w:jc w:val="both"/>
        <w:rPr>
          <w:rFonts w:ascii="Times New Roman" w:eastAsia="Times New Roman" w:hAnsi="Times New Roman"/>
          <w:sz w:val="20"/>
          <w:szCs w:val="20"/>
        </w:rPr>
      </w:pPr>
    </w:p>
    <w:p w:rsidR="00303C2E" w:rsidRPr="00374801" w:rsidRDefault="00ED31CB" w:rsidP="00303C2E">
      <w:pPr>
        <w:spacing w:after="0" w:line="240" w:lineRule="auto"/>
        <w:jc w:val="both"/>
        <w:rPr>
          <w:rFonts w:ascii="Times New Roman" w:eastAsia="Times New Roman" w:hAnsi="Times New Roman"/>
          <w:sz w:val="20"/>
          <w:szCs w:val="20"/>
        </w:rPr>
      </w:pPr>
      <w:r>
        <w:rPr>
          <w:rFonts w:ascii="Times New Roman" w:eastAsia="Times New Roman" w:hAnsi="Times New Roman"/>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0;margin-top:10.9pt;width:163.5pt;height:0;z-index:251657216" o:connectortype="straight"/>
        </w:pict>
      </w:r>
    </w:p>
    <w:p w:rsidR="00303C2E" w:rsidRPr="00374801" w:rsidRDefault="0038618B" w:rsidP="00AA0825">
      <w:pPr>
        <w:spacing w:after="0" w:line="240" w:lineRule="auto"/>
        <w:jc w:val="both"/>
        <w:rPr>
          <w:rFonts w:ascii="Times New Roman" w:eastAsia="Times New Roman" w:hAnsi="Times New Roman"/>
          <w:b/>
          <w:sz w:val="20"/>
          <w:szCs w:val="20"/>
        </w:rPr>
      </w:pPr>
      <w:r w:rsidRPr="00374801">
        <w:rPr>
          <w:rFonts w:ascii="Times New Roman" w:hAnsi="Times New Roman"/>
          <w:b/>
          <w:sz w:val="20"/>
          <w:szCs w:val="20"/>
        </w:rPr>
        <w:t>OH KYUNG HEE</w:t>
      </w:r>
    </w:p>
    <w:p w:rsidR="00303C2E" w:rsidRPr="00374801" w:rsidRDefault="0038618B" w:rsidP="00303C2E">
      <w:pPr>
        <w:tabs>
          <w:tab w:val="left" w:pos="540"/>
        </w:tabs>
        <w:spacing w:after="0" w:line="240" w:lineRule="auto"/>
        <w:jc w:val="both"/>
        <w:rPr>
          <w:rFonts w:ascii="Times New Roman" w:eastAsia="Times New Roman" w:hAnsi="Times New Roman"/>
          <w:sz w:val="20"/>
          <w:szCs w:val="20"/>
        </w:rPr>
      </w:pPr>
      <w:r w:rsidRPr="00374801">
        <w:rPr>
          <w:rFonts w:ascii="Times New Roman" w:eastAsia="Times New Roman" w:hAnsi="Times New Roman"/>
          <w:sz w:val="20"/>
          <w:szCs w:val="20"/>
        </w:rPr>
        <w:t>Tổng Giám đốc</w:t>
      </w:r>
    </w:p>
    <w:p w:rsidR="00303C2E" w:rsidRPr="00374801" w:rsidRDefault="00D55C3B" w:rsidP="004D32C1">
      <w:pPr>
        <w:tabs>
          <w:tab w:val="left" w:pos="540"/>
        </w:tabs>
        <w:spacing w:after="0" w:line="240" w:lineRule="auto"/>
        <w:rPr>
          <w:rFonts w:ascii="Times New Roman" w:eastAsia="Times New Roman" w:hAnsi="Times New Roman"/>
          <w:sz w:val="20"/>
          <w:szCs w:val="20"/>
        </w:rPr>
        <w:sectPr w:rsidR="00303C2E" w:rsidRPr="00374801" w:rsidSect="00682D49">
          <w:headerReference w:type="default" r:id="rId8"/>
          <w:footerReference w:type="default" r:id="rId9"/>
          <w:pgSz w:w="11907" w:h="16840" w:code="9"/>
          <w:pgMar w:top="533" w:right="1008" w:bottom="720" w:left="1930" w:header="533" w:footer="576" w:gutter="0"/>
          <w:pgNumType w:start="1"/>
          <w:cols w:space="720"/>
          <w:docGrid w:linePitch="360"/>
        </w:sectPr>
      </w:pPr>
      <w:r>
        <w:rPr>
          <w:rFonts w:ascii="Times New Roman" w:eastAsia="Times New Roman" w:hAnsi="Times New Roman"/>
          <w:sz w:val="20"/>
          <w:szCs w:val="20"/>
        </w:rPr>
        <w:t xml:space="preserve">Ngày </w:t>
      </w:r>
      <w:r w:rsidR="003F581D">
        <w:rPr>
          <w:rFonts w:ascii="Times New Roman" w:eastAsia="Times New Roman" w:hAnsi="Times New Roman"/>
          <w:sz w:val="20"/>
          <w:szCs w:val="20"/>
        </w:rPr>
        <w:t>1</w:t>
      </w:r>
      <w:r w:rsidR="0076388D">
        <w:rPr>
          <w:rFonts w:ascii="Times New Roman" w:eastAsia="Times New Roman" w:hAnsi="Times New Roman"/>
          <w:sz w:val="20"/>
          <w:szCs w:val="20"/>
        </w:rPr>
        <w:t>0</w:t>
      </w:r>
      <w:r w:rsidR="004D32C1" w:rsidRPr="00374801">
        <w:rPr>
          <w:rFonts w:ascii="Times New Roman" w:eastAsia="Times New Roman" w:hAnsi="Times New Roman"/>
          <w:sz w:val="20"/>
          <w:szCs w:val="20"/>
        </w:rPr>
        <w:t xml:space="preserve"> </w:t>
      </w:r>
      <w:r w:rsidR="00303C2E" w:rsidRPr="00374801">
        <w:rPr>
          <w:rFonts w:ascii="Times New Roman" w:eastAsia="Times New Roman" w:hAnsi="Times New Roman"/>
          <w:sz w:val="20"/>
          <w:szCs w:val="20"/>
        </w:rPr>
        <w:t>tháng</w:t>
      </w:r>
      <w:r w:rsidR="00D32AF8" w:rsidRPr="00374801">
        <w:rPr>
          <w:rFonts w:ascii="Times New Roman" w:eastAsia="Times New Roman" w:hAnsi="Times New Roman"/>
          <w:sz w:val="20"/>
          <w:szCs w:val="20"/>
        </w:rPr>
        <w:t xml:space="preserve"> </w:t>
      </w:r>
      <w:r w:rsidR="003F581D">
        <w:rPr>
          <w:rFonts w:ascii="Times New Roman" w:eastAsia="Times New Roman" w:hAnsi="Times New Roman"/>
          <w:sz w:val="20"/>
          <w:szCs w:val="20"/>
        </w:rPr>
        <w:t>8</w:t>
      </w:r>
      <w:r w:rsidR="00EC3FB7">
        <w:rPr>
          <w:rFonts w:ascii="Times New Roman" w:eastAsia="Times New Roman" w:hAnsi="Times New Roman"/>
          <w:sz w:val="20"/>
          <w:szCs w:val="20"/>
        </w:rPr>
        <w:t xml:space="preserve"> năm 2015</w:t>
      </w:r>
    </w:p>
    <w:p w:rsidR="00A66380" w:rsidRDefault="00A66380" w:rsidP="00303C2E">
      <w:pPr>
        <w:spacing w:after="0" w:line="240" w:lineRule="auto"/>
        <w:jc w:val="right"/>
        <w:rPr>
          <w:rFonts w:ascii="Times New Roman" w:eastAsia="Times New Roman" w:hAnsi="Times New Roman"/>
          <w:sz w:val="20"/>
          <w:szCs w:val="20"/>
        </w:rPr>
      </w:pPr>
    </w:p>
    <w:p w:rsidR="00882A73" w:rsidRDefault="00882A73" w:rsidP="00303C2E">
      <w:pPr>
        <w:spacing w:after="0" w:line="240" w:lineRule="auto"/>
        <w:jc w:val="right"/>
        <w:rPr>
          <w:rFonts w:ascii="Times New Roman" w:eastAsia="Times New Roman" w:hAnsi="Times New Roman"/>
          <w:sz w:val="20"/>
          <w:szCs w:val="20"/>
        </w:rPr>
      </w:pPr>
    </w:p>
    <w:p w:rsidR="00882A73" w:rsidRDefault="00882A73" w:rsidP="00303C2E">
      <w:pPr>
        <w:spacing w:after="0" w:line="240" w:lineRule="auto"/>
        <w:jc w:val="right"/>
        <w:rPr>
          <w:rFonts w:ascii="Times New Roman" w:eastAsia="Times New Roman" w:hAnsi="Times New Roman"/>
          <w:sz w:val="20"/>
          <w:szCs w:val="20"/>
        </w:rPr>
      </w:pPr>
    </w:p>
    <w:p w:rsidR="00882A73" w:rsidRPr="00374801" w:rsidRDefault="00882A73" w:rsidP="00303C2E">
      <w:pPr>
        <w:spacing w:after="0" w:line="240" w:lineRule="auto"/>
        <w:jc w:val="right"/>
        <w:rPr>
          <w:rFonts w:ascii="Times New Roman" w:eastAsia="Times New Roman" w:hAnsi="Times New Roman"/>
          <w:sz w:val="20"/>
          <w:szCs w:val="20"/>
        </w:rPr>
      </w:pPr>
    </w:p>
    <w:p w:rsidR="00303C2E" w:rsidRPr="00374801" w:rsidRDefault="00272A45" w:rsidP="00D32AF8">
      <w:pPr>
        <w:tabs>
          <w:tab w:val="left" w:pos="5580"/>
        </w:tabs>
        <w:spacing w:before="120" w:after="0" w:line="240" w:lineRule="auto"/>
        <w:rPr>
          <w:rFonts w:ascii="Times New Roman" w:eastAsia="Times New Roman" w:hAnsi="Times New Roman"/>
          <w:sz w:val="20"/>
          <w:szCs w:val="20"/>
        </w:rPr>
      </w:pPr>
      <w:r w:rsidRPr="00374801">
        <w:rPr>
          <w:rFonts w:ascii="Times New Roman" w:eastAsia="Times New Roman" w:hAnsi="Times New Roman"/>
          <w:sz w:val="20"/>
          <w:szCs w:val="20"/>
        </w:rPr>
        <w:t xml:space="preserve"> </w:t>
      </w:r>
      <w:r w:rsidR="00B01877" w:rsidRPr="00B01877">
        <w:rPr>
          <w:rFonts w:ascii="Times New Roman" w:eastAsia="Times New Roman" w:hAnsi="Times New Roman"/>
          <w:sz w:val="20"/>
          <w:szCs w:val="20"/>
        </w:rPr>
        <w:t xml:space="preserve">Số: </w:t>
      </w:r>
      <w:r w:rsidR="00DC100C">
        <w:rPr>
          <w:rFonts w:ascii="Times New Roman" w:eastAsia="Times New Roman" w:hAnsi="Times New Roman"/>
          <w:sz w:val="20"/>
          <w:szCs w:val="20"/>
        </w:rPr>
        <w:t>076</w:t>
      </w:r>
      <w:r w:rsidR="00303C2E" w:rsidRPr="00B01877">
        <w:rPr>
          <w:rFonts w:ascii="Times New Roman" w:eastAsia="Times New Roman" w:hAnsi="Times New Roman"/>
          <w:sz w:val="20"/>
          <w:szCs w:val="20"/>
        </w:rPr>
        <w:t>/</w:t>
      </w:r>
      <w:r w:rsidR="00CA30C1" w:rsidRPr="00B01877">
        <w:rPr>
          <w:rFonts w:ascii="Times New Roman" w:eastAsia="PMingLiU" w:hAnsi="Times New Roman"/>
          <w:sz w:val="20"/>
          <w:szCs w:val="20"/>
        </w:rPr>
        <w:t>BC</w:t>
      </w:r>
      <w:r w:rsidR="00DC100C">
        <w:rPr>
          <w:rFonts w:ascii="Times New Roman" w:eastAsia="PMingLiU" w:hAnsi="Times New Roman"/>
          <w:sz w:val="20"/>
          <w:szCs w:val="20"/>
        </w:rPr>
        <w:t>SX</w:t>
      </w:r>
      <w:r w:rsidR="00CA30C1" w:rsidRPr="00B01877">
        <w:rPr>
          <w:rFonts w:ascii="Times New Roman" w:eastAsia="PMingLiU" w:hAnsi="Times New Roman"/>
          <w:sz w:val="20"/>
          <w:szCs w:val="20"/>
        </w:rPr>
        <w:t>TLATTC-DFK</w:t>
      </w:r>
      <w:r w:rsidR="00303C2E" w:rsidRPr="00374801">
        <w:rPr>
          <w:rFonts w:ascii="Times New Roman" w:eastAsia="Times New Roman" w:hAnsi="Times New Roman"/>
          <w:sz w:val="20"/>
          <w:szCs w:val="20"/>
        </w:rPr>
        <w:tab/>
      </w:r>
    </w:p>
    <w:p w:rsidR="00F30C8C" w:rsidRDefault="00F30C8C" w:rsidP="00F30C8C">
      <w:pPr>
        <w:keepNext/>
        <w:tabs>
          <w:tab w:val="left" w:pos="540"/>
        </w:tabs>
        <w:spacing w:before="240" w:after="0" w:line="240" w:lineRule="auto"/>
        <w:jc w:val="center"/>
        <w:outlineLvl w:val="0"/>
        <w:rPr>
          <w:rFonts w:ascii="Times New Roman" w:eastAsia="Times New Roman" w:hAnsi="Times New Roman"/>
          <w:b/>
          <w:sz w:val="20"/>
          <w:szCs w:val="20"/>
        </w:rPr>
      </w:pPr>
      <w:r>
        <w:rPr>
          <w:rFonts w:ascii="Times New Roman" w:hAnsi="Times New Roman"/>
          <w:b/>
          <w:sz w:val="20"/>
          <w:szCs w:val="20"/>
        </w:rPr>
        <w:t xml:space="preserve">BÁO CÁO </w:t>
      </w:r>
      <w:r>
        <w:rPr>
          <w:rFonts w:ascii="Times New Roman" w:hAnsi="Times New Roman"/>
          <w:b/>
          <w:sz w:val="20"/>
          <w:szCs w:val="20"/>
          <w:lang w:val="nl-NL"/>
        </w:rPr>
        <w:t>KẾT QUẢ CÔNG TÁC SOÁT XÉT</w:t>
      </w:r>
      <w:r>
        <w:rPr>
          <w:rFonts w:ascii="Times New Roman" w:eastAsia="Times New Roman" w:hAnsi="Times New Roman"/>
          <w:b/>
          <w:sz w:val="20"/>
          <w:szCs w:val="20"/>
        </w:rPr>
        <w:t xml:space="preserve"> </w:t>
      </w:r>
    </w:p>
    <w:p w:rsidR="00F30C8C" w:rsidRDefault="00F30C8C" w:rsidP="00F30C8C">
      <w:pPr>
        <w:keepNext/>
        <w:tabs>
          <w:tab w:val="left" w:pos="540"/>
        </w:tabs>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Về Báo cáo tỷ lệ an toàn tài chính tại ngày 30 tháng 6 năm 2015</w:t>
      </w:r>
    </w:p>
    <w:p w:rsidR="00F30C8C" w:rsidRDefault="00F30C8C" w:rsidP="00F30C8C">
      <w:pPr>
        <w:spacing w:before="360" w:after="0" w:line="240" w:lineRule="auto"/>
        <w:ind w:right="18"/>
        <w:rPr>
          <w:rFonts w:ascii="Times New Roman" w:eastAsia="Times New Roman" w:hAnsi="Times New Roman"/>
          <w:b/>
          <w:sz w:val="20"/>
          <w:szCs w:val="20"/>
        </w:rPr>
      </w:pPr>
      <w:r>
        <w:rPr>
          <w:rFonts w:ascii="Times New Roman" w:eastAsia="Times New Roman" w:hAnsi="Times New Roman"/>
          <w:b/>
          <w:sz w:val="20"/>
          <w:szCs w:val="20"/>
          <w:u w:val="single"/>
        </w:rPr>
        <w:t>Kính gửi</w:t>
      </w:r>
      <w:r>
        <w:rPr>
          <w:rFonts w:ascii="Times New Roman" w:eastAsia="Times New Roman" w:hAnsi="Times New Roman"/>
          <w:sz w:val="20"/>
          <w:szCs w:val="20"/>
          <w:u w:val="single"/>
        </w:rPr>
        <w:t>:</w:t>
      </w:r>
      <w:r>
        <w:rPr>
          <w:rFonts w:ascii="Times New Roman" w:eastAsia="Times New Roman" w:hAnsi="Times New Roman"/>
          <w:b/>
          <w:sz w:val="20"/>
          <w:szCs w:val="20"/>
        </w:rPr>
        <w:t xml:space="preserve">   CÁC CỔ ĐÔNG CÔNG TY CỔ PHẦN CHỨNG KHOÁN </w:t>
      </w:r>
      <w:r w:rsidR="00165787">
        <w:rPr>
          <w:rFonts w:ascii="Times New Roman" w:eastAsia="Times New Roman" w:hAnsi="Times New Roman"/>
          <w:b/>
          <w:sz w:val="20"/>
          <w:szCs w:val="20"/>
        </w:rPr>
        <w:t>KIS VIỆT</w:t>
      </w:r>
      <w:r>
        <w:rPr>
          <w:rFonts w:ascii="Times New Roman" w:eastAsia="Times New Roman" w:hAnsi="Times New Roman"/>
          <w:b/>
          <w:sz w:val="20"/>
          <w:szCs w:val="20"/>
        </w:rPr>
        <w:t xml:space="preserve"> NAM</w:t>
      </w:r>
    </w:p>
    <w:p w:rsidR="00F30C8C" w:rsidRDefault="00F30C8C" w:rsidP="00F30C8C">
      <w:pPr>
        <w:spacing w:before="240" w:after="0" w:line="240" w:lineRule="auto"/>
        <w:jc w:val="both"/>
        <w:rPr>
          <w:rFonts w:ascii="Times New Roman" w:eastAsia="Times New Roman" w:hAnsi="Times New Roman"/>
          <w:sz w:val="20"/>
          <w:szCs w:val="20"/>
        </w:rPr>
      </w:pPr>
      <w:r>
        <w:rPr>
          <w:rFonts w:ascii="Times New Roman" w:eastAsia="PMingLiU" w:hAnsi="Times New Roman"/>
          <w:sz w:val="20"/>
          <w:szCs w:val="20"/>
        </w:rPr>
        <w:t xml:space="preserve">Chúng tôi đã thực hiện soát xét Báo cáo tỷ lệ an toàn tài chính của Công ty Cổ phần Chứng khoán </w:t>
      </w:r>
      <w:r w:rsidR="00165787">
        <w:rPr>
          <w:rFonts w:ascii="Times New Roman" w:eastAsia="PMingLiU" w:hAnsi="Times New Roman"/>
          <w:sz w:val="20"/>
          <w:szCs w:val="20"/>
        </w:rPr>
        <w:t>KIS Việt</w:t>
      </w:r>
      <w:r>
        <w:rPr>
          <w:rFonts w:ascii="Times New Roman" w:eastAsia="PMingLiU" w:hAnsi="Times New Roman"/>
          <w:sz w:val="20"/>
          <w:szCs w:val="20"/>
        </w:rPr>
        <w:t xml:space="preserve"> Nam</w:t>
      </w:r>
      <w:r>
        <w:rPr>
          <w:rFonts w:ascii="Times New Roman" w:eastAsia="PMingLiU" w:hAnsi="Times New Roman"/>
          <w:color w:val="FF0000"/>
          <w:sz w:val="20"/>
          <w:szCs w:val="20"/>
        </w:rPr>
        <w:t xml:space="preserve"> </w:t>
      </w:r>
      <w:r>
        <w:rPr>
          <w:rFonts w:ascii="Times New Roman" w:eastAsia="PMingLiU" w:hAnsi="Times New Roman"/>
          <w:sz w:val="20"/>
          <w:szCs w:val="20"/>
        </w:rPr>
        <w:t xml:space="preserve">(sau đây gọi tắt là “Công ty”) tại ngày 30 tháng 6 năm 2015, từ trang 04 đến trang </w:t>
      </w:r>
      <w:r w:rsidR="00E12194">
        <w:rPr>
          <w:rFonts w:ascii="Times New Roman" w:eastAsia="PMingLiU" w:hAnsi="Times New Roman"/>
          <w:sz w:val="20"/>
          <w:szCs w:val="20"/>
        </w:rPr>
        <w:t>19</w:t>
      </w:r>
      <w:r>
        <w:rPr>
          <w:rFonts w:ascii="Times New Roman" w:eastAsia="PMingLiU" w:hAnsi="Times New Roman"/>
          <w:sz w:val="20"/>
          <w:szCs w:val="20"/>
        </w:rPr>
        <w:t xml:space="preserve"> kèm theo</w:t>
      </w:r>
      <w:r>
        <w:rPr>
          <w:rFonts w:ascii="Times New Roman" w:eastAsia="Times New Roman" w:hAnsi="Times New Roman"/>
          <w:sz w:val="20"/>
          <w:szCs w:val="20"/>
        </w:rPr>
        <w:t xml:space="preserve">. </w:t>
      </w:r>
    </w:p>
    <w:p w:rsidR="00F30C8C" w:rsidRDefault="00F30C8C" w:rsidP="00F30C8C">
      <w:pPr>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Việc lập và trình bày Báo cáo tỷ lệ an toàn tài chính này thuộc trách nhiệm của Tổng Giám đốc Công ty. Trách nhiệm của chúng tôi là đưa ra báo cáo nhận xét về báo cáo tỷ lệ an toàn tài chính này dựa trên cơ sở công tác soát xét của chúng tôi.</w:t>
      </w:r>
    </w:p>
    <w:p w:rsidR="00F30C8C" w:rsidRDefault="00F30C8C" w:rsidP="00F30C8C">
      <w:pPr>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Chúng tôi đã thực hiện công tác soát xét theo chuẩn mực Kiểm toán Việt Nam số 910 – Công </w:t>
      </w:r>
      <w:r>
        <w:rPr>
          <w:rFonts w:ascii="Times New Roman" w:hAnsi="Times New Roman"/>
          <w:sz w:val="20"/>
          <w:szCs w:val="20"/>
          <w:lang w:val="nl-NL"/>
        </w:rPr>
        <w:t>tác soát xét báo cáo tài chính</w:t>
      </w:r>
      <w:r>
        <w:rPr>
          <w:rFonts w:ascii="Times New Roman" w:eastAsia="Times New Roman" w:hAnsi="Times New Roman"/>
          <w:sz w:val="20"/>
          <w:szCs w:val="20"/>
        </w:rPr>
        <w:t>. Chuẩn mực này yêu cầu công việc kiểm toán phải lập kế hoạch và thực hiện công tác soát xét để có sự đảm bảo vừa phải về việc liệu báo cáo tỷ lệ an toàn tài chính tại ngày 30 tháng 6 năm 2015 còn có các sai sót trọng yếu hay không. Công tác soát xét bao gồm chủ yếu là việc trao đổi với nhân sự của Công ty và áp dụng các thủ tục phân tích trên những thông tin tài chính được sử dụng để lập báo cáo tỷ lệ an toàn tài chính; công tác này cung cấp một mức độ đảm bảo thấp hơn công tác kiểm toán. Chúng tôi không thực hiện việc kiểm toán nên chúng tôi không đưa ra ý kiến kiểm toán.</w:t>
      </w:r>
    </w:p>
    <w:p w:rsidR="00F30C8C" w:rsidRDefault="00F30C8C" w:rsidP="00F30C8C">
      <w:pPr>
        <w:spacing w:after="0" w:line="240" w:lineRule="auto"/>
        <w:jc w:val="both"/>
        <w:rPr>
          <w:rFonts w:ascii="Times New Roman" w:eastAsia="Times New Roman" w:hAnsi="Times New Roman"/>
          <w:sz w:val="20"/>
          <w:szCs w:val="20"/>
        </w:rPr>
      </w:pPr>
    </w:p>
    <w:p w:rsidR="008B2839" w:rsidRDefault="00F30C8C" w:rsidP="00F30C8C">
      <w:pPr>
        <w:spacing w:line="240" w:lineRule="auto"/>
        <w:jc w:val="both"/>
        <w:rPr>
          <w:rFonts w:ascii="Times New Roman" w:hAnsi="Times New Roman"/>
          <w:sz w:val="20"/>
          <w:szCs w:val="20"/>
        </w:rPr>
      </w:pPr>
      <w:r>
        <w:rPr>
          <w:rFonts w:ascii="Times New Roman" w:hAnsi="Times New Roman"/>
          <w:sz w:val="20"/>
          <w:szCs w:val="20"/>
        </w:rPr>
        <w:t>Dựa trên cơ sở công tác soát xét của chúng tôi, chúng tôi không thấy có sự kiện nào đáng để chúng tôi cho rằng việc lậ</w:t>
      </w:r>
      <w:r w:rsidR="00906AA8">
        <w:rPr>
          <w:rFonts w:ascii="Times New Roman" w:hAnsi="Times New Roman"/>
          <w:sz w:val="20"/>
          <w:szCs w:val="20"/>
        </w:rPr>
        <w:t>p và trình</w:t>
      </w:r>
      <w:r>
        <w:rPr>
          <w:rFonts w:ascii="Times New Roman" w:hAnsi="Times New Roman"/>
          <w:sz w:val="20"/>
          <w:szCs w:val="20"/>
        </w:rPr>
        <w:t xml:space="preserve"> bày báo cáo tỷ lệ an toàn tài chính tại ngày 30 tháng 6 năm 2015 kèm theo, trên các khía cạnh trọng yếu, không phù hợp với</w:t>
      </w:r>
      <w:r>
        <w:rPr>
          <w:rFonts w:ascii="Times New Roman" w:eastAsia="Times New Roman" w:hAnsi="Times New Roman"/>
          <w:sz w:val="20"/>
          <w:szCs w:val="20"/>
        </w:rPr>
        <w:t xml:space="preserve"> quy định tại Thông tư số 226/2010/TT-BTC ngày 31/12/2010 của Bộ Tài chính quy định về chỉ tiêu an toàn tài chính và biện pháp xử lý đối với các tổ chức kinh doanh chứng khoán không đáp ứng các chỉ tiêu an toàn tài chính và Thông tư số 165/2012/TT-BTC ngày 09/10/2012 sửa đổi, bổ sung một số điều của Thông tư số 226/2010/TT-BTC ngày 31/12/2010 của Bộ Tài chính </w:t>
      </w:r>
      <w:r>
        <w:rPr>
          <w:rFonts w:ascii="Times New Roman" w:eastAsia="PMingLiU" w:hAnsi="Times New Roman"/>
          <w:sz w:val="20"/>
          <w:szCs w:val="20"/>
        </w:rPr>
        <w:t>và tuân thủ các quy định pháp lý có liên quan</w:t>
      </w:r>
      <w:r w:rsidR="007D4C87">
        <w:rPr>
          <w:rFonts w:ascii="Times New Roman" w:hAnsi="Times New Roman"/>
          <w:sz w:val="20"/>
          <w:szCs w:val="20"/>
        </w:rPr>
        <w:t>.</w:t>
      </w:r>
    </w:p>
    <w:p w:rsidR="00882A73" w:rsidRPr="00374801" w:rsidRDefault="00882A73" w:rsidP="007D4C87">
      <w:pPr>
        <w:spacing w:line="240" w:lineRule="auto"/>
        <w:jc w:val="both"/>
        <w:rPr>
          <w:rFonts w:ascii="Times New Roman" w:eastAsia="PMingLiU" w:hAnsi="Times New Roman"/>
          <w:sz w:val="20"/>
          <w:szCs w:val="20"/>
        </w:rPr>
      </w:pPr>
    </w:p>
    <w:p w:rsidR="009D21CF" w:rsidRDefault="009D21CF" w:rsidP="00303C2E">
      <w:pPr>
        <w:spacing w:before="120" w:after="0" w:line="240" w:lineRule="auto"/>
        <w:jc w:val="both"/>
        <w:rPr>
          <w:rFonts w:ascii="Times New Roman" w:eastAsia="Times New Roman" w:hAnsi="Times New Roman"/>
          <w:sz w:val="20"/>
          <w:szCs w:val="20"/>
        </w:rPr>
      </w:pPr>
    </w:p>
    <w:p w:rsidR="00A8198A" w:rsidRDefault="00A8198A" w:rsidP="00303C2E">
      <w:pPr>
        <w:spacing w:before="120" w:after="0" w:line="240" w:lineRule="auto"/>
        <w:jc w:val="both"/>
        <w:rPr>
          <w:rFonts w:ascii="Times New Roman" w:eastAsia="Times New Roman" w:hAnsi="Times New Roman"/>
          <w:sz w:val="20"/>
          <w:szCs w:val="20"/>
        </w:rPr>
      </w:pPr>
    </w:p>
    <w:p w:rsidR="00A8198A" w:rsidRDefault="00A8198A" w:rsidP="00303C2E">
      <w:pPr>
        <w:spacing w:before="120" w:after="0" w:line="240" w:lineRule="auto"/>
        <w:jc w:val="both"/>
        <w:rPr>
          <w:rFonts w:ascii="Times New Roman" w:eastAsia="Times New Roman" w:hAnsi="Times New Roman"/>
          <w:sz w:val="20"/>
          <w:szCs w:val="20"/>
        </w:rPr>
      </w:pPr>
    </w:p>
    <w:p w:rsidR="00E93E7D" w:rsidRDefault="00E93E7D" w:rsidP="00E93E7D">
      <w:pPr>
        <w:spacing w:after="0" w:line="240" w:lineRule="auto"/>
        <w:jc w:val="both"/>
        <w:rPr>
          <w:rFonts w:ascii="Times New Roman" w:eastAsia="PMingLiU" w:hAnsi="Times New Roman"/>
          <w:sz w:val="20"/>
          <w:szCs w:val="24"/>
        </w:rPr>
      </w:pPr>
    </w:p>
    <w:p w:rsidR="00E93E7D" w:rsidRDefault="00E93E7D" w:rsidP="00E93E7D">
      <w:pPr>
        <w:spacing w:after="0" w:line="240" w:lineRule="auto"/>
        <w:jc w:val="both"/>
        <w:rPr>
          <w:rFonts w:ascii="Times New Roman" w:eastAsia="PMingLiU" w:hAnsi="Times New Roman"/>
          <w:sz w:val="20"/>
          <w:szCs w:val="24"/>
        </w:rPr>
      </w:pPr>
    </w:p>
    <w:p w:rsidR="00E93E7D" w:rsidRDefault="00ED31CB" w:rsidP="00E93E7D">
      <w:pPr>
        <w:spacing w:after="0" w:line="240" w:lineRule="auto"/>
        <w:jc w:val="both"/>
        <w:rPr>
          <w:rFonts w:ascii="Times New Roman" w:eastAsia="PMingLiU" w:hAnsi="Times New Roman"/>
          <w:sz w:val="20"/>
          <w:szCs w:val="24"/>
        </w:rPr>
      </w:pPr>
      <w:r w:rsidRPr="00ED31CB">
        <w:rPr>
          <w:rFonts w:ascii="VNI-Times" w:eastAsia="Times New Roman" w:hAnsi="VNI-Times"/>
          <w:sz w:val="24"/>
          <w:szCs w:val="20"/>
        </w:rPr>
        <w:pict>
          <v:shape id="_x0000_s1031" type="#_x0000_t32" style="position:absolute;left:0;text-align:left;margin-left:-.05pt;margin-top:8.3pt;width:159pt;height:0;z-index:251658240" o:connectortype="straight"/>
        </w:pict>
      </w:r>
      <w:r w:rsidRPr="00ED31CB">
        <w:rPr>
          <w:rFonts w:ascii="VNI-Times" w:eastAsia="Times New Roman" w:hAnsi="VNI-Times"/>
          <w:sz w:val="24"/>
          <w:szCs w:val="20"/>
        </w:rPr>
        <w:pict>
          <v:shape id="_x0000_s1032" type="#_x0000_t32" style="position:absolute;left:0;text-align:left;margin-left:261.1pt;margin-top:8.3pt;width:159pt;height:0;z-index:251659264" o:connectortype="straight"/>
        </w:pict>
      </w:r>
    </w:p>
    <w:tbl>
      <w:tblPr>
        <w:tblW w:w="9210" w:type="dxa"/>
        <w:tblInd w:w="108" w:type="dxa"/>
        <w:tblLayout w:type="fixed"/>
        <w:tblLook w:val="04A0"/>
      </w:tblPr>
      <w:tblGrid>
        <w:gridCol w:w="3999"/>
        <w:gridCol w:w="1272"/>
        <w:gridCol w:w="3939"/>
      </w:tblGrid>
      <w:tr w:rsidR="00E93E7D" w:rsidTr="00E93E7D">
        <w:trPr>
          <w:trHeight w:val="1384"/>
        </w:trPr>
        <w:tc>
          <w:tcPr>
            <w:tcW w:w="3998" w:type="dxa"/>
            <w:hideMark/>
          </w:tcPr>
          <w:p w:rsidR="00E93E7D" w:rsidRDefault="00E93E7D" w:rsidP="00E93E7D">
            <w:pPr>
              <w:spacing w:after="0" w:line="240" w:lineRule="auto"/>
              <w:ind w:left="-108"/>
              <w:rPr>
                <w:rFonts w:ascii="Times New Roman" w:eastAsia="PMingLiU" w:hAnsi="Times New Roman"/>
                <w:b/>
                <w:bCs/>
                <w:sz w:val="20"/>
                <w:szCs w:val="24"/>
              </w:rPr>
            </w:pPr>
            <w:r>
              <w:rPr>
                <w:rFonts w:ascii="Times New Roman" w:eastAsia="PMingLiU" w:hAnsi="Times New Roman"/>
                <w:b/>
                <w:bCs/>
                <w:sz w:val="20"/>
                <w:szCs w:val="24"/>
              </w:rPr>
              <w:t>Nguyễn Lương Nhân</w:t>
            </w:r>
          </w:p>
          <w:p w:rsidR="00E93E7D" w:rsidRDefault="00E93E7D" w:rsidP="00E93E7D">
            <w:pPr>
              <w:spacing w:after="0" w:line="240" w:lineRule="auto"/>
              <w:ind w:left="-108"/>
              <w:rPr>
                <w:rFonts w:ascii="Times New Roman" w:eastAsia="PMingLiU" w:hAnsi="Times New Roman"/>
                <w:b/>
                <w:bCs/>
                <w:sz w:val="20"/>
                <w:szCs w:val="24"/>
              </w:rPr>
            </w:pPr>
            <w:r>
              <w:rPr>
                <w:rFonts w:ascii="Times New Roman" w:eastAsia="PMingLiU" w:hAnsi="Times New Roman"/>
                <w:b/>
                <w:bCs/>
                <w:sz w:val="20"/>
                <w:szCs w:val="24"/>
              </w:rPr>
              <w:t>Giám đốc</w:t>
            </w:r>
          </w:p>
          <w:p w:rsidR="00E93E7D" w:rsidRDefault="00E93E7D" w:rsidP="00E93E7D">
            <w:pPr>
              <w:tabs>
                <w:tab w:val="left" w:pos="5310"/>
              </w:tabs>
              <w:spacing w:after="0" w:line="240" w:lineRule="auto"/>
              <w:ind w:left="-108" w:right="-29"/>
              <w:rPr>
                <w:rFonts w:ascii="Times New Roman" w:eastAsia="PMingLiU" w:hAnsi="Times New Roman"/>
                <w:sz w:val="20"/>
                <w:szCs w:val="24"/>
              </w:rPr>
            </w:pPr>
            <w:r>
              <w:rPr>
                <w:rFonts w:ascii="Times New Roman" w:eastAsia="PMingLiU" w:hAnsi="Times New Roman"/>
                <w:sz w:val="20"/>
                <w:szCs w:val="24"/>
              </w:rPr>
              <w:t>Giấy chứng nhận đăng ký hành nghề</w:t>
            </w:r>
          </w:p>
          <w:p w:rsidR="00E93E7D" w:rsidRDefault="00E93E7D" w:rsidP="00E93E7D">
            <w:pPr>
              <w:tabs>
                <w:tab w:val="left" w:pos="5310"/>
              </w:tabs>
              <w:spacing w:after="0" w:line="240" w:lineRule="auto"/>
              <w:ind w:left="-108" w:right="-29"/>
              <w:rPr>
                <w:rFonts w:ascii="Times New Roman" w:eastAsia="PMingLiU" w:hAnsi="Times New Roman"/>
                <w:sz w:val="20"/>
                <w:szCs w:val="24"/>
              </w:rPr>
            </w:pPr>
            <w:r>
              <w:rPr>
                <w:rFonts w:ascii="Times New Roman" w:eastAsia="PMingLiU" w:hAnsi="Times New Roman"/>
                <w:sz w:val="20"/>
                <w:szCs w:val="24"/>
              </w:rPr>
              <w:t>kiểm toán số: 0182-2013-042-1</w:t>
            </w:r>
            <w:r>
              <w:rPr>
                <w:rFonts w:ascii="Times New Roman" w:eastAsia="PMingLiU" w:hAnsi="Times New Roman"/>
                <w:sz w:val="20"/>
                <w:szCs w:val="24"/>
              </w:rPr>
              <w:tab/>
              <w:t>Chứng chỉ Kiểm toán viên số 0201/KTV</w:t>
            </w:r>
          </w:p>
          <w:p w:rsidR="00E93E7D" w:rsidRDefault="00E93E7D" w:rsidP="00E93E7D">
            <w:pPr>
              <w:spacing w:after="0" w:line="240" w:lineRule="auto"/>
              <w:ind w:left="-108"/>
              <w:rPr>
                <w:rFonts w:ascii="Times New Roman" w:eastAsia="PMingLiU" w:hAnsi="Times New Roman"/>
                <w:i/>
                <w:iCs/>
                <w:sz w:val="20"/>
                <w:szCs w:val="24"/>
              </w:rPr>
            </w:pPr>
            <w:r>
              <w:rPr>
                <w:rFonts w:ascii="Times New Roman" w:eastAsia="PMingLiU" w:hAnsi="Times New Roman"/>
                <w:i/>
                <w:iCs/>
                <w:sz w:val="20"/>
                <w:szCs w:val="24"/>
              </w:rPr>
              <w:t>Thay mặt và đại diện</w:t>
            </w:r>
          </w:p>
          <w:p w:rsidR="00E93E7D" w:rsidRDefault="00E93E7D" w:rsidP="00E93E7D">
            <w:pPr>
              <w:spacing w:after="0" w:line="240" w:lineRule="auto"/>
              <w:ind w:left="-108"/>
              <w:jc w:val="both"/>
              <w:rPr>
                <w:rFonts w:ascii="Times New Roman" w:eastAsia="PMingLiU" w:hAnsi="Times New Roman"/>
                <w:b/>
                <w:bCs/>
                <w:spacing w:val="-4"/>
                <w:sz w:val="20"/>
                <w:szCs w:val="24"/>
              </w:rPr>
            </w:pPr>
            <w:r>
              <w:rPr>
                <w:rFonts w:ascii="Times New Roman" w:eastAsia="PMingLiU" w:hAnsi="Times New Roman"/>
                <w:b/>
                <w:bCs/>
                <w:spacing w:val="-4"/>
                <w:sz w:val="20"/>
                <w:szCs w:val="24"/>
              </w:rPr>
              <w:t>Công ty TNHH Kiểm toán DFK Việt Nam</w:t>
            </w:r>
          </w:p>
          <w:p w:rsidR="00E93E7D" w:rsidRDefault="00E93E7D" w:rsidP="00165787">
            <w:pPr>
              <w:spacing w:after="0" w:line="240" w:lineRule="auto"/>
              <w:ind w:left="-108"/>
              <w:rPr>
                <w:rFonts w:ascii="Times New Roman" w:eastAsia="PMingLiU" w:hAnsi="Times New Roman"/>
                <w:sz w:val="20"/>
                <w:szCs w:val="24"/>
              </w:rPr>
            </w:pPr>
            <w:r>
              <w:rPr>
                <w:rFonts w:ascii="Times New Roman" w:eastAsia="PMingLiU" w:hAnsi="Times New Roman"/>
                <w:sz w:val="20"/>
                <w:szCs w:val="24"/>
              </w:rPr>
              <w:t xml:space="preserve">Tp. HCM, ngày </w:t>
            </w:r>
            <w:r w:rsidR="003F581D">
              <w:rPr>
                <w:rFonts w:ascii="Times New Roman" w:eastAsia="PMingLiU" w:hAnsi="Times New Roman"/>
                <w:sz w:val="20"/>
                <w:szCs w:val="24"/>
              </w:rPr>
              <w:t>1</w:t>
            </w:r>
            <w:r w:rsidR="00165787">
              <w:rPr>
                <w:rFonts w:ascii="Times New Roman" w:eastAsia="PMingLiU" w:hAnsi="Times New Roman"/>
                <w:sz w:val="20"/>
                <w:szCs w:val="24"/>
              </w:rPr>
              <w:t>0</w:t>
            </w:r>
            <w:r>
              <w:rPr>
                <w:rFonts w:ascii="Times New Roman" w:eastAsia="PMingLiU" w:hAnsi="Times New Roman"/>
                <w:sz w:val="20"/>
                <w:szCs w:val="24"/>
              </w:rPr>
              <w:t xml:space="preserve"> tháng </w:t>
            </w:r>
            <w:r w:rsidR="003F581D">
              <w:rPr>
                <w:rFonts w:ascii="Times New Roman" w:eastAsia="PMingLiU" w:hAnsi="Times New Roman"/>
                <w:sz w:val="20"/>
                <w:szCs w:val="24"/>
              </w:rPr>
              <w:t>8</w:t>
            </w:r>
            <w:r w:rsidR="007525B3">
              <w:rPr>
                <w:rFonts w:ascii="Times New Roman" w:eastAsia="PMingLiU" w:hAnsi="Times New Roman"/>
                <w:sz w:val="20"/>
                <w:szCs w:val="24"/>
              </w:rPr>
              <w:t xml:space="preserve"> năm 2015</w:t>
            </w:r>
          </w:p>
        </w:tc>
        <w:tc>
          <w:tcPr>
            <w:tcW w:w="1272" w:type="dxa"/>
          </w:tcPr>
          <w:p w:rsidR="00E93E7D" w:rsidRDefault="00E93E7D" w:rsidP="00E93E7D">
            <w:pPr>
              <w:spacing w:after="0" w:line="240" w:lineRule="auto"/>
              <w:rPr>
                <w:rFonts w:ascii="Times New Roman" w:eastAsia="PMingLiU" w:hAnsi="Times New Roman"/>
                <w:sz w:val="20"/>
                <w:lang w:eastAsia="ja-JP"/>
              </w:rPr>
            </w:pPr>
          </w:p>
        </w:tc>
        <w:tc>
          <w:tcPr>
            <w:tcW w:w="3938" w:type="dxa"/>
            <w:hideMark/>
          </w:tcPr>
          <w:p w:rsidR="00E93E7D" w:rsidRDefault="000B6B61" w:rsidP="00E93E7D">
            <w:pPr>
              <w:spacing w:after="0" w:line="240" w:lineRule="auto"/>
              <w:ind w:left="-108"/>
              <w:rPr>
                <w:rFonts w:ascii="Times New Roman" w:eastAsia="PMingLiU" w:hAnsi="Times New Roman"/>
                <w:b/>
                <w:bCs/>
                <w:sz w:val="20"/>
                <w:szCs w:val="24"/>
              </w:rPr>
            </w:pPr>
            <w:r>
              <w:rPr>
                <w:rFonts w:ascii="Times New Roman" w:eastAsia="PMingLiU" w:hAnsi="Times New Roman"/>
                <w:b/>
                <w:bCs/>
                <w:sz w:val="20"/>
                <w:szCs w:val="24"/>
              </w:rPr>
              <w:t>Đặng Thị Thùy Trang</w:t>
            </w:r>
          </w:p>
          <w:p w:rsidR="00E93E7D" w:rsidRDefault="00E93E7D" w:rsidP="00E93E7D">
            <w:pPr>
              <w:spacing w:after="0" w:line="240" w:lineRule="auto"/>
              <w:ind w:left="-108"/>
              <w:rPr>
                <w:rFonts w:ascii="Times New Roman" w:eastAsia="PMingLiU" w:hAnsi="Times New Roman"/>
                <w:b/>
                <w:bCs/>
                <w:sz w:val="20"/>
                <w:szCs w:val="24"/>
              </w:rPr>
            </w:pPr>
            <w:r>
              <w:rPr>
                <w:rFonts w:ascii="Times New Roman" w:eastAsia="PMingLiU" w:hAnsi="Times New Roman"/>
                <w:b/>
                <w:bCs/>
                <w:sz w:val="20"/>
                <w:szCs w:val="24"/>
              </w:rPr>
              <w:t>Kiểm toán viên</w:t>
            </w:r>
          </w:p>
          <w:p w:rsidR="00E93E7D" w:rsidRDefault="00E93E7D" w:rsidP="00E93E7D">
            <w:pPr>
              <w:spacing w:after="0" w:line="240" w:lineRule="auto"/>
              <w:ind w:left="-108"/>
              <w:rPr>
                <w:rFonts w:ascii="Times New Roman" w:eastAsia="PMingLiU" w:hAnsi="Times New Roman"/>
                <w:sz w:val="20"/>
                <w:szCs w:val="24"/>
              </w:rPr>
            </w:pPr>
            <w:r>
              <w:rPr>
                <w:rFonts w:ascii="Times New Roman" w:eastAsia="PMingLiU" w:hAnsi="Times New Roman"/>
                <w:sz w:val="20"/>
                <w:szCs w:val="24"/>
              </w:rPr>
              <w:t>Giấy chứng nhận đăng ký hành nghề</w:t>
            </w:r>
          </w:p>
          <w:p w:rsidR="00E93E7D" w:rsidRDefault="00E93E7D" w:rsidP="000B6B61">
            <w:pPr>
              <w:spacing w:after="0" w:line="240" w:lineRule="auto"/>
              <w:ind w:left="-108"/>
              <w:rPr>
                <w:rFonts w:ascii="Times New Roman" w:eastAsia="PMingLiU" w:hAnsi="Times New Roman"/>
                <w:sz w:val="20"/>
                <w:szCs w:val="24"/>
              </w:rPr>
            </w:pPr>
            <w:r>
              <w:rPr>
                <w:rFonts w:ascii="Times New Roman" w:eastAsia="PMingLiU" w:hAnsi="Times New Roman"/>
                <w:sz w:val="20"/>
                <w:szCs w:val="24"/>
              </w:rPr>
              <w:t xml:space="preserve">kiểm toán số: </w:t>
            </w:r>
            <w:r w:rsidR="000B6B61">
              <w:rPr>
                <w:rFonts w:ascii="Times New Roman" w:eastAsia="PMingLiU" w:hAnsi="Times New Roman"/>
                <w:sz w:val="20"/>
                <w:szCs w:val="24"/>
              </w:rPr>
              <w:t>2063</w:t>
            </w:r>
            <w:r>
              <w:rPr>
                <w:rFonts w:ascii="Times New Roman" w:eastAsia="PMingLiU" w:hAnsi="Times New Roman"/>
                <w:sz w:val="20"/>
                <w:szCs w:val="24"/>
              </w:rPr>
              <w:t>-2013-042-1</w:t>
            </w:r>
          </w:p>
        </w:tc>
      </w:tr>
    </w:tbl>
    <w:p w:rsidR="00AD1A44" w:rsidRPr="00374801" w:rsidRDefault="00AD1A44" w:rsidP="00D32AF8">
      <w:pPr>
        <w:spacing w:after="0" w:line="240" w:lineRule="auto"/>
        <w:jc w:val="both"/>
        <w:rPr>
          <w:rFonts w:ascii="Times New Roman" w:eastAsia="Times New Roman" w:hAnsi="Times New Roman"/>
          <w:sz w:val="20"/>
          <w:szCs w:val="20"/>
        </w:rPr>
      </w:pPr>
    </w:p>
    <w:p w:rsidR="00B31449" w:rsidRPr="00374801" w:rsidRDefault="00B31449" w:rsidP="00D32AF8">
      <w:pPr>
        <w:spacing w:after="0" w:line="240" w:lineRule="auto"/>
        <w:jc w:val="both"/>
        <w:rPr>
          <w:rFonts w:ascii="Times New Roman" w:eastAsia="Times New Roman" w:hAnsi="Times New Roman"/>
          <w:sz w:val="20"/>
          <w:szCs w:val="20"/>
        </w:rPr>
        <w:sectPr w:rsidR="00B31449" w:rsidRPr="00374801" w:rsidSect="00D535B8">
          <w:headerReference w:type="default" r:id="rId10"/>
          <w:pgSz w:w="11907" w:h="16840" w:code="9"/>
          <w:pgMar w:top="533" w:right="1197" w:bottom="720" w:left="1872" w:header="533" w:footer="576" w:gutter="0"/>
          <w:pgNumType w:start="3"/>
          <w:cols w:space="720"/>
          <w:docGrid w:linePitch="360"/>
        </w:sectPr>
      </w:pPr>
    </w:p>
    <w:p w:rsidR="00B31449" w:rsidRPr="00374801" w:rsidRDefault="00B31449" w:rsidP="00D32AF8">
      <w:pPr>
        <w:spacing w:after="0" w:line="240" w:lineRule="auto"/>
        <w:jc w:val="both"/>
        <w:rPr>
          <w:rFonts w:ascii="Times New Roman" w:eastAsia="Times New Roman" w:hAnsi="Times New Roman"/>
          <w:sz w:val="20"/>
          <w:szCs w:val="20"/>
        </w:rPr>
      </w:pPr>
    </w:p>
    <w:tbl>
      <w:tblPr>
        <w:tblW w:w="0" w:type="auto"/>
        <w:tblLook w:val="04A0"/>
      </w:tblPr>
      <w:tblGrid>
        <w:gridCol w:w="3978"/>
        <w:gridCol w:w="5076"/>
      </w:tblGrid>
      <w:tr w:rsidR="00B31449" w:rsidRPr="00374801" w:rsidTr="001816D3">
        <w:tc>
          <w:tcPr>
            <w:tcW w:w="3978" w:type="dxa"/>
            <w:shd w:val="clear" w:color="auto" w:fill="auto"/>
          </w:tcPr>
          <w:p w:rsidR="00B31449" w:rsidRPr="00374801" w:rsidRDefault="00B31449" w:rsidP="001816D3">
            <w:pPr>
              <w:spacing w:after="0" w:line="240" w:lineRule="auto"/>
              <w:jc w:val="center"/>
              <w:rPr>
                <w:rFonts w:ascii="Times New Roman" w:eastAsia="Times New Roman" w:hAnsi="Times New Roman"/>
                <w:sz w:val="20"/>
                <w:szCs w:val="20"/>
              </w:rPr>
            </w:pPr>
            <w:r w:rsidRPr="00374801">
              <w:rPr>
                <w:rFonts w:ascii="Times New Roman" w:eastAsia="Times New Roman" w:hAnsi="Times New Roman"/>
                <w:sz w:val="20"/>
                <w:szCs w:val="20"/>
              </w:rPr>
              <w:t>Công ty Cổ phần Chứng khoán</w:t>
            </w:r>
          </w:p>
          <w:p w:rsidR="00B31449" w:rsidRPr="00374801" w:rsidRDefault="00B31449" w:rsidP="001816D3">
            <w:pPr>
              <w:spacing w:after="0" w:line="240" w:lineRule="auto"/>
              <w:jc w:val="center"/>
              <w:rPr>
                <w:rFonts w:ascii="Times New Roman" w:eastAsia="Times New Roman" w:hAnsi="Times New Roman"/>
                <w:sz w:val="20"/>
                <w:szCs w:val="20"/>
                <w:u w:val="single"/>
              </w:rPr>
            </w:pPr>
            <w:r w:rsidRPr="00374801">
              <w:rPr>
                <w:rFonts w:ascii="Times New Roman" w:eastAsia="Times New Roman" w:hAnsi="Times New Roman"/>
                <w:sz w:val="20"/>
                <w:szCs w:val="20"/>
                <w:u w:val="single"/>
              </w:rPr>
              <w:t>KIS Việt Nam</w:t>
            </w:r>
          </w:p>
          <w:p w:rsidR="00B31449" w:rsidRPr="00374801" w:rsidRDefault="00B31449" w:rsidP="001816D3">
            <w:pPr>
              <w:spacing w:after="0" w:line="240" w:lineRule="auto"/>
              <w:jc w:val="both"/>
              <w:rPr>
                <w:rFonts w:ascii="Times New Roman" w:eastAsia="Times New Roman" w:hAnsi="Times New Roman"/>
                <w:sz w:val="20"/>
                <w:szCs w:val="20"/>
              </w:rPr>
            </w:pPr>
          </w:p>
        </w:tc>
        <w:tc>
          <w:tcPr>
            <w:tcW w:w="5076" w:type="dxa"/>
            <w:shd w:val="clear" w:color="auto" w:fill="auto"/>
          </w:tcPr>
          <w:p w:rsidR="00B31449" w:rsidRPr="00374801" w:rsidRDefault="00B31449" w:rsidP="001816D3">
            <w:pPr>
              <w:spacing w:after="0" w:line="240" w:lineRule="auto"/>
              <w:jc w:val="center"/>
              <w:rPr>
                <w:rFonts w:ascii="Times New Roman" w:eastAsia="Times New Roman" w:hAnsi="Times New Roman"/>
                <w:sz w:val="20"/>
                <w:szCs w:val="20"/>
              </w:rPr>
            </w:pPr>
            <w:r w:rsidRPr="00374801">
              <w:rPr>
                <w:rFonts w:ascii="Times New Roman" w:eastAsia="Times New Roman" w:hAnsi="Times New Roman"/>
                <w:sz w:val="20"/>
                <w:szCs w:val="20"/>
              </w:rPr>
              <w:t>CỘNG HÒA XÃ HỘI CHỦ NGHĨA VIỆT NAM</w:t>
            </w:r>
          </w:p>
          <w:p w:rsidR="00B31449" w:rsidRPr="00374801" w:rsidRDefault="00B31449" w:rsidP="001816D3">
            <w:pPr>
              <w:spacing w:after="0" w:line="240" w:lineRule="auto"/>
              <w:jc w:val="center"/>
              <w:rPr>
                <w:rFonts w:ascii="Times New Roman" w:eastAsia="Times New Roman" w:hAnsi="Times New Roman"/>
                <w:sz w:val="20"/>
                <w:szCs w:val="20"/>
                <w:u w:val="single"/>
              </w:rPr>
            </w:pPr>
            <w:r w:rsidRPr="00374801">
              <w:rPr>
                <w:rFonts w:ascii="Times New Roman" w:eastAsia="Times New Roman" w:hAnsi="Times New Roman"/>
                <w:sz w:val="20"/>
                <w:szCs w:val="20"/>
                <w:u w:val="single"/>
              </w:rPr>
              <w:t>Độc lập – Tự do – Hạnh phúc</w:t>
            </w:r>
          </w:p>
        </w:tc>
      </w:tr>
    </w:tbl>
    <w:p w:rsidR="00AD1A44" w:rsidRPr="00374801" w:rsidRDefault="00B31449" w:rsidP="00D32AF8">
      <w:pPr>
        <w:spacing w:after="0" w:line="240" w:lineRule="auto"/>
        <w:jc w:val="both"/>
        <w:rPr>
          <w:rFonts w:ascii="Times New Roman" w:eastAsia="Times New Roman" w:hAnsi="Times New Roman"/>
          <w:sz w:val="20"/>
          <w:szCs w:val="20"/>
        </w:rPr>
      </w:pPr>
      <w:r w:rsidRPr="00374801">
        <w:rPr>
          <w:rFonts w:ascii="Times New Roman" w:eastAsia="Times New Roman" w:hAnsi="Times New Roman"/>
          <w:sz w:val="20"/>
          <w:szCs w:val="20"/>
        </w:rPr>
        <w:t xml:space="preserve">V/v: Báo cáo </w:t>
      </w:r>
      <w:r w:rsidR="00E567E8" w:rsidRPr="00374801">
        <w:rPr>
          <w:rFonts w:ascii="Times New Roman" w:eastAsia="Times New Roman" w:hAnsi="Times New Roman"/>
          <w:sz w:val="20"/>
          <w:szCs w:val="20"/>
        </w:rPr>
        <w:t>chỉ tiêu an toàn tài chính</w:t>
      </w:r>
    </w:p>
    <w:p w:rsidR="00E567E8" w:rsidRPr="00374801" w:rsidRDefault="00E567E8" w:rsidP="00D32AF8">
      <w:pPr>
        <w:spacing w:after="0" w:line="240" w:lineRule="auto"/>
        <w:jc w:val="both"/>
        <w:rPr>
          <w:rFonts w:ascii="Times New Roman" w:eastAsia="Times New Roman" w:hAnsi="Times New Roman"/>
          <w:sz w:val="20"/>
          <w:szCs w:val="20"/>
        </w:rPr>
      </w:pPr>
    </w:p>
    <w:p w:rsidR="00E567E8" w:rsidRPr="00374801" w:rsidRDefault="00E567E8" w:rsidP="00D32AF8">
      <w:pPr>
        <w:spacing w:after="0" w:line="240" w:lineRule="auto"/>
        <w:jc w:val="both"/>
        <w:rPr>
          <w:rFonts w:ascii="Times New Roman" w:eastAsia="Times New Roman" w:hAnsi="Times New Roman"/>
          <w:sz w:val="20"/>
          <w:szCs w:val="20"/>
        </w:rPr>
      </w:pPr>
    </w:p>
    <w:p w:rsidR="00E567E8" w:rsidRPr="00374801" w:rsidRDefault="00E567E8" w:rsidP="00E567E8">
      <w:pPr>
        <w:spacing w:after="0" w:line="240" w:lineRule="auto"/>
        <w:jc w:val="center"/>
        <w:rPr>
          <w:rFonts w:ascii="Times New Roman" w:eastAsia="Times New Roman" w:hAnsi="Times New Roman"/>
          <w:b/>
          <w:sz w:val="20"/>
          <w:szCs w:val="20"/>
        </w:rPr>
      </w:pPr>
    </w:p>
    <w:p w:rsidR="00E567E8" w:rsidRPr="00374801" w:rsidRDefault="00E567E8" w:rsidP="00E567E8">
      <w:pPr>
        <w:spacing w:after="0" w:line="240" w:lineRule="auto"/>
        <w:jc w:val="center"/>
        <w:rPr>
          <w:rFonts w:ascii="Times New Roman" w:eastAsia="Times New Roman" w:hAnsi="Times New Roman"/>
          <w:b/>
          <w:sz w:val="20"/>
          <w:szCs w:val="20"/>
        </w:rPr>
      </w:pPr>
      <w:r w:rsidRPr="00374801">
        <w:rPr>
          <w:rFonts w:ascii="Times New Roman" w:eastAsia="Times New Roman" w:hAnsi="Times New Roman"/>
          <w:b/>
          <w:sz w:val="20"/>
          <w:szCs w:val="20"/>
        </w:rPr>
        <w:t>Kính gửi: Ủy ban Chứng khoán Nhà nước</w:t>
      </w:r>
    </w:p>
    <w:p w:rsidR="00E567E8" w:rsidRPr="00374801" w:rsidRDefault="00E567E8" w:rsidP="00E567E8">
      <w:pPr>
        <w:spacing w:after="0" w:line="240" w:lineRule="auto"/>
        <w:jc w:val="center"/>
        <w:rPr>
          <w:rFonts w:ascii="Times New Roman" w:eastAsia="Times New Roman" w:hAnsi="Times New Roman"/>
          <w:b/>
          <w:sz w:val="20"/>
          <w:szCs w:val="20"/>
        </w:rPr>
      </w:pPr>
    </w:p>
    <w:p w:rsidR="00E567E8" w:rsidRPr="00374801" w:rsidRDefault="00E567E8" w:rsidP="00E567E8">
      <w:pPr>
        <w:spacing w:after="0" w:line="240" w:lineRule="auto"/>
        <w:jc w:val="center"/>
        <w:rPr>
          <w:rFonts w:ascii="Times New Roman" w:eastAsia="Times New Roman" w:hAnsi="Times New Roman"/>
          <w:b/>
          <w:sz w:val="20"/>
          <w:szCs w:val="20"/>
        </w:rPr>
      </w:pPr>
      <w:r w:rsidRPr="00374801">
        <w:rPr>
          <w:rFonts w:ascii="Times New Roman" w:eastAsia="Times New Roman" w:hAnsi="Times New Roman"/>
          <w:b/>
          <w:sz w:val="20"/>
          <w:szCs w:val="20"/>
        </w:rPr>
        <w:t>BÁO CÁO TỶ LỆ AN TOÀN TÀI CHÍNH</w:t>
      </w:r>
    </w:p>
    <w:p w:rsidR="00AD1A44" w:rsidRPr="00374801" w:rsidRDefault="00AD1A44" w:rsidP="00E567E8">
      <w:pPr>
        <w:spacing w:after="0" w:line="240" w:lineRule="auto"/>
        <w:jc w:val="center"/>
        <w:rPr>
          <w:rFonts w:ascii="Times New Roman" w:eastAsia="Times New Roman" w:hAnsi="Times New Roman"/>
          <w:b/>
          <w:sz w:val="20"/>
          <w:szCs w:val="20"/>
        </w:rPr>
      </w:pPr>
    </w:p>
    <w:p w:rsidR="00E567E8" w:rsidRPr="00374801" w:rsidRDefault="00E567E8" w:rsidP="00E567E8">
      <w:pPr>
        <w:spacing w:after="0" w:line="240" w:lineRule="auto"/>
        <w:jc w:val="center"/>
        <w:rPr>
          <w:rFonts w:ascii="Times New Roman" w:eastAsia="Times New Roman" w:hAnsi="Times New Roman"/>
          <w:sz w:val="20"/>
          <w:szCs w:val="20"/>
        </w:rPr>
      </w:pPr>
      <w:r w:rsidRPr="00374801">
        <w:rPr>
          <w:rFonts w:ascii="Times New Roman" w:eastAsia="Times New Roman" w:hAnsi="Times New Roman"/>
          <w:sz w:val="20"/>
          <w:szCs w:val="20"/>
        </w:rPr>
        <w:t>Tại thời điểm 3</w:t>
      </w:r>
      <w:r w:rsidR="00165787">
        <w:rPr>
          <w:rFonts w:ascii="Times New Roman" w:eastAsia="Times New Roman" w:hAnsi="Times New Roman"/>
          <w:sz w:val="20"/>
          <w:szCs w:val="20"/>
        </w:rPr>
        <w:t>0</w:t>
      </w:r>
      <w:r w:rsidRPr="00374801">
        <w:rPr>
          <w:rFonts w:ascii="Times New Roman" w:eastAsia="Times New Roman" w:hAnsi="Times New Roman"/>
          <w:sz w:val="20"/>
          <w:szCs w:val="20"/>
        </w:rPr>
        <w:t xml:space="preserve"> tháng </w:t>
      </w:r>
      <w:r w:rsidR="00165787">
        <w:rPr>
          <w:rFonts w:ascii="Times New Roman" w:eastAsia="Times New Roman" w:hAnsi="Times New Roman"/>
          <w:sz w:val="20"/>
          <w:szCs w:val="20"/>
        </w:rPr>
        <w:t>6 năm 2015</w:t>
      </w:r>
    </w:p>
    <w:p w:rsidR="00E567E8" w:rsidRPr="00374801" w:rsidRDefault="00E567E8" w:rsidP="00E567E8">
      <w:pPr>
        <w:spacing w:after="0" w:line="240" w:lineRule="auto"/>
        <w:jc w:val="center"/>
        <w:rPr>
          <w:rFonts w:ascii="Times New Roman" w:eastAsia="Times New Roman" w:hAnsi="Times New Roman"/>
          <w:b/>
          <w:sz w:val="20"/>
          <w:szCs w:val="20"/>
        </w:rPr>
      </w:pPr>
    </w:p>
    <w:p w:rsidR="00E567E8" w:rsidRPr="00374801" w:rsidRDefault="00E567E8" w:rsidP="00E567E8">
      <w:pPr>
        <w:spacing w:after="0" w:line="240" w:lineRule="auto"/>
        <w:jc w:val="both"/>
        <w:rPr>
          <w:rFonts w:ascii="Times New Roman" w:eastAsia="Times New Roman" w:hAnsi="Times New Roman"/>
          <w:b/>
          <w:sz w:val="20"/>
          <w:szCs w:val="20"/>
        </w:rPr>
      </w:pPr>
    </w:p>
    <w:p w:rsidR="00E567E8" w:rsidRPr="00374801" w:rsidRDefault="00E567E8" w:rsidP="00E567E8">
      <w:pPr>
        <w:spacing w:after="0" w:line="240" w:lineRule="auto"/>
        <w:jc w:val="both"/>
        <w:rPr>
          <w:rFonts w:ascii="Times New Roman" w:eastAsia="Times New Roman" w:hAnsi="Times New Roman"/>
          <w:sz w:val="20"/>
          <w:szCs w:val="20"/>
        </w:rPr>
      </w:pPr>
      <w:r w:rsidRPr="00374801">
        <w:rPr>
          <w:rFonts w:ascii="Times New Roman" w:eastAsia="Times New Roman" w:hAnsi="Times New Roman"/>
          <w:sz w:val="20"/>
          <w:szCs w:val="20"/>
        </w:rPr>
        <w:t>Chúng tôi cam đoan rằng:</w:t>
      </w:r>
    </w:p>
    <w:p w:rsidR="00E567E8" w:rsidRPr="00374801" w:rsidRDefault="00E567E8" w:rsidP="00E567E8">
      <w:pPr>
        <w:spacing w:after="0" w:line="240" w:lineRule="auto"/>
        <w:jc w:val="both"/>
        <w:rPr>
          <w:rFonts w:ascii="Times New Roman" w:eastAsia="Times New Roman" w:hAnsi="Times New Roman"/>
          <w:sz w:val="20"/>
          <w:szCs w:val="20"/>
        </w:rPr>
      </w:pPr>
    </w:p>
    <w:p w:rsidR="00E567E8" w:rsidRPr="00374801" w:rsidRDefault="00E567E8" w:rsidP="00E567E8">
      <w:pPr>
        <w:numPr>
          <w:ilvl w:val="0"/>
          <w:numId w:val="13"/>
        </w:numPr>
        <w:spacing w:after="0" w:line="240" w:lineRule="auto"/>
        <w:ind w:left="540" w:hanging="540"/>
        <w:jc w:val="both"/>
        <w:rPr>
          <w:rFonts w:ascii="Times New Roman" w:eastAsia="Times New Roman" w:hAnsi="Times New Roman"/>
          <w:sz w:val="20"/>
          <w:szCs w:val="20"/>
        </w:rPr>
      </w:pPr>
      <w:r w:rsidRPr="00374801">
        <w:rPr>
          <w:rFonts w:ascii="Times New Roman" w:eastAsia="Times New Roman" w:hAnsi="Times New Roman"/>
          <w:sz w:val="20"/>
          <w:szCs w:val="20"/>
        </w:rPr>
        <w:t>Báo cáo được xây dựng trên cơ sở số liệu được cập nhật tại ngày lập báo cáo và được lập theo đúng các quy định tại Thông tư số 226/2010/TT-BTC ngày 31 tháng 12 năm 2010 của Bộ Tài chính quy định về chỉ tiêu an toàn tài chính và biện pháp xử lý đối với các tổ chức kinh doanh chứng khoán k</w:t>
      </w:r>
      <w:r w:rsidR="00FF7E0D">
        <w:rPr>
          <w:rFonts w:ascii="Times New Roman" w:eastAsia="Times New Roman" w:hAnsi="Times New Roman"/>
          <w:sz w:val="20"/>
          <w:szCs w:val="20"/>
        </w:rPr>
        <w:t>hông đáp ứng các chỉ tiêu an toà</w:t>
      </w:r>
      <w:r w:rsidRPr="00374801">
        <w:rPr>
          <w:rFonts w:ascii="Times New Roman" w:eastAsia="Times New Roman" w:hAnsi="Times New Roman"/>
          <w:sz w:val="20"/>
          <w:szCs w:val="20"/>
        </w:rPr>
        <w:t>n tài chính và Thông tư số 165/2012/TT-BTC ngày 09 tháng 10 năm 2012 sửa đổi, bổ sung một số điều của Thông tư số 226/2010/TT-BTC;</w:t>
      </w:r>
    </w:p>
    <w:p w:rsidR="00E567E8" w:rsidRPr="00374801" w:rsidRDefault="00E567E8" w:rsidP="00E567E8">
      <w:pPr>
        <w:spacing w:after="0" w:line="240" w:lineRule="auto"/>
        <w:ind w:left="540"/>
        <w:jc w:val="both"/>
        <w:rPr>
          <w:rFonts w:ascii="Times New Roman" w:eastAsia="Times New Roman" w:hAnsi="Times New Roman"/>
          <w:sz w:val="20"/>
          <w:szCs w:val="20"/>
        </w:rPr>
      </w:pPr>
    </w:p>
    <w:p w:rsidR="00E567E8" w:rsidRPr="00374801" w:rsidRDefault="00E567E8" w:rsidP="00E567E8">
      <w:pPr>
        <w:numPr>
          <w:ilvl w:val="0"/>
          <w:numId w:val="13"/>
        </w:numPr>
        <w:spacing w:after="0" w:line="240" w:lineRule="auto"/>
        <w:ind w:left="540" w:hanging="540"/>
        <w:jc w:val="both"/>
        <w:rPr>
          <w:rFonts w:ascii="Times New Roman" w:eastAsia="Times New Roman" w:hAnsi="Times New Roman"/>
          <w:sz w:val="20"/>
          <w:szCs w:val="20"/>
        </w:rPr>
      </w:pPr>
      <w:r w:rsidRPr="00374801">
        <w:rPr>
          <w:rFonts w:ascii="Times New Roman" w:eastAsia="Times New Roman" w:hAnsi="Times New Roman"/>
          <w:sz w:val="20"/>
          <w:szCs w:val="20"/>
        </w:rPr>
        <w:t>Đối với những vấn đề có ảnh hưởng đến tình hình tài chính của Công ty phát sinh sau ngày lập báo cáo này, chúng tôi sẽ cập nhật trong kỳ báo cáo tiếp theo;</w:t>
      </w:r>
    </w:p>
    <w:p w:rsidR="00E567E8" w:rsidRPr="00374801" w:rsidRDefault="00E567E8" w:rsidP="005215A9">
      <w:pPr>
        <w:pStyle w:val="ListParagraph"/>
        <w:spacing w:after="0"/>
        <w:rPr>
          <w:rFonts w:ascii="Times New Roman" w:eastAsia="Times New Roman" w:hAnsi="Times New Roman"/>
          <w:sz w:val="20"/>
          <w:szCs w:val="20"/>
        </w:rPr>
      </w:pPr>
    </w:p>
    <w:p w:rsidR="00E567E8" w:rsidRPr="00374801" w:rsidRDefault="00E567E8" w:rsidP="00E567E8">
      <w:pPr>
        <w:numPr>
          <w:ilvl w:val="0"/>
          <w:numId w:val="13"/>
        </w:numPr>
        <w:spacing w:after="0" w:line="240" w:lineRule="auto"/>
        <w:ind w:left="540" w:hanging="540"/>
        <w:jc w:val="both"/>
        <w:rPr>
          <w:rFonts w:ascii="Times New Roman" w:eastAsia="Times New Roman" w:hAnsi="Times New Roman"/>
          <w:sz w:val="20"/>
          <w:szCs w:val="20"/>
        </w:rPr>
      </w:pPr>
      <w:r w:rsidRPr="00374801">
        <w:rPr>
          <w:rFonts w:ascii="Times New Roman" w:eastAsia="Times New Roman" w:hAnsi="Times New Roman"/>
          <w:sz w:val="20"/>
          <w:szCs w:val="20"/>
        </w:rPr>
        <w:t>Chúng tôi xin hoàn toàn chịu trách nhiệm trước pháp luật về tính chính xác và trung thực của nội dung báo cáo.</w:t>
      </w:r>
    </w:p>
    <w:p w:rsidR="00E567E8" w:rsidRPr="00374801" w:rsidRDefault="00E567E8" w:rsidP="00E567E8">
      <w:pPr>
        <w:pStyle w:val="ListParagraph"/>
        <w:rPr>
          <w:rFonts w:ascii="Times New Roman" w:eastAsia="Times New Roman" w:hAnsi="Times New Roman"/>
          <w:sz w:val="20"/>
          <w:szCs w:val="20"/>
        </w:rPr>
      </w:pPr>
    </w:p>
    <w:p w:rsidR="003D6BC0" w:rsidRDefault="003D6BC0" w:rsidP="00E567E8">
      <w:pPr>
        <w:pStyle w:val="ListParagraph"/>
        <w:rPr>
          <w:rFonts w:ascii="Times New Roman" w:eastAsia="Times New Roman" w:hAnsi="Times New Roman"/>
          <w:sz w:val="20"/>
          <w:szCs w:val="20"/>
        </w:rPr>
      </w:pPr>
    </w:p>
    <w:p w:rsidR="00D21943" w:rsidRDefault="00D21943" w:rsidP="00E567E8">
      <w:pPr>
        <w:pStyle w:val="ListParagraph"/>
        <w:rPr>
          <w:rFonts w:ascii="Times New Roman" w:eastAsia="Times New Roman" w:hAnsi="Times New Roman"/>
          <w:sz w:val="20"/>
          <w:szCs w:val="20"/>
        </w:rPr>
      </w:pPr>
    </w:p>
    <w:p w:rsidR="00013C38" w:rsidRPr="00374801" w:rsidRDefault="00013C38" w:rsidP="00013C38">
      <w:pPr>
        <w:tabs>
          <w:tab w:val="center" w:pos="1440"/>
          <w:tab w:val="center" w:pos="4680"/>
          <w:tab w:val="center" w:pos="774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Đã ký</w:t>
      </w:r>
      <w:r w:rsidRPr="007E3D93">
        <w:rPr>
          <w:rFonts w:ascii="Times New Roman" w:eastAsia="Times New Roman" w:hAnsi="Times New Roman"/>
          <w:sz w:val="20"/>
          <w:szCs w:val="20"/>
        </w:rPr>
        <w:t xml:space="preserve"> </w:t>
      </w:r>
      <w:r>
        <w:rPr>
          <w:rFonts w:ascii="Times New Roman" w:eastAsia="Times New Roman" w:hAnsi="Times New Roman"/>
          <w:sz w:val="20"/>
          <w:szCs w:val="20"/>
        </w:rPr>
        <w:tab/>
        <w:t>Đã ký</w:t>
      </w:r>
      <w:r w:rsidRPr="007E3D93">
        <w:rPr>
          <w:rFonts w:ascii="Times New Roman" w:eastAsia="Times New Roman" w:hAnsi="Times New Roman"/>
          <w:sz w:val="20"/>
          <w:szCs w:val="20"/>
        </w:rPr>
        <w:t xml:space="preserve"> </w:t>
      </w:r>
      <w:r>
        <w:rPr>
          <w:rFonts w:ascii="Times New Roman" w:eastAsia="Times New Roman" w:hAnsi="Times New Roman"/>
          <w:sz w:val="20"/>
          <w:szCs w:val="20"/>
        </w:rPr>
        <w:tab/>
        <w:t>Đã ký</w:t>
      </w:r>
    </w:p>
    <w:p w:rsidR="003D6BC0" w:rsidRPr="00374801" w:rsidRDefault="003D6BC0" w:rsidP="00E567E8">
      <w:pPr>
        <w:pStyle w:val="ListParagraph"/>
        <w:rPr>
          <w:rFonts w:ascii="Times New Roman" w:eastAsia="Times New Roman" w:hAnsi="Times New Roman"/>
          <w:sz w:val="20"/>
          <w:szCs w:val="20"/>
        </w:rPr>
      </w:pPr>
    </w:p>
    <w:p w:rsidR="00E567E8" w:rsidRPr="00374801" w:rsidRDefault="00E567E8" w:rsidP="00E567E8">
      <w:pPr>
        <w:spacing w:after="0" w:line="240" w:lineRule="auto"/>
        <w:jc w:val="both"/>
        <w:rPr>
          <w:rFonts w:ascii="Times New Roman" w:eastAsia="Times New Roman" w:hAnsi="Times New Roman"/>
          <w:sz w:val="20"/>
          <w:szCs w:val="20"/>
        </w:rPr>
      </w:pPr>
    </w:p>
    <w:p w:rsidR="00D21943" w:rsidRPr="00374801" w:rsidRDefault="00D21943" w:rsidP="00D21943">
      <w:pPr>
        <w:spacing w:after="0" w:line="240" w:lineRule="auto"/>
        <w:jc w:val="both"/>
        <w:rPr>
          <w:rFonts w:ascii="Times New Roman" w:eastAsia="Times New Roman" w:hAnsi="Times New Roman"/>
          <w:sz w:val="20"/>
          <w:szCs w:val="20"/>
        </w:rPr>
      </w:pPr>
    </w:p>
    <w:tbl>
      <w:tblPr>
        <w:tblW w:w="8820" w:type="dxa"/>
        <w:tblInd w:w="108" w:type="dxa"/>
        <w:tblBorders>
          <w:top w:val="single" w:sz="4" w:space="0" w:color="auto"/>
          <w:insideH w:val="single" w:sz="4" w:space="0" w:color="auto"/>
        </w:tblBorders>
        <w:tblLook w:val="04A0"/>
      </w:tblPr>
      <w:tblGrid>
        <w:gridCol w:w="2636"/>
        <w:gridCol w:w="274"/>
        <w:gridCol w:w="3120"/>
        <w:gridCol w:w="247"/>
        <w:gridCol w:w="2543"/>
      </w:tblGrid>
      <w:tr w:rsidR="00D21943" w:rsidRPr="00374801" w:rsidTr="00E33A8A">
        <w:tc>
          <w:tcPr>
            <w:tcW w:w="2636" w:type="dxa"/>
            <w:shd w:val="clear" w:color="auto" w:fill="auto"/>
          </w:tcPr>
          <w:p w:rsidR="00D21943" w:rsidRPr="00EA6451" w:rsidRDefault="00D21943" w:rsidP="00E33A8A">
            <w:pPr>
              <w:spacing w:after="0" w:line="240" w:lineRule="auto"/>
              <w:ind w:left="-108"/>
              <w:jc w:val="both"/>
              <w:rPr>
                <w:rFonts w:ascii="Times New Roman" w:eastAsia="Times New Roman" w:hAnsi="Times New Roman"/>
                <w:b/>
                <w:sz w:val="20"/>
                <w:szCs w:val="20"/>
              </w:rPr>
            </w:pPr>
            <w:r w:rsidRPr="00EA6451">
              <w:rPr>
                <w:rFonts w:ascii="Times New Roman" w:eastAsia="Times New Roman" w:hAnsi="Times New Roman"/>
                <w:b/>
                <w:sz w:val="20"/>
                <w:szCs w:val="20"/>
              </w:rPr>
              <w:t>TRƯƠNG THỊ KIM DUNG</w:t>
            </w:r>
          </w:p>
          <w:p w:rsidR="00D21943" w:rsidRPr="00EA6451" w:rsidRDefault="00D21943" w:rsidP="00E33A8A">
            <w:pPr>
              <w:spacing w:after="0" w:line="240" w:lineRule="auto"/>
              <w:ind w:left="-108"/>
              <w:jc w:val="both"/>
              <w:rPr>
                <w:rFonts w:ascii="Times New Roman" w:eastAsia="Times New Roman" w:hAnsi="Times New Roman"/>
                <w:b/>
                <w:sz w:val="20"/>
                <w:szCs w:val="20"/>
              </w:rPr>
            </w:pPr>
            <w:r w:rsidRPr="00EA6451">
              <w:rPr>
                <w:rFonts w:ascii="Times New Roman" w:eastAsia="Times New Roman" w:hAnsi="Times New Roman"/>
                <w:b/>
                <w:sz w:val="20"/>
                <w:szCs w:val="20"/>
              </w:rPr>
              <w:t>Kế toán trưởng</w:t>
            </w:r>
          </w:p>
          <w:p w:rsidR="00D21943" w:rsidRPr="00374801" w:rsidRDefault="00D21943" w:rsidP="00165787">
            <w:pPr>
              <w:spacing w:after="0" w:line="240" w:lineRule="auto"/>
              <w:ind w:left="-108"/>
              <w:jc w:val="both"/>
              <w:rPr>
                <w:rFonts w:ascii="Times New Roman" w:eastAsia="Times New Roman" w:hAnsi="Times New Roman"/>
                <w:sz w:val="20"/>
                <w:szCs w:val="20"/>
              </w:rPr>
            </w:pPr>
            <w:r w:rsidRPr="00374801">
              <w:rPr>
                <w:rFonts w:ascii="Times New Roman" w:eastAsia="Times New Roman" w:hAnsi="Times New Roman"/>
                <w:sz w:val="20"/>
                <w:szCs w:val="20"/>
              </w:rPr>
              <w:t xml:space="preserve">Ngày </w:t>
            </w:r>
            <w:r w:rsidR="003F581D">
              <w:rPr>
                <w:rFonts w:ascii="Times New Roman" w:eastAsia="Times New Roman" w:hAnsi="Times New Roman"/>
                <w:sz w:val="20"/>
                <w:szCs w:val="20"/>
              </w:rPr>
              <w:t>1</w:t>
            </w:r>
            <w:r w:rsidR="00165787">
              <w:rPr>
                <w:rFonts w:ascii="Times New Roman" w:eastAsia="Times New Roman" w:hAnsi="Times New Roman"/>
                <w:sz w:val="20"/>
                <w:szCs w:val="20"/>
              </w:rPr>
              <w:t>0</w:t>
            </w:r>
            <w:r w:rsidRPr="00374801">
              <w:rPr>
                <w:rFonts w:ascii="Times New Roman" w:eastAsia="Times New Roman" w:hAnsi="Times New Roman"/>
                <w:sz w:val="20"/>
                <w:szCs w:val="20"/>
              </w:rPr>
              <w:t xml:space="preserve"> tháng </w:t>
            </w:r>
            <w:r w:rsidR="003F581D">
              <w:rPr>
                <w:rFonts w:ascii="Times New Roman" w:eastAsia="Times New Roman" w:hAnsi="Times New Roman"/>
                <w:sz w:val="20"/>
                <w:szCs w:val="20"/>
              </w:rPr>
              <w:t>8</w:t>
            </w:r>
            <w:r w:rsidR="00EC3FB7">
              <w:rPr>
                <w:rFonts w:ascii="Times New Roman" w:eastAsia="Times New Roman" w:hAnsi="Times New Roman"/>
                <w:sz w:val="20"/>
                <w:szCs w:val="20"/>
              </w:rPr>
              <w:t xml:space="preserve"> năm 2015</w:t>
            </w:r>
          </w:p>
        </w:tc>
        <w:tc>
          <w:tcPr>
            <w:tcW w:w="274" w:type="dxa"/>
            <w:tcBorders>
              <w:top w:val="nil"/>
              <w:bottom w:val="nil"/>
            </w:tcBorders>
            <w:shd w:val="clear" w:color="auto" w:fill="auto"/>
          </w:tcPr>
          <w:p w:rsidR="00D21943" w:rsidRPr="00374801" w:rsidRDefault="00D21943" w:rsidP="00E33A8A">
            <w:pPr>
              <w:spacing w:after="0" w:line="240" w:lineRule="auto"/>
              <w:rPr>
                <w:rFonts w:ascii="Times New Roman" w:eastAsia="Times New Roman" w:hAnsi="Times New Roman"/>
                <w:sz w:val="20"/>
                <w:szCs w:val="20"/>
              </w:rPr>
            </w:pPr>
          </w:p>
          <w:p w:rsidR="00D21943" w:rsidRPr="00374801" w:rsidRDefault="00D21943" w:rsidP="00E33A8A">
            <w:pPr>
              <w:spacing w:after="0" w:line="240" w:lineRule="auto"/>
              <w:rPr>
                <w:rFonts w:ascii="Times New Roman" w:eastAsia="Times New Roman" w:hAnsi="Times New Roman"/>
                <w:sz w:val="20"/>
                <w:szCs w:val="20"/>
              </w:rPr>
            </w:pPr>
          </w:p>
          <w:p w:rsidR="00D21943" w:rsidRPr="00374801" w:rsidRDefault="00D21943" w:rsidP="00E33A8A">
            <w:pPr>
              <w:spacing w:after="0" w:line="240" w:lineRule="auto"/>
              <w:jc w:val="both"/>
              <w:rPr>
                <w:rFonts w:ascii="Times New Roman" w:eastAsia="Times New Roman" w:hAnsi="Times New Roman"/>
                <w:sz w:val="20"/>
                <w:szCs w:val="20"/>
              </w:rPr>
            </w:pPr>
          </w:p>
        </w:tc>
        <w:tc>
          <w:tcPr>
            <w:tcW w:w="3120" w:type="dxa"/>
            <w:shd w:val="clear" w:color="auto" w:fill="auto"/>
          </w:tcPr>
          <w:p w:rsidR="00D21943" w:rsidRPr="00013C38" w:rsidRDefault="00013C38" w:rsidP="00E33A8A">
            <w:pPr>
              <w:spacing w:after="0" w:line="240" w:lineRule="auto"/>
              <w:ind w:left="-138"/>
              <w:jc w:val="both"/>
              <w:rPr>
                <w:rFonts w:ascii="Times New Roman" w:eastAsia="Times New Roman" w:hAnsi="Times New Roman"/>
                <w:b/>
                <w:sz w:val="20"/>
                <w:szCs w:val="20"/>
              </w:rPr>
            </w:pPr>
            <w:r w:rsidRPr="00013C38">
              <w:rPr>
                <w:rFonts w:ascii="Times New Roman" w:eastAsia="Times New Roman" w:hAnsi="Times New Roman"/>
                <w:b/>
                <w:sz w:val="20"/>
                <w:szCs w:val="20"/>
              </w:rPr>
              <w:t xml:space="preserve">NGUYỄN NGỌC ANH THƠ </w:t>
            </w:r>
          </w:p>
          <w:p w:rsidR="00D21943" w:rsidRPr="00C829A4" w:rsidRDefault="00D21943" w:rsidP="00E33A8A">
            <w:pPr>
              <w:spacing w:after="0" w:line="240" w:lineRule="auto"/>
              <w:ind w:left="-138"/>
              <w:jc w:val="both"/>
              <w:rPr>
                <w:rFonts w:ascii="Times New Roman" w:eastAsia="Times New Roman" w:hAnsi="Times New Roman"/>
                <w:b/>
                <w:sz w:val="20"/>
                <w:szCs w:val="20"/>
              </w:rPr>
            </w:pPr>
            <w:r>
              <w:rPr>
                <w:rFonts w:ascii="Times New Roman" w:eastAsia="Times New Roman" w:hAnsi="Times New Roman"/>
                <w:sz w:val="20"/>
                <w:szCs w:val="20"/>
              </w:rPr>
              <w:t xml:space="preserve"> </w:t>
            </w:r>
            <w:r w:rsidRPr="00C829A4">
              <w:rPr>
                <w:rFonts w:ascii="Times New Roman" w:eastAsia="Times New Roman" w:hAnsi="Times New Roman"/>
                <w:b/>
                <w:sz w:val="20"/>
                <w:szCs w:val="20"/>
              </w:rPr>
              <w:t>Trưởng bộ phận Kiểm soát nội bộ</w:t>
            </w:r>
          </w:p>
        </w:tc>
        <w:tc>
          <w:tcPr>
            <w:tcW w:w="247" w:type="dxa"/>
            <w:tcBorders>
              <w:top w:val="nil"/>
              <w:bottom w:val="nil"/>
            </w:tcBorders>
            <w:shd w:val="clear" w:color="auto" w:fill="auto"/>
          </w:tcPr>
          <w:p w:rsidR="00D21943" w:rsidRPr="00374801" w:rsidRDefault="00D21943" w:rsidP="00E33A8A">
            <w:pPr>
              <w:spacing w:after="0" w:line="240" w:lineRule="auto"/>
              <w:jc w:val="both"/>
              <w:rPr>
                <w:rFonts w:ascii="Times New Roman" w:eastAsia="Times New Roman" w:hAnsi="Times New Roman"/>
                <w:sz w:val="20"/>
                <w:szCs w:val="20"/>
              </w:rPr>
            </w:pPr>
          </w:p>
        </w:tc>
        <w:tc>
          <w:tcPr>
            <w:tcW w:w="2543" w:type="dxa"/>
            <w:shd w:val="clear" w:color="auto" w:fill="auto"/>
          </w:tcPr>
          <w:p w:rsidR="00D21943" w:rsidRPr="00EA6451" w:rsidRDefault="00D21943" w:rsidP="00E33A8A">
            <w:pPr>
              <w:spacing w:after="0" w:line="240" w:lineRule="auto"/>
              <w:ind w:left="-85"/>
              <w:jc w:val="both"/>
              <w:rPr>
                <w:rFonts w:ascii="Times New Roman" w:eastAsia="Times New Roman" w:hAnsi="Times New Roman"/>
                <w:b/>
                <w:sz w:val="20"/>
                <w:szCs w:val="20"/>
              </w:rPr>
            </w:pPr>
            <w:r w:rsidRPr="00EA6451">
              <w:rPr>
                <w:rFonts w:ascii="Times New Roman" w:eastAsia="Times New Roman" w:hAnsi="Times New Roman"/>
                <w:b/>
                <w:sz w:val="20"/>
                <w:szCs w:val="20"/>
              </w:rPr>
              <w:t>OH KYUNG HEE</w:t>
            </w:r>
          </w:p>
          <w:p w:rsidR="00D21943" w:rsidRPr="00374801" w:rsidRDefault="00D21943" w:rsidP="00E33A8A">
            <w:pPr>
              <w:spacing w:after="0" w:line="240" w:lineRule="auto"/>
              <w:ind w:left="-85"/>
              <w:jc w:val="both"/>
              <w:rPr>
                <w:rFonts w:ascii="Times New Roman" w:eastAsia="Times New Roman" w:hAnsi="Times New Roman"/>
                <w:sz w:val="20"/>
                <w:szCs w:val="20"/>
              </w:rPr>
            </w:pPr>
            <w:r w:rsidRPr="00EA6451">
              <w:rPr>
                <w:rFonts w:ascii="Times New Roman" w:eastAsia="Times New Roman" w:hAnsi="Times New Roman"/>
                <w:b/>
                <w:sz w:val="20"/>
                <w:szCs w:val="20"/>
              </w:rPr>
              <w:t>Tổng Giám đốc</w:t>
            </w:r>
          </w:p>
        </w:tc>
      </w:tr>
    </w:tbl>
    <w:p w:rsidR="00E567E8" w:rsidRPr="00374801" w:rsidRDefault="00E567E8"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sectPr w:rsidR="00A41102" w:rsidRPr="00374801" w:rsidSect="00A41102">
          <w:pgSz w:w="11907" w:h="16840" w:code="9"/>
          <w:pgMar w:top="533" w:right="1197" w:bottom="720" w:left="1872" w:header="533" w:footer="576" w:gutter="0"/>
          <w:pgNumType w:start="4"/>
          <w:cols w:space="720"/>
          <w:docGrid w:linePitch="360"/>
        </w:sectPr>
      </w:pPr>
    </w:p>
    <w:p w:rsidR="00851A56" w:rsidRPr="00374801" w:rsidRDefault="00851A56" w:rsidP="00E567E8">
      <w:pPr>
        <w:spacing w:after="0" w:line="240" w:lineRule="auto"/>
        <w:jc w:val="both"/>
        <w:rPr>
          <w:rFonts w:ascii="Times New Roman" w:eastAsia="Times New Roman" w:hAnsi="Times New Roman"/>
          <w:b/>
          <w:sz w:val="20"/>
          <w:szCs w:val="20"/>
        </w:rPr>
      </w:pPr>
      <w:r w:rsidRPr="00374801">
        <w:rPr>
          <w:rFonts w:ascii="Times New Roman" w:hAnsi="Times New Roman"/>
          <w:b/>
          <w:sz w:val="20"/>
          <w:szCs w:val="20"/>
        </w:rPr>
        <w:lastRenderedPageBreak/>
        <w:t>CÔNG TY CỔ PHẦN CHỨNG KHOÁN KIS VIỆT NAM</w:t>
      </w:r>
    </w:p>
    <w:p w:rsidR="00851A56" w:rsidRPr="00374801" w:rsidRDefault="00851A56" w:rsidP="00E567E8">
      <w:pPr>
        <w:spacing w:after="0" w:line="240" w:lineRule="auto"/>
        <w:jc w:val="both"/>
        <w:rPr>
          <w:rFonts w:ascii="Times New Roman" w:eastAsia="Times New Roman" w:hAnsi="Times New Roman"/>
          <w:b/>
          <w:sz w:val="20"/>
          <w:szCs w:val="20"/>
        </w:rPr>
      </w:pPr>
    </w:p>
    <w:p w:rsidR="00A41102" w:rsidRPr="00374801" w:rsidRDefault="00A41102" w:rsidP="00E567E8">
      <w:pPr>
        <w:spacing w:after="0" w:line="240" w:lineRule="auto"/>
        <w:jc w:val="both"/>
        <w:rPr>
          <w:rFonts w:ascii="Times New Roman" w:eastAsia="Times New Roman" w:hAnsi="Times New Roman"/>
          <w:b/>
          <w:sz w:val="20"/>
          <w:szCs w:val="20"/>
        </w:rPr>
      </w:pPr>
      <w:r w:rsidRPr="00374801">
        <w:rPr>
          <w:rFonts w:ascii="Times New Roman" w:eastAsia="Times New Roman" w:hAnsi="Times New Roman"/>
          <w:b/>
          <w:sz w:val="20"/>
          <w:szCs w:val="20"/>
        </w:rPr>
        <w:t>BÁO CÁO TỶ LỆ AN TOÀN TÀI CHÍNH</w:t>
      </w:r>
    </w:p>
    <w:p w:rsidR="00A41102" w:rsidRPr="00374801" w:rsidRDefault="0027227B" w:rsidP="00E567E8">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w:t>
      </w:r>
      <w:r w:rsidR="00A41102" w:rsidRPr="00374801">
        <w:rPr>
          <w:rFonts w:ascii="Times New Roman" w:eastAsia="Times New Roman" w:hAnsi="Times New Roman"/>
          <w:sz w:val="20"/>
          <w:szCs w:val="20"/>
        </w:rPr>
        <w:t xml:space="preserve">ại ngày </w:t>
      </w:r>
      <w:r w:rsidR="00165787">
        <w:rPr>
          <w:rFonts w:ascii="Times New Roman" w:eastAsia="Times New Roman" w:hAnsi="Times New Roman"/>
          <w:sz w:val="20"/>
          <w:szCs w:val="20"/>
        </w:rPr>
        <w:t>30</w:t>
      </w:r>
      <w:r w:rsidR="00EE24ED">
        <w:rPr>
          <w:rFonts w:ascii="Times New Roman" w:eastAsia="Times New Roman" w:hAnsi="Times New Roman"/>
          <w:sz w:val="20"/>
          <w:szCs w:val="20"/>
        </w:rPr>
        <w:t xml:space="preserve"> tháng </w:t>
      </w:r>
      <w:r w:rsidR="00165787">
        <w:rPr>
          <w:rFonts w:ascii="Times New Roman" w:eastAsia="Times New Roman" w:hAnsi="Times New Roman"/>
          <w:sz w:val="20"/>
          <w:szCs w:val="20"/>
        </w:rPr>
        <w:t>6</w:t>
      </w:r>
      <w:r w:rsidR="00C067ED">
        <w:rPr>
          <w:rFonts w:ascii="Times New Roman" w:eastAsia="Times New Roman" w:hAnsi="Times New Roman"/>
          <w:sz w:val="20"/>
          <w:szCs w:val="20"/>
        </w:rPr>
        <w:t xml:space="preserve"> năm 2015</w:t>
      </w: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ED31CB" w:rsidP="00E567E8">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LINK Excel.Sheet.8 "E:\\AUDIT\\KT giua 2015\\Cty CK KIS\\Bao cao VKD 2014\\VKD 31122015.xls!TH!R7C1:R16C5" "" \a \p </w:instrText>
      </w:r>
      <w:r>
        <w:rPr>
          <w:rFonts w:ascii="Times New Roman" w:eastAsia="Times New Roman" w:hAnsi="Times New Roman"/>
          <w:sz w:val="20"/>
          <w:szCs w:val="20"/>
        </w:rPr>
        <w:fldChar w:fldCharType="separate"/>
      </w:r>
      <w:r w:rsidRPr="00ED31CB">
        <w:rPr>
          <w:rFonts w:ascii="Times New Roman" w:eastAsia="Times New Roman" w:hAnsi="Times New Roman"/>
          <w:sz w:val="20"/>
          <w:szCs w:val="20"/>
        </w:rPr>
        <w:object w:dxaOrig="9193"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5pt;height:180.85pt">
            <v:imagedata r:id="rId11" o:title=""/>
          </v:shape>
        </w:object>
      </w:r>
      <w:r>
        <w:rPr>
          <w:rFonts w:ascii="Times New Roman" w:eastAsia="Times New Roman" w:hAnsi="Times New Roman"/>
          <w:sz w:val="20"/>
          <w:szCs w:val="20"/>
        </w:rPr>
        <w:fldChar w:fldCharType="end"/>
      </w: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pPr>
    </w:p>
    <w:p w:rsidR="00A41102" w:rsidRPr="00374801" w:rsidRDefault="00A41102" w:rsidP="00E567E8">
      <w:pPr>
        <w:spacing w:after="0" w:line="240" w:lineRule="auto"/>
        <w:jc w:val="both"/>
        <w:rPr>
          <w:rFonts w:ascii="Times New Roman" w:eastAsia="Times New Roman" w:hAnsi="Times New Roman"/>
          <w:sz w:val="20"/>
          <w:szCs w:val="20"/>
        </w:rPr>
      </w:pPr>
    </w:p>
    <w:p w:rsidR="00F042FC" w:rsidRPr="00374801" w:rsidRDefault="00F042FC" w:rsidP="00F042FC">
      <w:pPr>
        <w:tabs>
          <w:tab w:val="center" w:pos="1440"/>
          <w:tab w:val="center" w:pos="4680"/>
          <w:tab w:val="center" w:pos="774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Đã ký</w:t>
      </w:r>
      <w:r w:rsidRPr="007E3D93">
        <w:rPr>
          <w:rFonts w:ascii="Times New Roman" w:eastAsia="Times New Roman" w:hAnsi="Times New Roman"/>
          <w:sz w:val="20"/>
          <w:szCs w:val="20"/>
        </w:rPr>
        <w:t xml:space="preserve"> </w:t>
      </w:r>
      <w:r>
        <w:rPr>
          <w:rFonts w:ascii="Times New Roman" w:eastAsia="Times New Roman" w:hAnsi="Times New Roman"/>
          <w:sz w:val="20"/>
          <w:szCs w:val="20"/>
        </w:rPr>
        <w:tab/>
        <w:t>Đã ký</w:t>
      </w:r>
      <w:r w:rsidRPr="007E3D93">
        <w:rPr>
          <w:rFonts w:ascii="Times New Roman" w:eastAsia="Times New Roman" w:hAnsi="Times New Roman"/>
          <w:sz w:val="20"/>
          <w:szCs w:val="20"/>
        </w:rPr>
        <w:t xml:space="preserve"> </w:t>
      </w:r>
      <w:r>
        <w:rPr>
          <w:rFonts w:ascii="Times New Roman" w:eastAsia="Times New Roman" w:hAnsi="Times New Roman"/>
          <w:sz w:val="20"/>
          <w:szCs w:val="20"/>
        </w:rPr>
        <w:tab/>
        <w:t>Đã ký</w:t>
      </w:r>
    </w:p>
    <w:p w:rsidR="003D6BC0" w:rsidRPr="00374801" w:rsidRDefault="003D6BC0" w:rsidP="00E567E8">
      <w:pPr>
        <w:spacing w:after="0" w:line="240" w:lineRule="auto"/>
        <w:jc w:val="both"/>
        <w:rPr>
          <w:rFonts w:ascii="Times New Roman" w:eastAsia="Times New Roman" w:hAnsi="Times New Roman"/>
          <w:sz w:val="20"/>
          <w:szCs w:val="20"/>
        </w:rPr>
      </w:pPr>
    </w:p>
    <w:p w:rsidR="003D6BC0" w:rsidRPr="00374801" w:rsidRDefault="003D6BC0" w:rsidP="003D6BC0">
      <w:pPr>
        <w:spacing w:after="0" w:line="240" w:lineRule="auto"/>
        <w:jc w:val="both"/>
        <w:rPr>
          <w:rFonts w:ascii="Times New Roman" w:eastAsia="Times New Roman" w:hAnsi="Times New Roman"/>
          <w:sz w:val="20"/>
          <w:szCs w:val="20"/>
        </w:rPr>
      </w:pPr>
    </w:p>
    <w:p w:rsidR="003D6BC0" w:rsidRPr="00374801" w:rsidRDefault="003D6BC0" w:rsidP="003D6BC0">
      <w:pPr>
        <w:spacing w:after="0" w:line="240" w:lineRule="auto"/>
        <w:jc w:val="both"/>
        <w:rPr>
          <w:rFonts w:ascii="Times New Roman" w:eastAsia="Times New Roman" w:hAnsi="Times New Roman"/>
          <w:sz w:val="20"/>
          <w:szCs w:val="20"/>
        </w:rPr>
      </w:pPr>
    </w:p>
    <w:p w:rsidR="003D6BC0" w:rsidRPr="00374801" w:rsidRDefault="003D6BC0" w:rsidP="003D6BC0">
      <w:pPr>
        <w:spacing w:after="0" w:line="240" w:lineRule="auto"/>
        <w:jc w:val="both"/>
        <w:rPr>
          <w:rFonts w:ascii="Times New Roman" w:eastAsia="Times New Roman" w:hAnsi="Times New Roman"/>
          <w:sz w:val="20"/>
          <w:szCs w:val="20"/>
        </w:rPr>
      </w:pPr>
    </w:p>
    <w:tbl>
      <w:tblPr>
        <w:tblW w:w="8820" w:type="dxa"/>
        <w:tblInd w:w="108" w:type="dxa"/>
        <w:tblBorders>
          <w:top w:val="single" w:sz="4" w:space="0" w:color="auto"/>
          <w:insideH w:val="single" w:sz="4" w:space="0" w:color="auto"/>
        </w:tblBorders>
        <w:tblLook w:val="04A0"/>
      </w:tblPr>
      <w:tblGrid>
        <w:gridCol w:w="2636"/>
        <w:gridCol w:w="274"/>
        <w:gridCol w:w="3120"/>
        <w:gridCol w:w="247"/>
        <w:gridCol w:w="2543"/>
      </w:tblGrid>
      <w:tr w:rsidR="003D6BC0" w:rsidRPr="00374801" w:rsidTr="001816D3">
        <w:tc>
          <w:tcPr>
            <w:tcW w:w="2636" w:type="dxa"/>
            <w:shd w:val="clear" w:color="auto" w:fill="auto"/>
          </w:tcPr>
          <w:p w:rsidR="003D6BC0" w:rsidRPr="00EA6451" w:rsidRDefault="00EA6451" w:rsidP="00EA6451">
            <w:pPr>
              <w:spacing w:after="0" w:line="240" w:lineRule="auto"/>
              <w:ind w:left="-108"/>
              <w:jc w:val="both"/>
              <w:rPr>
                <w:rFonts w:ascii="Times New Roman" w:eastAsia="Times New Roman" w:hAnsi="Times New Roman"/>
                <w:b/>
                <w:sz w:val="20"/>
                <w:szCs w:val="20"/>
              </w:rPr>
            </w:pPr>
            <w:r w:rsidRPr="00EA6451">
              <w:rPr>
                <w:rFonts w:ascii="Times New Roman" w:eastAsia="Times New Roman" w:hAnsi="Times New Roman"/>
                <w:b/>
                <w:sz w:val="20"/>
                <w:szCs w:val="20"/>
              </w:rPr>
              <w:t>TRƯƠNG THỊ KIM DUNG</w:t>
            </w:r>
          </w:p>
          <w:p w:rsidR="003D6BC0" w:rsidRPr="00EA6451" w:rsidRDefault="003D6BC0" w:rsidP="00EA6451">
            <w:pPr>
              <w:spacing w:after="0" w:line="240" w:lineRule="auto"/>
              <w:ind w:left="-108"/>
              <w:jc w:val="both"/>
              <w:rPr>
                <w:rFonts w:ascii="Times New Roman" w:eastAsia="Times New Roman" w:hAnsi="Times New Roman"/>
                <w:b/>
                <w:sz w:val="20"/>
                <w:szCs w:val="20"/>
              </w:rPr>
            </w:pPr>
            <w:r w:rsidRPr="00EA6451">
              <w:rPr>
                <w:rFonts w:ascii="Times New Roman" w:eastAsia="Times New Roman" w:hAnsi="Times New Roman"/>
                <w:b/>
                <w:sz w:val="20"/>
                <w:szCs w:val="20"/>
              </w:rPr>
              <w:t>Kế toán trưởng</w:t>
            </w:r>
          </w:p>
          <w:p w:rsidR="003D6BC0" w:rsidRPr="00374801" w:rsidRDefault="003D6BC0" w:rsidP="003F581D">
            <w:pPr>
              <w:spacing w:after="0" w:line="240" w:lineRule="auto"/>
              <w:ind w:left="-108"/>
              <w:jc w:val="both"/>
              <w:rPr>
                <w:rFonts w:ascii="Times New Roman" w:eastAsia="Times New Roman" w:hAnsi="Times New Roman"/>
                <w:sz w:val="20"/>
                <w:szCs w:val="20"/>
              </w:rPr>
            </w:pPr>
            <w:r w:rsidRPr="00374801">
              <w:rPr>
                <w:rFonts w:ascii="Times New Roman" w:eastAsia="Times New Roman" w:hAnsi="Times New Roman"/>
                <w:sz w:val="20"/>
                <w:szCs w:val="20"/>
              </w:rPr>
              <w:t xml:space="preserve">Ngày </w:t>
            </w:r>
            <w:r w:rsidR="003F581D">
              <w:rPr>
                <w:rFonts w:ascii="Times New Roman" w:eastAsia="Times New Roman" w:hAnsi="Times New Roman"/>
                <w:sz w:val="20"/>
                <w:szCs w:val="20"/>
              </w:rPr>
              <w:t>1</w:t>
            </w:r>
            <w:r w:rsidR="00165787">
              <w:rPr>
                <w:rFonts w:ascii="Times New Roman" w:eastAsia="Times New Roman" w:hAnsi="Times New Roman"/>
                <w:sz w:val="20"/>
                <w:szCs w:val="20"/>
              </w:rPr>
              <w:t>0</w:t>
            </w:r>
            <w:r w:rsidRPr="00374801">
              <w:rPr>
                <w:rFonts w:ascii="Times New Roman" w:eastAsia="Times New Roman" w:hAnsi="Times New Roman"/>
                <w:sz w:val="20"/>
                <w:szCs w:val="20"/>
              </w:rPr>
              <w:t xml:space="preserve"> tháng </w:t>
            </w:r>
            <w:r w:rsidR="003F581D">
              <w:rPr>
                <w:rFonts w:ascii="Times New Roman" w:eastAsia="Times New Roman" w:hAnsi="Times New Roman"/>
                <w:sz w:val="20"/>
                <w:szCs w:val="20"/>
              </w:rPr>
              <w:t>8</w:t>
            </w:r>
            <w:r w:rsidR="00BE3FAB">
              <w:rPr>
                <w:rFonts w:ascii="Times New Roman" w:eastAsia="Times New Roman" w:hAnsi="Times New Roman"/>
                <w:sz w:val="20"/>
                <w:szCs w:val="20"/>
              </w:rPr>
              <w:t xml:space="preserve"> năm 2015</w:t>
            </w:r>
          </w:p>
        </w:tc>
        <w:tc>
          <w:tcPr>
            <w:tcW w:w="274" w:type="dxa"/>
            <w:tcBorders>
              <w:top w:val="nil"/>
              <w:bottom w:val="nil"/>
            </w:tcBorders>
            <w:shd w:val="clear" w:color="auto" w:fill="auto"/>
          </w:tcPr>
          <w:p w:rsidR="003D6BC0" w:rsidRPr="00374801" w:rsidRDefault="003D6BC0" w:rsidP="001816D3">
            <w:pPr>
              <w:spacing w:after="0" w:line="240" w:lineRule="auto"/>
              <w:rPr>
                <w:rFonts w:ascii="Times New Roman" w:eastAsia="Times New Roman" w:hAnsi="Times New Roman"/>
                <w:sz w:val="20"/>
                <w:szCs w:val="20"/>
              </w:rPr>
            </w:pPr>
          </w:p>
          <w:p w:rsidR="003D6BC0" w:rsidRPr="00374801" w:rsidRDefault="003D6BC0" w:rsidP="001816D3">
            <w:pPr>
              <w:spacing w:after="0" w:line="240" w:lineRule="auto"/>
              <w:rPr>
                <w:rFonts w:ascii="Times New Roman" w:eastAsia="Times New Roman" w:hAnsi="Times New Roman"/>
                <w:sz w:val="20"/>
                <w:szCs w:val="20"/>
              </w:rPr>
            </w:pPr>
          </w:p>
          <w:p w:rsidR="003D6BC0" w:rsidRPr="00374801" w:rsidRDefault="003D6BC0" w:rsidP="001816D3">
            <w:pPr>
              <w:spacing w:after="0" w:line="240" w:lineRule="auto"/>
              <w:jc w:val="both"/>
              <w:rPr>
                <w:rFonts w:ascii="Times New Roman" w:eastAsia="Times New Roman" w:hAnsi="Times New Roman"/>
                <w:sz w:val="20"/>
                <w:szCs w:val="20"/>
              </w:rPr>
            </w:pPr>
          </w:p>
        </w:tc>
        <w:tc>
          <w:tcPr>
            <w:tcW w:w="3120" w:type="dxa"/>
            <w:shd w:val="clear" w:color="auto" w:fill="auto"/>
          </w:tcPr>
          <w:p w:rsidR="003D6BC0" w:rsidRPr="00013C38" w:rsidRDefault="00013C38" w:rsidP="00013C38">
            <w:pPr>
              <w:tabs>
                <w:tab w:val="left" w:pos="0"/>
              </w:tabs>
              <w:spacing w:after="0" w:line="240" w:lineRule="auto"/>
              <w:ind w:left="-138"/>
              <w:jc w:val="both"/>
              <w:rPr>
                <w:rFonts w:ascii="Times New Roman" w:eastAsia="Times New Roman" w:hAnsi="Times New Roman"/>
                <w:b/>
                <w:sz w:val="20"/>
                <w:szCs w:val="20"/>
              </w:rPr>
            </w:pPr>
            <w:r>
              <w:rPr>
                <w:rFonts w:ascii="Times New Roman" w:eastAsia="Times New Roman" w:hAnsi="Times New Roman"/>
                <w:sz w:val="20"/>
                <w:szCs w:val="20"/>
              </w:rPr>
              <w:tab/>
            </w:r>
            <w:r>
              <w:rPr>
                <w:rFonts w:ascii="Times New Roman" w:eastAsia="Times New Roman" w:hAnsi="Times New Roman"/>
                <w:b/>
                <w:sz w:val="20"/>
                <w:szCs w:val="20"/>
              </w:rPr>
              <w:t>NGUYỄN NGỌC</w:t>
            </w:r>
            <w:r w:rsidRPr="00013C38">
              <w:rPr>
                <w:rFonts w:ascii="Times New Roman" w:eastAsia="Times New Roman" w:hAnsi="Times New Roman"/>
                <w:b/>
                <w:sz w:val="20"/>
                <w:szCs w:val="20"/>
              </w:rPr>
              <w:t xml:space="preserve"> ANH THƠ</w:t>
            </w:r>
          </w:p>
          <w:p w:rsidR="003D6BC0" w:rsidRPr="00C829A4" w:rsidRDefault="00EA6451" w:rsidP="001816D3">
            <w:pPr>
              <w:spacing w:after="0" w:line="240" w:lineRule="auto"/>
              <w:ind w:left="-138"/>
              <w:jc w:val="both"/>
              <w:rPr>
                <w:rFonts w:ascii="Times New Roman" w:eastAsia="Times New Roman" w:hAnsi="Times New Roman"/>
                <w:b/>
                <w:sz w:val="20"/>
                <w:szCs w:val="20"/>
              </w:rPr>
            </w:pPr>
            <w:r>
              <w:rPr>
                <w:rFonts w:ascii="Times New Roman" w:eastAsia="Times New Roman" w:hAnsi="Times New Roman"/>
                <w:sz w:val="20"/>
                <w:szCs w:val="20"/>
              </w:rPr>
              <w:t xml:space="preserve"> </w:t>
            </w:r>
            <w:r w:rsidR="003D6BC0" w:rsidRPr="00C829A4">
              <w:rPr>
                <w:rFonts w:ascii="Times New Roman" w:eastAsia="Times New Roman" w:hAnsi="Times New Roman"/>
                <w:b/>
                <w:sz w:val="20"/>
                <w:szCs w:val="20"/>
              </w:rPr>
              <w:t>Trưởng bộ phận Kiểm soát nội bộ</w:t>
            </w:r>
          </w:p>
        </w:tc>
        <w:tc>
          <w:tcPr>
            <w:tcW w:w="247" w:type="dxa"/>
            <w:tcBorders>
              <w:top w:val="nil"/>
              <w:bottom w:val="nil"/>
            </w:tcBorders>
            <w:shd w:val="clear" w:color="auto" w:fill="auto"/>
          </w:tcPr>
          <w:p w:rsidR="003D6BC0" w:rsidRPr="00374801" w:rsidRDefault="003D6BC0" w:rsidP="001816D3">
            <w:pPr>
              <w:spacing w:after="0" w:line="240" w:lineRule="auto"/>
              <w:jc w:val="both"/>
              <w:rPr>
                <w:rFonts w:ascii="Times New Roman" w:eastAsia="Times New Roman" w:hAnsi="Times New Roman"/>
                <w:sz w:val="20"/>
                <w:szCs w:val="20"/>
              </w:rPr>
            </w:pPr>
          </w:p>
        </w:tc>
        <w:tc>
          <w:tcPr>
            <w:tcW w:w="2543" w:type="dxa"/>
            <w:shd w:val="clear" w:color="auto" w:fill="auto"/>
          </w:tcPr>
          <w:p w:rsidR="003D6BC0" w:rsidRPr="00EA6451" w:rsidRDefault="00EA6451" w:rsidP="00EA6451">
            <w:pPr>
              <w:spacing w:after="0" w:line="240" w:lineRule="auto"/>
              <w:ind w:left="-85"/>
              <w:jc w:val="both"/>
              <w:rPr>
                <w:rFonts w:ascii="Times New Roman" w:eastAsia="Times New Roman" w:hAnsi="Times New Roman"/>
                <w:b/>
                <w:sz w:val="20"/>
                <w:szCs w:val="20"/>
              </w:rPr>
            </w:pPr>
            <w:r w:rsidRPr="00EA6451">
              <w:rPr>
                <w:rFonts w:ascii="Times New Roman" w:eastAsia="Times New Roman" w:hAnsi="Times New Roman"/>
                <w:b/>
                <w:sz w:val="20"/>
                <w:szCs w:val="20"/>
              </w:rPr>
              <w:t>OH KYUNG HEE</w:t>
            </w:r>
          </w:p>
          <w:p w:rsidR="003D6BC0" w:rsidRPr="00374801" w:rsidRDefault="003D6BC0" w:rsidP="001816D3">
            <w:pPr>
              <w:spacing w:after="0" w:line="240" w:lineRule="auto"/>
              <w:ind w:left="-85"/>
              <w:jc w:val="both"/>
              <w:rPr>
                <w:rFonts w:ascii="Times New Roman" w:eastAsia="Times New Roman" w:hAnsi="Times New Roman"/>
                <w:sz w:val="20"/>
                <w:szCs w:val="20"/>
              </w:rPr>
            </w:pPr>
            <w:r w:rsidRPr="00EA6451">
              <w:rPr>
                <w:rFonts w:ascii="Times New Roman" w:eastAsia="Times New Roman" w:hAnsi="Times New Roman"/>
                <w:b/>
                <w:sz w:val="20"/>
                <w:szCs w:val="20"/>
              </w:rPr>
              <w:t>Tổng Giám đốc</w:t>
            </w:r>
          </w:p>
        </w:tc>
      </w:tr>
    </w:tbl>
    <w:p w:rsidR="003D6BC0" w:rsidRPr="00374801" w:rsidRDefault="003D6BC0" w:rsidP="003D6BC0">
      <w:pPr>
        <w:spacing w:after="0" w:line="240" w:lineRule="auto"/>
        <w:jc w:val="both"/>
        <w:rPr>
          <w:rFonts w:ascii="Times New Roman" w:eastAsia="Times New Roman" w:hAnsi="Times New Roman"/>
          <w:sz w:val="20"/>
          <w:szCs w:val="20"/>
        </w:rPr>
      </w:pPr>
    </w:p>
    <w:p w:rsidR="003D6BC0" w:rsidRPr="00374801" w:rsidRDefault="003D6BC0" w:rsidP="003D6BC0">
      <w:pPr>
        <w:spacing w:after="0" w:line="240" w:lineRule="auto"/>
        <w:jc w:val="both"/>
        <w:rPr>
          <w:rFonts w:ascii="Times New Roman" w:eastAsia="Times New Roman" w:hAnsi="Times New Roman"/>
          <w:sz w:val="20"/>
          <w:szCs w:val="20"/>
        </w:rPr>
      </w:pPr>
    </w:p>
    <w:p w:rsidR="003D6BC0" w:rsidRPr="00374801" w:rsidRDefault="003D6BC0" w:rsidP="003D6BC0">
      <w:pPr>
        <w:spacing w:after="0" w:line="240" w:lineRule="auto"/>
        <w:jc w:val="both"/>
        <w:rPr>
          <w:rFonts w:ascii="Times New Roman" w:eastAsia="Times New Roman" w:hAnsi="Times New Roman"/>
          <w:sz w:val="20"/>
          <w:szCs w:val="20"/>
        </w:rPr>
      </w:pPr>
    </w:p>
    <w:p w:rsidR="00D85C28" w:rsidRDefault="00D85C28" w:rsidP="00E567E8">
      <w:pPr>
        <w:spacing w:after="0" w:line="240" w:lineRule="auto"/>
        <w:jc w:val="both"/>
        <w:rPr>
          <w:rFonts w:ascii="Times New Roman" w:eastAsia="Times New Roman" w:hAnsi="Times New Roman"/>
          <w:sz w:val="20"/>
          <w:szCs w:val="20"/>
        </w:rPr>
        <w:sectPr w:rsidR="00D85C28" w:rsidSect="001F124F">
          <w:footerReference w:type="default" r:id="rId12"/>
          <w:pgSz w:w="11907" w:h="16840" w:code="9"/>
          <w:pgMar w:top="533" w:right="1197" w:bottom="720" w:left="1872" w:header="533" w:footer="576" w:gutter="0"/>
          <w:pgNumType w:start="5"/>
          <w:cols w:space="720"/>
          <w:docGrid w:linePitch="360"/>
        </w:sectPr>
      </w:pPr>
    </w:p>
    <w:p w:rsidR="00291FEB" w:rsidRPr="00374801" w:rsidRDefault="00291FEB" w:rsidP="00E567E8">
      <w:pPr>
        <w:spacing w:after="0" w:line="240" w:lineRule="auto"/>
        <w:jc w:val="both"/>
        <w:rPr>
          <w:rFonts w:ascii="Times New Roman" w:eastAsia="Times New Roman" w:hAnsi="Times New Roman"/>
          <w:sz w:val="20"/>
          <w:szCs w:val="20"/>
        </w:rPr>
      </w:pPr>
    </w:p>
    <w:p w:rsidR="00291FEB" w:rsidRPr="005877AD" w:rsidRDefault="00291FEB" w:rsidP="00291FEB">
      <w:pPr>
        <w:numPr>
          <w:ilvl w:val="0"/>
          <w:numId w:val="14"/>
        </w:numPr>
        <w:spacing w:after="0" w:line="240" w:lineRule="auto"/>
        <w:ind w:hanging="720"/>
        <w:jc w:val="both"/>
        <w:rPr>
          <w:rFonts w:ascii="Times New Roman" w:eastAsia="Times New Roman" w:hAnsi="Times New Roman"/>
          <w:b/>
          <w:sz w:val="20"/>
          <w:szCs w:val="20"/>
        </w:rPr>
      </w:pPr>
      <w:r w:rsidRPr="005877AD">
        <w:rPr>
          <w:rFonts w:ascii="Times New Roman" w:eastAsia="Times New Roman" w:hAnsi="Times New Roman"/>
          <w:b/>
          <w:sz w:val="20"/>
          <w:szCs w:val="20"/>
        </w:rPr>
        <w:t>CÔNG TY</w:t>
      </w:r>
    </w:p>
    <w:p w:rsidR="00291FEB" w:rsidRPr="00374801" w:rsidRDefault="00291FEB" w:rsidP="00291FEB">
      <w:pPr>
        <w:spacing w:after="0" w:line="240" w:lineRule="auto"/>
        <w:ind w:left="720" w:hanging="720"/>
        <w:jc w:val="both"/>
        <w:rPr>
          <w:rFonts w:ascii="Times New Roman" w:eastAsia="Times New Roman" w:hAnsi="Times New Roman"/>
          <w:sz w:val="20"/>
          <w:szCs w:val="20"/>
        </w:rPr>
      </w:pPr>
    </w:p>
    <w:p w:rsidR="00291FEB" w:rsidRPr="00374801" w:rsidRDefault="00344E6E" w:rsidP="00291FEB">
      <w:pPr>
        <w:spacing w:after="0"/>
        <w:ind w:left="720"/>
        <w:jc w:val="both"/>
        <w:rPr>
          <w:rFonts w:ascii="Times New Roman" w:eastAsia="PMingLiU" w:hAnsi="Times New Roman"/>
          <w:sz w:val="20"/>
          <w:szCs w:val="20"/>
          <w:lang w:val="es-MX"/>
        </w:rPr>
      </w:pPr>
      <w:r w:rsidRPr="00374801">
        <w:rPr>
          <w:rFonts w:ascii="Times New Roman" w:eastAsia="PMingLiU" w:hAnsi="Times New Roman"/>
          <w:sz w:val="20"/>
          <w:szCs w:val="20"/>
          <w:lang w:val="es-MX"/>
        </w:rPr>
        <w:t>Công ty Cổ phần Chứng khoán KIS Việt Nam (sau đây gọi tắt là "Công ty"), là Công ty cổ phần được thành lập theo Giấy phép Thành lập và Hoạt động Kinh doanh Chứng khoán Số 56/UBCK-GPHĐKD ngày 05</w:t>
      </w:r>
      <w:r>
        <w:rPr>
          <w:rFonts w:ascii="Times New Roman" w:eastAsia="PMingLiU" w:hAnsi="Times New Roman"/>
          <w:sz w:val="20"/>
          <w:szCs w:val="20"/>
          <w:lang w:val="es-MX"/>
        </w:rPr>
        <w:t xml:space="preserve"> tháng </w:t>
      </w:r>
      <w:r w:rsidRPr="00374801">
        <w:rPr>
          <w:rFonts w:ascii="Times New Roman" w:eastAsia="PMingLiU" w:hAnsi="Times New Roman"/>
          <w:sz w:val="20"/>
          <w:szCs w:val="20"/>
          <w:lang w:val="es-MX"/>
        </w:rPr>
        <w:t>7</w:t>
      </w:r>
      <w:r>
        <w:rPr>
          <w:rFonts w:ascii="Times New Roman" w:eastAsia="PMingLiU" w:hAnsi="Times New Roman"/>
          <w:sz w:val="20"/>
          <w:szCs w:val="20"/>
          <w:lang w:val="es-MX"/>
        </w:rPr>
        <w:t xml:space="preserve"> năm </w:t>
      </w:r>
      <w:r w:rsidRPr="00374801">
        <w:rPr>
          <w:rFonts w:ascii="Times New Roman" w:eastAsia="PMingLiU" w:hAnsi="Times New Roman"/>
          <w:sz w:val="20"/>
          <w:szCs w:val="20"/>
          <w:lang w:val="es-MX"/>
        </w:rPr>
        <w:t>2007, Giấy phép điều chỉnh số 376/GPĐC-UBCK ngày 17</w:t>
      </w:r>
      <w:r>
        <w:rPr>
          <w:rFonts w:ascii="Times New Roman" w:eastAsia="PMingLiU" w:hAnsi="Times New Roman"/>
          <w:sz w:val="20"/>
          <w:szCs w:val="20"/>
          <w:lang w:val="es-MX"/>
        </w:rPr>
        <w:t xml:space="preserve"> tháng </w:t>
      </w:r>
      <w:r w:rsidRPr="00374801">
        <w:rPr>
          <w:rFonts w:ascii="Times New Roman" w:eastAsia="PMingLiU" w:hAnsi="Times New Roman"/>
          <w:sz w:val="20"/>
          <w:szCs w:val="20"/>
          <w:lang w:val="es-MX"/>
        </w:rPr>
        <w:t>12</w:t>
      </w:r>
      <w:r>
        <w:rPr>
          <w:rFonts w:ascii="Times New Roman" w:eastAsia="PMingLiU" w:hAnsi="Times New Roman"/>
          <w:sz w:val="20"/>
          <w:szCs w:val="20"/>
          <w:lang w:val="es-MX"/>
        </w:rPr>
        <w:t xml:space="preserve"> năm </w:t>
      </w:r>
      <w:r w:rsidRPr="00374801">
        <w:rPr>
          <w:rFonts w:ascii="Times New Roman" w:eastAsia="PMingLiU" w:hAnsi="Times New Roman"/>
          <w:sz w:val="20"/>
          <w:szCs w:val="20"/>
          <w:lang w:val="es-MX"/>
        </w:rPr>
        <w:t>2010, Giấy phép điều chỉnh số</w:t>
      </w:r>
      <w:r>
        <w:rPr>
          <w:rFonts w:ascii="Times New Roman" w:eastAsia="PMingLiU" w:hAnsi="Times New Roman"/>
          <w:sz w:val="20"/>
          <w:szCs w:val="20"/>
          <w:lang w:val="es-MX"/>
        </w:rPr>
        <w:t xml:space="preserve"> 19/GPĐC-UBCK ngày 21 tháng 3 năm </w:t>
      </w:r>
      <w:r w:rsidRPr="00374801">
        <w:rPr>
          <w:rFonts w:ascii="Times New Roman" w:eastAsia="PMingLiU" w:hAnsi="Times New Roman"/>
          <w:sz w:val="20"/>
          <w:szCs w:val="20"/>
          <w:lang w:val="es-MX"/>
        </w:rPr>
        <w:t>2011</w:t>
      </w:r>
      <w:r>
        <w:rPr>
          <w:rFonts w:ascii="Times New Roman" w:eastAsia="PMingLiU" w:hAnsi="Times New Roman"/>
          <w:sz w:val="20"/>
          <w:szCs w:val="20"/>
          <w:lang w:val="es-MX"/>
        </w:rPr>
        <w:t>,</w:t>
      </w:r>
      <w:r w:rsidRPr="00374801">
        <w:rPr>
          <w:rFonts w:ascii="Times New Roman" w:eastAsia="PMingLiU" w:hAnsi="Times New Roman"/>
          <w:sz w:val="20"/>
          <w:szCs w:val="20"/>
          <w:lang w:val="es-MX"/>
        </w:rPr>
        <w:t xml:space="preserve"> </w:t>
      </w:r>
      <w:r>
        <w:rPr>
          <w:rFonts w:ascii="Times New Roman" w:eastAsia="PMingLiU" w:hAnsi="Times New Roman"/>
          <w:sz w:val="20"/>
          <w:lang w:val="es-MX"/>
        </w:rPr>
        <w:t>Giấy phép điều chỉnh số</w:t>
      </w:r>
      <w:r>
        <w:rPr>
          <w:rFonts w:ascii="Times New Roman" w:hAnsi="Times New Roman"/>
          <w:sz w:val="20"/>
        </w:rPr>
        <w:t xml:space="preserve"> 42/GPĐC-UBCK ngày 08 tháng 7 năm 2011</w:t>
      </w:r>
      <w:r w:rsidR="00F0292A">
        <w:rPr>
          <w:rFonts w:ascii="Times New Roman" w:hAnsi="Times New Roman"/>
          <w:sz w:val="20"/>
        </w:rPr>
        <w:t xml:space="preserve">, </w:t>
      </w:r>
      <w:r>
        <w:rPr>
          <w:rFonts w:ascii="Times New Roman" w:hAnsi="Times New Roman"/>
          <w:sz w:val="20"/>
        </w:rPr>
        <w:t xml:space="preserve"> </w:t>
      </w:r>
      <w:r w:rsidR="00F0292A">
        <w:rPr>
          <w:rFonts w:ascii="Times New Roman" w:hAnsi="Times New Roman"/>
          <w:sz w:val="20"/>
          <w:lang w:val="en-GB"/>
        </w:rPr>
        <w:t>Giấy phép điều chỉnh số 01/GPĐC-UBCK</w:t>
      </w:r>
      <w:r w:rsidR="00F0292A">
        <w:rPr>
          <w:rFonts w:ascii="Times New Roman" w:eastAsia="PMingLiU" w:hAnsi="Times New Roman"/>
          <w:sz w:val="20"/>
          <w:lang w:val="es-MX"/>
        </w:rPr>
        <w:t xml:space="preserve"> ngày 09 tháng 01 năm 2015 và </w:t>
      </w:r>
      <w:r w:rsidR="00F0292A">
        <w:rPr>
          <w:rFonts w:ascii="Times New Roman" w:hAnsi="Times New Roman"/>
          <w:sz w:val="20"/>
          <w:lang w:val="en-GB"/>
        </w:rPr>
        <w:t>Giấy phép điều chỉnh số 20/GPĐC-UBCK</w:t>
      </w:r>
      <w:r w:rsidR="00F0292A">
        <w:rPr>
          <w:rFonts w:ascii="Times New Roman" w:eastAsia="PMingLiU" w:hAnsi="Times New Roman"/>
          <w:sz w:val="20"/>
          <w:lang w:val="es-MX"/>
        </w:rPr>
        <w:t xml:space="preserve"> ngày 22 tháng 4 năm 2015</w:t>
      </w:r>
      <w:r>
        <w:rPr>
          <w:rFonts w:ascii="Times New Roman" w:eastAsia="PMingLiU" w:hAnsi="Times New Roman"/>
          <w:sz w:val="20"/>
          <w:lang w:val="es-MX"/>
        </w:rPr>
        <w:t xml:space="preserve"> do Ủy ban Chứng khoán Nhà nước cấp. Vốn điều lệ theo Giấy phép là 1.112.766.000.000 đồng</w:t>
      </w:r>
      <w:r w:rsidR="00291FEB" w:rsidRPr="00374801">
        <w:rPr>
          <w:rFonts w:ascii="Times New Roman" w:eastAsia="PMingLiU" w:hAnsi="Times New Roman"/>
          <w:sz w:val="20"/>
          <w:szCs w:val="20"/>
          <w:lang w:val="es-MX"/>
        </w:rPr>
        <w:t>.</w:t>
      </w:r>
    </w:p>
    <w:p w:rsidR="00291FEB" w:rsidRPr="00374801" w:rsidRDefault="00291FEB" w:rsidP="00E54CED">
      <w:pPr>
        <w:spacing w:after="0"/>
        <w:ind w:left="720" w:hanging="720"/>
        <w:rPr>
          <w:rFonts w:ascii="Times New Roman" w:eastAsia="PMingLiU" w:hAnsi="Times New Roman"/>
          <w:sz w:val="20"/>
          <w:szCs w:val="20"/>
          <w:lang w:val="es-MX"/>
        </w:rPr>
      </w:pPr>
    </w:p>
    <w:p w:rsidR="00291FEB" w:rsidRPr="00374801" w:rsidRDefault="00291FEB" w:rsidP="00E54CED">
      <w:pPr>
        <w:spacing w:after="120"/>
        <w:ind w:left="720"/>
        <w:jc w:val="both"/>
        <w:rPr>
          <w:rFonts w:ascii="Times New Roman" w:eastAsia="PMingLiU" w:hAnsi="Times New Roman"/>
          <w:sz w:val="20"/>
          <w:szCs w:val="20"/>
        </w:rPr>
      </w:pPr>
      <w:r w:rsidRPr="00374801">
        <w:rPr>
          <w:rFonts w:ascii="Times New Roman" w:eastAsia="PMingLiU" w:hAnsi="Times New Roman"/>
          <w:sz w:val="20"/>
          <w:szCs w:val="20"/>
        </w:rPr>
        <w:t xml:space="preserve">Trụ sở chính đặt tại </w:t>
      </w:r>
      <w:r w:rsidRPr="00374801">
        <w:rPr>
          <w:rFonts w:ascii="Times New Roman" w:hAnsi="Times New Roman"/>
          <w:sz w:val="20"/>
          <w:szCs w:val="20"/>
        </w:rPr>
        <w:t>Tầng 3, Tòa nhà Maritime Bank Tower, 180-192 Nguyễn Công Trứ, phường Nguyễn Thái Bình, quận 1, Thành phố Hồ Chí Minh</w:t>
      </w:r>
      <w:r w:rsidRPr="00374801">
        <w:rPr>
          <w:rFonts w:ascii="Times New Roman" w:eastAsia="PMingLiU" w:hAnsi="Times New Roman"/>
          <w:sz w:val="20"/>
          <w:szCs w:val="20"/>
        </w:rPr>
        <w:t>.</w:t>
      </w:r>
    </w:p>
    <w:p w:rsidR="00291FEB" w:rsidRPr="00374801" w:rsidRDefault="00291FEB" w:rsidP="00E54CED">
      <w:pPr>
        <w:spacing w:after="120" w:line="288" w:lineRule="auto"/>
        <w:ind w:left="720"/>
        <w:jc w:val="both"/>
        <w:rPr>
          <w:rFonts w:ascii="Times New Roman" w:eastAsia="PMingLiU" w:hAnsi="Times New Roman"/>
          <w:sz w:val="20"/>
          <w:szCs w:val="20"/>
        </w:rPr>
      </w:pPr>
      <w:r w:rsidRPr="00374801">
        <w:rPr>
          <w:rFonts w:ascii="Times New Roman" w:eastAsia="PMingLiU" w:hAnsi="Times New Roman"/>
          <w:sz w:val="20"/>
          <w:szCs w:val="20"/>
        </w:rPr>
        <w:t>Chi nhánh của Công ty Cổ phần Chứng khoán KIS Việt Nam đặt tại tầng 6 số 299 Cầu Giấy, Quận Cầu Giấy, Thành phố Hà Nội.</w:t>
      </w:r>
    </w:p>
    <w:p w:rsidR="00291FEB" w:rsidRPr="00374801" w:rsidRDefault="00291FEB" w:rsidP="00291FEB">
      <w:pPr>
        <w:spacing w:after="0" w:line="240" w:lineRule="auto"/>
        <w:ind w:left="720"/>
        <w:jc w:val="both"/>
        <w:rPr>
          <w:rFonts w:ascii="Times New Roman" w:eastAsia="PMingLiU" w:hAnsi="Times New Roman"/>
          <w:sz w:val="20"/>
          <w:szCs w:val="20"/>
        </w:rPr>
      </w:pPr>
      <w:r w:rsidRPr="00374801">
        <w:rPr>
          <w:rFonts w:ascii="Times New Roman" w:eastAsia="PMingLiU" w:hAnsi="Times New Roman"/>
          <w:sz w:val="20"/>
          <w:szCs w:val="20"/>
        </w:rPr>
        <w:t>Hoạt động kinh doanh chính của Công ty bao gồm: môi giới chứng khoán; tự doanh chứng khoán; tư vấn đầu tư chứng khoán; lưu ký chứng khoán.</w:t>
      </w:r>
    </w:p>
    <w:p w:rsidR="00291FEB" w:rsidRPr="00374801" w:rsidRDefault="00291FEB" w:rsidP="00291FEB">
      <w:pPr>
        <w:spacing w:after="0" w:line="240" w:lineRule="auto"/>
        <w:ind w:left="720"/>
        <w:jc w:val="both"/>
        <w:rPr>
          <w:rFonts w:ascii="Times New Roman" w:eastAsia="PMingLiU" w:hAnsi="Times New Roman"/>
          <w:sz w:val="20"/>
          <w:szCs w:val="20"/>
        </w:rPr>
      </w:pPr>
    </w:p>
    <w:p w:rsidR="00291FEB" w:rsidRPr="00374801" w:rsidRDefault="00291FEB" w:rsidP="00291FEB">
      <w:pPr>
        <w:numPr>
          <w:ilvl w:val="0"/>
          <w:numId w:val="14"/>
        </w:numPr>
        <w:spacing w:after="0" w:line="240" w:lineRule="auto"/>
        <w:ind w:left="0" w:firstLine="0"/>
        <w:jc w:val="both"/>
        <w:rPr>
          <w:rFonts w:ascii="Times New Roman" w:eastAsia="Times New Roman" w:hAnsi="Times New Roman"/>
          <w:b/>
          <w:sz w:val="20"/>
          <w:szCs w:val="20"/>
        </w:rPr>
      </w:pPr>
      <w:r w:rsidRPr="00374801">
        <w:rPr>
          <w:rFonts w:ascii="Times New Roman" w:eastAsia="Times New Roman" w:hAnsi="Times New Roman"/>
          <w:b/>
          <w:sz w:val="20"/>
          <w:szCs w:val="20"/>
        </w:rPr>
        <w:t>CƠ SỞ TRÌNH BÀY</w:t>
      </w:r>
    </w:p>
    <w:p w:rsidR="00291FEB" w:rsidRPr="00374801" w:rsidRDefault="00291FEB" w:rsidP="00291FEB">
      <w:pPr>
        <w:spacing w:after="0" w:line="240" w:lineRule="auto"/>
        <w:jc w:val="both"/>
        <w:rPr>
          <w:rFonts w:ascii="Times New Roman" w:eastAsia="Times New Roman" w:hAnsi="Times New Roman"/>
          <w:b/>
          <w:sz w:val="20"/>
          <w:szCs w:val="20"/>
        </w:rPr>
      </w:pPr>
    </w:p>
    <w:p w:rsidR="00291FEB" w:rsidRPr="00374801" w:rsidRDefault="00291FEB" w:rsidP="00291FEB">
      <w:pPr>
        <w:numPr>
          <w:ilvl w:val="1"/>
          <w:numId w:val="14"/>
        </w:numPr>
        <w:spacing w:after="0" w:line="240" w:lineRule="auto"/>
        <w:ind w:left="0" w:firstLine="0"/>
        <w:jc w:val="both"/>
        <w:rPr>
          <w:rFonts w:ascii="Times New Roman" w:eastAsia="Times New Roman" w:hAnsi="Times New Roman"/>
          <w:b/>
          <w:sz w:val="20"/>
          <w:szCs w:val="20"/>
        </w:rPr>
      </w:pPr>
      <w:r w:rsidRPr="00374801">
        <w:rPr>
          <w:rFonts w:ascii="Times New Roman" w:eastAsia="Times New Roman" w:hAnsi="Times New Roman"/>
          <w:b/>
          <w:sz w:val="20"/>
          <w:szCs w:val="20"/>
        </w:rPr>
        <w:t>Các văn bản áp dụng</w:t>
      </w:r>
    </w:p>
    <w:p w:rsidR="00291FEB" w:rsidRPr="00374801" w:rsidRDefault="00291FEB" w:rsidP="00291FEB">
      <w:pPr>
        <w:spacing w:after="0" w:line="240" w:lineRule="auto"/>
        <w:ind w:left="720"/>
        <w:jc w:val="both"/>
        <w:rPr>
          <w:rFonts w:ascii="Times New Roman" w:eastAsia="Times New Roman" w:hAnsi="Times New Roman"/>
          <w:b/>
          <w:sz w:val="20"/>
          <w:szCs w:val="20"/>
        </w:rPr>
      </w:pPr>
    </w:p>
    <w:p w:rsidR="00291FEB" w:rsidRPr="00374801" w:rsidRDefault="001D547B" w:rsidP="00291FEB">
      <w:pPr>
        <w:spacing w:after="0" w:line="240" w:lineRule="auto"/>
        <w:ind w:left="720"/>
        <w:jc w:val="both"/>
        <w:rPr>
          <w:rFonts w:ascii="Times New Roman" w:eastAsia="Times New Roman" w:hAnsi="Times New Roman"/>
          <w:sz w:val="20"/>
          <w:szCs w:val="20"/>
        </w:rPr>
      </w:pPr>
      <w:r w:rsidRPr="00374801">
        <w:rPr>
          <w:rFonts w:ascii="Times New Roman" w:eastAsia="Times New Roman" w:hAnsi="Times New Roman"/>
          <w:sz w:val="20"/>
          <w:szCs w:val="20"/>
        </w:rPr>
        <w:t>Báo cáo tỷ lệ an toàn tài chính của Công ty được lập và trình bày phù hợp với các quy định trong Thông tư số 226/2010/TT-BTC ngày 31 tháng 12 năm 2010 và Thông tư số 165/2012/TT-BTC ngày 09 tháng 10 năm 2012 sửa đổi, bổ sung một số điều của Thông tư số 226/2010/TT-BTC của Bộ Tài chính về việc quy định chỉ tiêu an toàn tài chính và biện pháp xử lý đối với các tổ chức kinh doanh chứng khoán không đáp ứng các chỉ tiêu an toàn tài chính.</w:t>
      </w:r>
    </w:p>
    <w:p w:rsidR="001D547B" w:rsidRPr="00374801" w:rsidRDefault="001D547B" w:rsidP="00291FEB">
      <w:pPr>
        <w:spacing w:after="0" w:line="240" w:lineRule="auto"/>
        <w:ind w:left="720"/>
        <w:jc w:val="both"/>
        <w:rPr>
          <w:rFonts w:ascii="Times New Roman" w:eastAsia="Times New Roman" w:hAnsi="Times New Roman"/>
          <w:sz w:val="20"/>
          <w:szCs w:val="20"/>
        </w:rPr>
      </w:pPr>
    </w:p>
    <w:p w:rsidR="001D547B" w:rsidRPr="00374801" w:rsidRDefault="001D547B" w:rsidP="00291FEB">
      <w:pPr>
        <w:spacing w:after="0" w:line="240" w:lineRule="auto"/>
        <w:ind w:left="720"/>
        <w:jc w:val="both"/>
        <w:rPr>
          <w:rFonts w:ascii="Times New Roman" w:eastAsia="Times New Roman" w:hAnsi="Times New Roman"/>
          <w:sz w:val="20"/>
          <w:szCs w:val="20"/>
        </w:rPr>
      </w:pPr>
      <w:r w:rsidRPr="00374801">
        <w:rPr>
          <w:rFonts w:ascii="Times New Roman" w:eastAsia="Times New Roman" w:hAnsi="Times New Roman"/>
          <w:sz w:val="20"/>
          <w:szCs w:val="20"/>
        </w:rPr>
        <w:t>Báo cáo tỷ lệ an toà</w:t>
      </w:r>
      <w:r w:rsidR="00FF7E0D">
        <w:rPr>
          <w:rFonts w:ascii="Times New Roman" w:eastAsia="Times New Roman" w:hAnsi="Times New Roman"/>
          <w:sz w:val="20"/>
          <w:szCs w:val="20"/>
        </w:rPr>
        <w:t>n tài chính này được lập trên cơ</w:t>
      </w:r>
      <w:r w:rsidRPr="00374801">
        <w:rPr>
          <w:rFonts w:ascii="Times New Roman" w:eastAsia="Times New Roman" w:hAnsi="Times New Roman"/>
          <w:sz w:val="20"/>
          <w:szCs w:val="20"/>
        </w:rPr>
        <w:t xml:space="preserve"> sở số liệu tài chính của Công ty tại ngày lập báo cáo.</w:t>
      </w:r>
    </w:p>
    <w:p w:rsidR="001D547B" w:rsidRPr="00374801" w:rsidRDefault="001D547B" w:rsidP="00291FEB">
      <w:pPr>
        <w:spacing w:after="0" w:line="240" w:lineRule="auto"/>
        <w:ind w:left="720"/>
        <w:jc w:val="both"/>
        <w:rPr>
          <w:rFonts w:ascii="Times New Roman" w:eastAsia="Times New Roman" w:hAnsi="Times New Roman"/>
          <w:sz w:val="20"/>
          <w:szCs w:val="20"/>
        </w:rPr>
      </w:pPr>
    </w:p>
    <w:p w:rsidR="001D547B" w:rsidRPr="00374801" w:rsidRDefault="001D547B" w:rsidP="00291FEB">
      <w:pPr>
        <w:spacing w:after="0" w:line="240" w:lineRule="auto"/>
        <w:ind w:left="720"/>
        <w:jc w:val="both"/>
        <w:rPr>
          <w:rFonts w:ascii="Times New Roman" w:eastAsia="Times New Roman" w:hAnsi="Times New Roman"/>
          <w:sz w:val="20"/>
          <w:szCs w:val="20"/>
        </w:rPr>
      </w:pPr>
      <w:r w:rsidRPr="00374801">
        <w:rPr>
          <w:rFonts w:ascii="Times New Roman" w:eastAsia="Times New Roman" w:hAnsi="Times New Roman"/>
          <w:sz w:val="20"/>
          <w:szCs w:val="20"/>
        </w:rPr>
        <w:t>Các cách thức diễn giải được áp dụng trong từng trường hợp cụ thể trong Thông tư số 226/2010/TT-BTC và Thông tư số 165/2012/TT-BTC sửa đổi, bổ sung một số điều của Thông tư số 226/2010/TT-BTC.</w:t>
      </w:r>
    </w:p>
    <w:p w:rsidR="00650591" w:rsidRDefault="00650591" w:rsidP="00650591">
      <w:pPr>
        <w:spacing w:after="0" w:line="240" w:lineRule="auto"/>
        <w:ind w:left="720"/>
        <w:jc w:val="both"/>
        <w:rPr>
          <w:rFonts w:ascii="Times New Roman" w:eastAsia="Times New Roman" w:hAnsi="Times New Roman"/>
          <w:sz w:val="20"/>
          <w:szCs w:val="20"/>
        </w:rPr>
      </w:pPr>
    </w:p>
    <w:p w:rsidR="00650591" w:rsidRDefault="00650591" w:rsidP="00650591">
      <w:pPr>
        <w:spacing w:after="0" w:line="240" w:lineRule="auto"/>
        <w:ind w:left="720"/>
        <w:jc w:val="both"/>
        <w:rPr>
          <w:rFonts w:ascii="Times New Roman" w:eastAsia="Times New Roman" w:hAnsi="Times New Roman"/>
          <w:sz w:val="20"/>
          <w:szCs w:val="20"/>
        </w:rPr>
      </w:pPr>
      <w:r>
        <w:rPr>
          <w:rFonts w:ascii="Times New Roman" w:eastAsia="Times New Roman" w:hAnsi="Times New Roman"/>
          <w:sz w:val="20"/>
          <w:szCs w:val="20"/>
        </w:rPr>
        <w:t>Trong quá trình lập và trình bày báo cáo này, do Thông tư số 226/2010/TT-BTC và Thông tư số 165/2012/TT-BTC chưa có hướng dẫn cụ thể về việc xử lý một số khoản mục đặc thù nên Công ty đã áp dụng cách thức diễn giải dựa trên hiểu biết và đánh giá của Công ty. Cụ thể như sau:</w:t>
      </w:r>
    </w:p>
    <w:p w:rsidR="00650591" w:rsidRDefault="00650591" w:rsidP="00650591">
      <w:pPr>
        <w:spacing w:after="0" w:line="240" w:lineRule="auto"/>
        <w:ind w:left="720"/>
        <w:jc w:val="both"/>
        <w:rPr>
          <w:rFonts w:ascii="Times New Roman" w:eastAsia="Times New Roman" w:hAnsi="Times New Roman"/>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3262"/>
        <w:gridCol w:w="4230"/>
      </w:tblGrid>
      <w:tr w:rsidR="00650591" w:rsidTr="00650591">
        <w:tc>
          <w:tcPr>
            <w:tcW w:w="608"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STT</w:t>
            </w:r>
          </w:p>
        </w:tc>
        <w:tc>
          <w:tcPr>
            <w:tcW w:w="3262"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Khoản mục</w:t>
            </w:r>
          </w:p>
        </w:tc>
        <w:tc>
          <w:tcPr>
            <w:tcW w:w="4230"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Cách thức diễn giải của Công ty</w:t>
            </w:r>
          </w:p>
        </w:tc>
      </w:tr>
      <w:tr w:rsidR="00650591" w:rsidTr="00650591">
        <w:tc>
          <w:tcPr>
            <w:tcW w:w="608"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p>
        </w:tc>
        <w:tc>
          <w:tcPr>
            <w:tcW w:w="3262"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Chỉ tiêu “lợi nhuận lũy kế và lợi nhuận chưa phân phối trước khi trích lập các  dự phòng theo quy định của pháp luật” (Chỉ tiêu g, Khoản 1, Điều 4 – Vốn khả dụng, Thông tư 226/2010/TT-BTC)</w:t>
            </w:r>
          </w:p>
        </w:tc>
        <w:tc>
          <w:tcPr>
            <w:tcW w:w="4230"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Chỉ tiêu này được xác định bằng tổng của:</w:t>
            </w:r>
          </w:p>
          <w:p w:rsidR="00650591" w:rsidRDefault="00650591" w:rsidP="00650591">
            <w:pPr>
              <w:numPr>
                <w:ilvl w:val="0"/>
                <w:numId w:val="27"/>
              </w:numPr>
              <w:spacing w:after="0" w:line="240" w:lineRule="auto"/>
              <w:ind w:left="342" w:hanging="342"/>
              <w:jc w:val="both"/>
              <w:rPr>
                <w:rFonts w:ascii="Times New Roman" w:eastAsia="Times New Roman" w:hAnsi="Times New Roman"/>
                <w:sz w:val="20"/>
                <w:szCs w:val="20"/>
              </w:rPr>
            </w:pPr>
            <w:r>
              <w:rPr>
                <w:rFonts w:ascii="Times New Roman" w:eastAsia="Times New Roman" w:hAnsi="Times New Roman"/>
                <w:sz w:val="20"/>
                <w:szCs w:val="20"/>
              </w:rPr>
              <w:t>Lợi nhuận lũy kế;</w:t>
            </w:r>
          </w:p>
          <w:p w:rsidR="00650591" w:rsidRDefault="00650591" w:rsidP="00650591">
            <w:pPr>
              <w:numPr>
                <w:ilvl w:val="0"/>
                <w:numId w:val="27"/>
              </w:numPr>
              <w:spacing w:after="0" w:line="240" w:lineRule="auto"/>
              <w:ind w:left="342" w:hanging="342"/>
              <w:jc w:val="both"/>
              <w:rPr>
                <w:rFonts w:ascii="Times New Roman" w:eastAsia="Times New Roman" w:hAnsi="Times New Roman"/>
                <w:sz w:val="20"/>
                <w:szCs w:val="20"/>
              </w:rPr>
            </w:pPr>
            <w:r>
              <w:rPr>
                <w:rFonts w:ascii="Times New Roman" w:eastAsia="Times New Roman" w:hAnsi="Times New Roman"/>
                <w:sz w:val="20"/>
                <w:szCs w:val="20"/>
              </w:rPr>
              <w:t>Lợi nhuận sau thuế chưa ph</w:t>
            </w:r>
            <w:r w:rsidR="007945EE">
              <w:rPr>
                <w:rFonts w:ascii="Times New Roman" w:eastAsia="Times New Roman" w:hAnsi="Times New Roman"/>
                <w:sz w:val="20"/>
                <w:szCs w:val="20"/>
              </w:rPr>
              <w:t xml:space="preserve">ân phối tính đến ngày </w:t>
            </w:r>
            <w:r w:rsidR="007A7D4F">
              <w:rPr>
                <w:rFonts w:ascii="Times New Roman" w:eastAsia="Times New Roman" w:hAnsi="Times New Roman"/>
                <w:sz w:val="20"/>
                <w:szCs w:val="20"/>
              </w:rPr>
              <w:t>30 tháng 6 năm 2015</w:t>
            </w:r>
            <w:r>
              <w:rPr>
                <w:rFonts w:ascii="Times New Roman" w:eastAsia="Times New Roman" w:hAnsi="Times New Roman"/>
                <w:sz w:val="20"/>
                <w:szCs w:val="20"/>
              </w:rPr>
              <w:t>; và</w:t>
            </w:r>
          </w:p>
          <w:p w:rsidR="00650591" w:rsidRDefault="00650591" w:rsidP="00650591">
            <w:pPr>
              <w:numPr>
                <w:ilvl w:val="0"/>
                <w:numId w:val="27"/>
              </w:numPr>
              <w:spacing w:after="0" w:line="240" w:lineRule="auto"/>
              <w:ind w:left="342" w:hanging="342"/>
              <w:jc w:val="both"/>
              <w:rPr>
                <w:rFonts w:ascii="Times New Roman" w:eastAsia="Times New Roman" w:hAnsi="Times New Roman"/>
                <w:sz w:val="20"/>
                <w:szCs w:val="20"/>
              </w:rPr>
            </w:pPr>
            <w:r>
              <w:rPr>
                <w:rFonts w:ascii="Times New Roman" w:eastAsia="Times New Roman" w:hAnsi="Times New Roman"/>
                <w:sz w:val="20"/>
                <w:szCs w:val="20"/>
              </w:rPr>
              <w:t>Số d</w:t>
            </w:r>
            <w:r w:rsidR="007945EE">
              <w:rPr>
                <w:rFonts w:ascii="Times New Roman" w:eastAsia="Times New Roman" w:hAnsi="Times New Roman"/>
                <w:sz w:val="20"/>
                <w:szCs w:val="20"/>
              </w:rPr>
              <w:t xml:space="preserve">ư các khoản dự phòng tại ngày </w:t>
            </w:r>
            <w:r w:rsidR="007A7D4F">
              <w:rPr>
                <w:rFonts w:ascii="Times New Roman" w:eastAsia="Times New Roman" w:hAnsi="Times New Roman"/>
                <w:sz w:val="20"/>
                <w:szCs w:val="20"/>
              </w:rPr>
              <w:t>30 tháng 6 năm 2015</w:t>
            </w:r>
            <w:r>
              <w:rPr>
                <w:rFonts w:ascii="Times New Roman" w:eastAsia="Times New Roman" w:hAnsi="Times New Roman"/>
                <w:sz w:val="20"/>
                <w:szCs w:val="20"/>
              </w:rPr>
              <w:t>.</w:t>
            </w:r>
          </w:p>
        </w:tc>
      </w:tr>
      <w:tr w:rsidR="00650591" w:rsidTr="00650591">
        <w:tc>
          <w:tcPr>
            <w:tcW w:w="608"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w:t>
            </w:r>
          </w:p>
        </w:tc>
        <w:tc>
          <w:tcPr>
            <w:tcW w:w="3262" w:type="dxa"/>
            <w:tcBorders>
              <w:top w:val="single" w:sz="4" w:space="0" w:color="auto"/>
              <w:left w:val="single" w:sz="4" w:space="0" w:color="auto"/>
              <w:bottom w:val="single" w:sz="4" w:space="0" w:color="auto"/>
              <w:right w:val="single" w:sz="4" w:space="0" w:color="auto"/>
            </w:tcBorders>
            <w:hideMark/>
          </w:tcPr>
          <w:p w:rsidR="00650591" w:rsidRDefault="0065059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Chỉ tiêu “Các khoản phải thu” (Chỉ tiêu g, Khoản 1, Điều 9 – Giá trị rủi ro thanh toán, Thông tư 226/2010/TT-BTC)</w:t>
            </w:r>
          </w:p>
        </w:tc>
        <w:tc>
          <w:tcPr>
            <w:tcW w:w="4230" w:type="dxa"/>
            <w:tcBorders>
              <w:top w:val="single" w:sz="4" w:space="0" w:color="auto"/>
              <w:left w:val="single" w:sz="4" w:space="0" w:color="auto"/>
              <w:bottom w:val="single" w:sz="4" w:space="0" w:color="auto"/>
              <w:right w:val="single" w:sz="4" w:space="0" w:color="auto"/>
            </w:tcBorders>
            <w:hideMark/>
          </w:tcPr>
          <w:p w:rsidR="00650591" w:rsidRDefault="00FF7E0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Chỉ tiêu</w:t>
            </w:r>
            <w:r w:rsidR="00650591">
              <w:rPr>
                <w:rFonts w:ascii="Times New Roman" w:eastAsia="Times New Roman" w:hAnsi="Times New Roman"/>
                <w:sz w:val="20"/>
                <w:szCs w:val="20"/>
              </w:rPr>
              <w:t xml:space="preserve"> “Các khoản phải thu” bao gồm cả các khoản phải thu khác và các tài sản khác tiềm ẩn rủi ro thanh toán và công ty thực hiện xác định giá trị rủi ro thanh toán của các khoản mục này theo công thức quy định trong Thông tư số 226/2010/TT-BTC.</w:t>
            </w:r>
          </w:p>
        </w:tc>
      </w:tr>
    </w:tbl>
    <w:p w:rsidR="001D547B" w:rsidRPr="00D85C28" w:rsidRDefault="001D547B" w:rsidP="00291FEB">
      <w:pPr>
        <w:spacing w:after="0" w:line="240" w:lineRule="auto"/>
        <w:ind w:left="720"/>
        <w:jc w:val="both"/>
        <w:rPr>
          <w:rFonts w:ascii="Times New Roman" w:eastAsia="Times New Roman" w:hAnsi="Times New Roman"/>
          <w:sz w:val="6"/>
          <w:szCs w:val="20"/>
        </w:rPr>
      </w:pPr>
    </w:p>
    <w:p w:rsidR="001D547B" w:rsidRPr="00374801" w:rsidRDefault="001D547B" w:rsidP="00291FEB">
      <w:pPr>
        <w:spacing w:after="0" w:line="240" w:lineRule="auto"/>
        <w:ind w:left="720"/>
        <w:jc w:val="both"/>
        <w:rPr>
          <w:rFonts w:ascii="Times New Roman" w:eastAsia="Times New Roman" w:hAnsi="Times New Roman"/>
          <w:sz w:val="20"/>
          <w:szCs w:val="20"/>
        </w:rPr>
      </w:pPr>
    </w:p>
    <w:p w:rsidR="00450FD2" w:rsidRPr="00374801" w:rsidRDefault="00450FD2" w:rsidP="00450FD2">
      <w:pPr>
        <w:numPr>
          <w:ilvl w:val="1"/>
          <w:numId w:val="14"/>
        </w:numPr>
        <w:spacing w:after="0" w:line="240" w:lineRule="auto"/>
        <w:ind w:left="0" w:firstLine="0"/>
        <w:jc w:val="both"/>
        <w:rPr>
          <w:rFonts w:ascii="Times New Roman" w:eastAsia="Times New Roman" w:hAnsi="Times New Roman"/>
          <w:b/>
          <w:sz w:val="20"/>
          <w:szCs w:val="20"/>
        </w:rPr>
      </w:pPr>
      <w:r w:rsidRPr="00374801">
        <w:rPr>
          <w:rFonts w:ascii="Times New Roman" w:eastAsia="Times New Roman" w:hAnsi="Times New Roman"/>
          <w:b/>
          <w:sz w:val="20"/>
          <w:szCs w:val="20"/>
        </w:rPr>
        <w:t>Đồng tiền trên báo cáo</w:t>
      </w:r>
    </w:p>
    <w:p w:rsidR="00E54CED" w:rsidRPr="00374801" w:rsidRDefault="00E54CED" w:rsidP="00E54CED">
      <w:pPr>
        <w:spacing w:after="0" w:line="240" w:lineRule="auto"/>
        <w:ind w:firstLine="720"/>
        <w:jc w:val="both"/>
        <w:rPr>
          <w:rFonts w:ascii="Times New Roman" w:eastAsia="Times New Roman" w:hAnsi="Times New Roman"/>
          <w:sz w:val="20"/>
          <w:szCs w:val="20"/>
        </w:rPr>
      </w:pPr>
    </w:p>
    <w:p w:rsidR="00450FD2" w:rsidRPr="00374801" w:rsidRDefault="00E54CED" w:rsidP="00E54CED">
      <w:pPr>
        <w:spacing w:after="0" w:line="240" w:lineRule="auto"/>
        <w:ind w:firstLine="720"/>
        <w:jc w:val="both"/>
        <w:rPr>
          <w:rFonts w:ascii="Times New Roman" w:eastAsia="Times New Roman" w:hAnsi="Times New Roman"/>
          <w:sz w:val="20"/>
          <w:szCs w:val="20"/>
        </w:rPr>
      </w:pPr>
      <w:r w:rsidRPr="00374801">
        <w:rPr>
          <w:rFonts w:ascii="Times New Roman" w:eastAsia="Times New Roman" w:hAnsi="Times New Roman"/>
          <w:sz w:val="20"/>
          <w:szCs w:val="20"/>
        </w:rPr>
        <w:t>Công ty thực hiện lập báo cáo bằng đồng Việt Nam (VND).</w:t>
      </w:r>
    </w:p>
    <w:p w:rsidR="00F63C39" w:rsidRPr="00374801" w:rsidRDefault="00F63C39" w:rsidP="00986CAB">
      <w:pPr>
        <w:spacing w:after="0" w:line="240" w:lineRule="auto"/>
        <w:jc w:val="both"/>
        <w:rPr>
          <w:rFonts w:ascii="Times New Roman" w:hAnsi="Times New Roman"/>
          <w:b/>
          <w:sz w:val="20"/>
          <w:szCs w:val="20"/>
        </w:rPr>
      </w:pPr>
    </w:p>
    <w:p w:rsidR="00F63C39" w:rsidRPr="00374801" w:rsidRDefault="00F63C39" w:rsidP="00986CAB">
      <w:pPr>
        <w:spacing w:after="0" w:line="240" w:lineRule="auto"/>
        <w:jc w:val="both"/>
        <w:rPr>
          <w:rFonts w:ascii="Times New Roman" w:hAnsi="Times New Roman"/>
          <w:b/>
          <w:sz w:val="20"/>
          <w:szCs w:val="20"/>
        </w:rPr>
      </w:pPr>
    </w:p>
    <w:p w:rsidR="00986CAB" w:rsidRDefault="00986CAB" w:rsidP="00986CAB">
      <w:pPr>
        <w:spacing w:after="0" w:line="240" w:lineRule="auto"/>
        <w:jc w:val="both"/>
        <w:rPr>
          <w:rFonts w:ascii="Times New Roman" w:eastAsia="Times New Roman" w:hAnsi="Times New Roman"/>
          <w:sz w:val="20"/>
          <w:szCs w:val="20"/>
        </w:rPr>
      </w:pPr>
    </w:p>
    <w:p w:rsidR="00D85C28" w:rsidRPr="00374801" w:rsidRDefault="00D85C28" w:rsidP="00986CAB">
      <w:pPr>
        <w:spacing w:after="0" w:line="240" w:lineRule="auto"/>
        <w:jc w:val="both"/>
        <w:rPr>
          <w:rFonts w:ascii="Times New Roman" w:eastAsia="Times New Roman" w:hAnsi="Times New Roman"/>
          <w:sz w:val="20"/>
          <w:szCs w:val="20"/>
        </w:rPr>
      </w:pPr>
    </w:p>
    <w:p w:rsidR="00986CAB" w:rsidRPr="00374801" w:rsidRDefault="00986CAB" w:rsidP="00986CAB">
      <w:pPr>
        <w:spacing w:after="0" w:line="240" w:lineRule="auto"/>
        <w:jc w:val="both"/>
        <w:rPr>
          <w:rFonts w:ascii="Times New Roman" w:eastAsia="Times New Roman" w:hAnsi="Times New Roman"/>
          <w:b/>
          <w:sz w:val="20"/>
          <w:szCs w:val="20"/>
        </w:rPr>
      </w:pPr>
    </w:p>
    <w:p w:rsidR="00CE0746" w:rsidRPr="00374801" w:rsidRDefault="00A324CC" w:rsidP="00A324CC">
      <w:pPr>
        <w:numPr>
          <w:ilvl w:val="0"/>
          <w:numId w:val="14"/>
        </w:numPr>
        <w:spacing w:after="0" w:line="240" w:lineRule="auto"/>
        <w:ind w:hanging="720"/>
        <w:jc w:val="both"/>
        <w:rPr>
          <w:rFonts w:ascii="Times New Roman" w:eastAsia="Times New Roman" w:hAnsi="Times New Roman"/>
          <w:b/>
          <w:sz w:val="20"/>
          <w:szCs w:val="20"/>
        </w:rPr>
      </w:pPr>
      <w:r w:rsidRPr="00374801">
        <w:rPr>
          <w:rFonts w:ascii="Times New Roman" w:hAnsi="Times New Roman"/>
          <w:b/>
          <w:sz w:val="20"/>
          <w:szCs w:val="20"/>
        </w:rPr>
        <w:t>CÁC CHÍNH SÁCH LẬP BÁO CÁO TỈ LỆ AN TOÀN TÀI CHÍNH CHỦ YẾU</w:t>
      </w:r>
    </w:p>
    <w:p w:rsidR="00A324CC" w:rsidRPr="00374801" w:rsidRDefault="00A324CC" w:rsidP="00A324CC">
      <w:pPr>
        <w:spacing w:after="0" w:line="240" w:lineRule="auto"/>
        <w:jc w:val="both"/>
        <w:rPr>
          <w:rFonts w:ascii="Times New Roman" w:hAnsi="Times New Roman"/>
          <w:b/>
          <w:sz w:val="20"/>
          <w:szCs w:val="20"/>
        </w:rPr>
      </w:pPr>
    </w:p>
    <w:p w:rsidR="00A324CC" w:rsidRPr="00374801" w:rsidRDefault="00A324CC" w:rsidP="00A324CC">
      <w:pPr>
        <w:rPr>
          <w:rFonts w:ascii="Times New Roman" w:hAnsi="Times New Roman"/>
          <w:b/>
          <w:sz w:val="20"/>
          <w:szCs w:val="20"/>
        </w:rPr>
      </w:pPr>
      <w:r w:rsidRPr="00374801">
        <w:rPr>
          <w:rFonts w:ascii="Times New Roman" w:hAnsi="Times New Roman"/>
          <w:b/>
          <w:sz w:val="20"/>
          <w:szCs w:val="20"/>
        </w:rPr>
        <w:t>3.1</w:t>
      </w:r>
      <w:r w:rsidRPr="00374801">
        <w:rPr>
          <w:rFonts w:ascii="Times New Roman" w:hAnsi="Times New Roman"/>
          <w:b/>
          <w:sz w:val="20"/>
          <w:szCs w:val="20"/>
        </w:rPr>
        <w:tab/>
        <w:t xml:space="preserve"> Tỷ lệ vốn khả dụng</w:t>
      </w:r>
    </w:p>
    <w:p w:rsidR="00A324CC" w:rsidRPr="00374801" w:rsidRDefault="00A324CC" w:rsidP="00F836D2">
      <w:pPr>
        <w:spacing w:after="120"/>
        <w:ind w:left="720"/>
        <w:jc w:val="both"/>
        <w:rPr>
          <w:rFonts w:ascii="Times New Roman" w:hAnsi="Times New Roman"/>
          <w:sz w:val="20"/>
          <w:szCs w:val="20"/>
        </w:rPr>
      </w:pPr>
      <w:r w:rsidRPr="00374801">
        <w:rPr>
          <w:rFonts w:ascii="Times New Roman" w:hAnsi="Times New Roman"/>
          <w:sz w:val="20"/>
          <w:szCs w:val="20"/>
        </w:rPr>
        <w:t>Tỷ lệ vốn khả dụng là một thước đo mức độ an toàn tài chính của Công ty, phản ánh khả năng của Công ty trong việc thanh toán nhanh các nghĩa vụ tài chính và khả năng bù đắp các loại rủi ro phát sinh trong quá trình hoạt động kinh doanh của Công ty.</w:t>
      </w:r>
    </w:p>
    <w:p w:rsidR="00A324CC" w:rsidRPr="00374801" w:rsidRDefault="00A324CC" w:rsidP="00F836D2">
      <w:pPr>
        <w:spacing w:after="120"/>
        <w:ind w:left="720"/>
        <w:jc w:val="both"/>
        <w:rPr>
          <w:rFonts w:ascii="Times New Roman" w:hAnsi="Times New Roman"/>
          <w:sz w:val="20"/>
          <w:szCs w:val="20"/>
        </w:rPr>
      </w:pPr>
      <w:r w:rsidRPr="00374801">
        <w:rPr>
          <w:rFonts w:ascii="Times New Roman" w:hAnsi="Times New Roman"/>
          <w:sz w:val="20"/>
          <w:szCs w:val="20"/>
        </w:rPr>
        <w:t>Tỷ lệ vốn khả dụng của Công ty được xác định theo công thức quy định trong Thông tư số 226/2010/TT-BTC như sau:</w:t>
      </w:r>
    </w:p>
    <w:tbl>
      <w:tblPr>
        <w:tblW w:w="4425" w:type="dxa"/>
        <w:tblInd w:w="1458" w:type="dxa"/>
        <w:tblLook w:val="04A0"/>
      </w:tblPr>
      <w:tblGrid>
        <w:gridCol w:w="2220"/>
        <w:gridCol w:w="2205"/>
      </w:tblGrid>
      <w:tr w:rsidR="00DD7043" w:rsidRPr="00DD7043" w:rsidTr="00DD7043">
        <w:trPr>
          <w:trHeight w:val="319"/>
        </w:trPr>
        <w:tc>
          <w:tcPr>
            <w:tcW w:w="2220" w:type="dxa"/>
            <w:vMerge w:val="restart"/>
            <w:tcBorders>
              <w:top w:val="nil"/>
              <w:left w:val="nil"/>
              <w:bottom w:val="nil"/>
              <w:right w:val="nil"/>
            </w:tcBorders>
            <w:shd w:val="clear" w:color="auto" w:fill="auto"/>
            <w:noWrap/>
            <w:vAlign w:val="center"/>
            <w:hideMark/>
          </w:tcPr>
          <w:p w:rsidR="00DD7043" w:rsidRPr="00DD7043" w:rsidRDefault="00DD7043" w:rsidP="00DD7043">
            <w:pPr>
              <w:spacing w:after="0" w:line="240" w:lineRule="auto"/>
              <w:jc w:val="center"/>
              <w:rPr>
                <w:rFonts w:ascii="Times New Roman" w:eastAsia="Times New Roman" w:hAnsi="Times New Roman"/>
                <w:color w:val="000000"/>
                <w:sz w:val="20"/>
                <w:szCs w:val="20"/>
              </w:rPr>
            </w:pPr>
            <w:r w:rsidRPr="00DD7043">
              <w:rPr>
                <w:rFonts w:ascii="Times New Roman" w:eastAsia="Times New Roman" w:hAnsi="Times New Roman"/>
                <w:color w:val="000000"/>
                <w:sz w:val="20"/>
                <w:szCs w:val="20"/>
              </w:rPr>
              <w:t>Tỷ lệ vốn khả dụng   =</w:t>
            </w:r>
          </w:p>
        </w:tc>
        <w:tc>
          <w:tcPr>
            <w:tcW w:w="2205" w:type="dxa"/>
            <w:tcBorders>
              <w:top w:val="nil"/>
              <w:left w:val="nil"/>
              <w:bottom w:val="single" w:sz="4" w:space="0" w:color="auto"/>
              <w:right w:val="nil"/>
            </w:tcBorders>
            <w:shd w:val="clear" w:color="auto" w:fill="auto"/>
            <w:noWrap/>
            <w:vAlign w:val="center"/>
            <w:hideMark/>
          </w:tcPr>
          <w:p w:rsidR="00DD7043" w:rsidRPr="00DD7043" w:rsidRDefault="00DD7043" w:rsidP="00DD7043">
            <w:pPr>
              <w:spacing w:after="0" w:line="240" w:lineRule="auto"/>
              <w:jc w:val="center"/>
              <w:rPr>
                <w:rFonts w:ascii="Times New Roman" w:eastAsia="Times New Roman" w:hAnsi="Times New Roman"/>
                <w:color w:val="000000"/>
                <w:sz w:val="20"/>
                <w:szCs w:val="20"/>
              </w:rPr>
            </w:pPr>
            <w:r w:rsidRPr="00DD7043">
              <w:rPr>
                <w:rFonts w:ascii="Times New Roman" w:eastAsia="Times New Roman" w:hAnsi="Times New Roman"/>
                <w:color w:val="000000"/>
                <w:sz w:val="20"/>
                <w:szCs w:val="20"/>
              </w:rPr>
              <w:t>Vốn khả dụng x 100%</w:t>
            </w:r>
          </w:p>
        </w:tc>
      </w:tr>
      <w:tr w:rsidR="00DD7043" w:rsidRPr="00DD7043" w:rsidTr="00DD7043">
        <w:trPr>
          <w:trHeight w:val="319"/>
        </w:trPr>
        <w:tc>
          <w:tcPr>
            <w:tcW w:w="2220" w:type="dxa"/>
            <w:vMerge/>
            <w:tcBorders>
              <w:top w:val="nil"/>
              <w:left w:val="nil"/>
              <w:bottom w:val="nil"/>
              <w:right w:val="nil"/>
            </w:tcBorders>
            <w:vAlign w:val="center"/>
            <w:hideMark/>
          </w:tcPr>
          <w:p w:rsidR="00DD7043" w:rsidRPr="00DD7043" w:rsidRDefault="00DD7043" w:rsidP="00DD7043">
            <w:pPr>
              <w:spacing w:after="0" w:line="240" w:lineRule="auto"/>
              <w:rPr>
                <w:rFonts w:ascii="Times New Roman" w:eastAsia="Times New Roman" w:hAnsi="Times New Roman"/>
                <w:color w:val="000000"/>
                <w:sz w:val="20"/>
                <w:szCs w:val="20"/>
              </w:rPr>
            </w:pPr>
          </w:p>
        </w:tc>
        <w:tc>
          <w:tcPr>
            <w:tcW w:w="2205" w:type="dxa"/>
            <w:tcBorders>
              <w:top w:val="nil"/>
              <w:left w:val="nil"/>
              <w:bottom w:val="nil"/>
              <w:right w:val="nil"/>
            </w:tcBorders>
            <w:shd w:val="clear" w:color="auto" w:fill="auto"/>
            <w:noWrap/>
            <w:vAlign w:val="center"/>
            <w:hideMark/>
          </w:tcPr>
          <w:p w:rsidR="00DD7043" w:rsidRPr="00DD7043" w:rsidRDefault="00DD7043" w:rsidP="00DD7043">
            <w:pPr>
              <w:spacing w:after="0" w:line="240" w:lineRule="auto"/>
              <w:jc w:val="center"/>
              <w:rPr>
                <w:rFonts w:ascii="Times New Roman" w:eastAsia="Times New Roman" w:hAnsi="Times New Roman"/>
                <w:color w:val="000000"/>
                <w:sz w:val="20"/>
                <w:szCs w:val="20"/>
              </w:rPr>
            </w:pPr>
            <w:r w:rsidRPr="00DD7043">
              <w:rPr>
                <w:rFonts w:ascii="Times New Roman" w:eastAsia="Times New Roman" w:hAnsi="Times New Roman"/>
                <w:color w:val="000000"/>
                <w:sz w:val="20"/>
                <w:szCs w:val="20"/>
              </w:rPr>
              <w:t>Tổng giá trị rủi ro</w:t>
            </w:r>
          </w:p>
        </w:tc>
      </w:tr>
    </w:tbl>
    <w:p w:rsidR="00241761" w:rsidRPr="00374801" w:rsidRDefault="00ED31CB" w:rsidP="00A324CC">
      <w:pPr>
        <w:rPr>
          <w:rFonts w:ascii="Times New Roman" w:eastAsia="Times New Roman" w:hAnsi="Times New Roman"/>
          <w:sz w:val="20"/>
          <w:szCs w:val="20"/>
        </w:rPr>
      </w:pPr>
      <w:r w:rsidRPr="00374801">
        <w:rPr>
          <w:rFonts w:ascii="Times New Roman" w:eastAsia="Times New Roman" w:hAnsi="Times New Roman"/>
          <w:sz w:val="20"/>
          <w:szCs w:val="20"/>
        </w:rPr>
        <w:fldChar w:fldCharType="begin"/>
      </w:r>
      <w:r w:rsidR="00A324CC" w:rsidRPr="00374801">
        <w:rPr>
          <w:rFonts w:ascii="Times New Roman" w:eastAsia="Times New Roman" w:hAnsi="Times New Roman"/>
          <w:sz w:val="20"/>
          <w:szCs w:val="20"/>
        </w:rPr>
        <w:instrText xml:space="preserve"> QUOTE </w:instrText>
      </w:r>
      <m:oMath>
        <m:r>
          <w:rPr>
            <w:rFonts w:ascii="Cambria Math" w:hAnsi="Times New Roman"/>
          </w:rPr>
          <m:t xml:space="preserve">    </m:t>
        </m:r>
        <m:f>
          <m:fPr>
            <m:ctrlPr>
              <w:rPr>
                <w:rFonts w:ascii="Cambria Math" w:hAnsi="Times New Roman"/>
                <w:i/>
              </w:rPr>
            </m:ctrlPr>
          </m:fPr>
          <m:num>
            <m:r>
              <w:rPr>
                <w:rFonts w:ascii="Cambria Math" w:hAnsi="Cambria Math"/>
              </w:rPr>
              <m:t>Vốn</m:t>
            </m:r>
            <m:r>
              <w:rPr>
                <w:rFonts w:ascii="Cambria Math" w:hAnsi="Times New Roman"/>
              </w:rPr>
              <m:t xml:space="preserve"> </m:t>
            </m:r>
            <m:r>
              <w:rPr>
                <w:rFonts w:ascii="Cambria Math" w:hAnsi="Cambria Math"/>
              </w:rPr>
              <m:t>khả</m:t>
            </m:r>
            <m:r>
              <w:rPr>
                <w:rFonts w:ascii="Cambria Math" w:hAnsi="Times New Roman"/>
              </w:rPr>
              <m:t xml:space="preserve"> </m:t>
            </m:r>
            <m:r>
              <w:rPr>
                <w:rFonts w:ascii="Cambria Math" w:hAnsi="Cambria Math"/>
              </w:rPr>
              <m:t>dụng</m:t>
            </m:r>
            <m:r>
              <w:rPr>
                <w:rFonts w:ascii="Cambria Math" w:hAnsi="Times New Roman"/>
              </w:rPr>
              <m:t xml:space="preserve"> </m:t>
            </m:r>
            <m:r>
              <w:rPr>
                <w:rFonts w:ascii="Cambria Math" w:hAnsi="Cambria Math"/>
              </w:rPr>
              <m:t>x</m:t>
            </m:r>
            <m:r>
              <w:rPr>
                <w:rFonts w:ascii="Cambria Math" w:hAnsi="Times New Roman"/>
              </w:rPr>
              <m:t xml:space="preserve"> 100%</m:t>
            </m:r>
          </m:num>
          <m:den>
            <m:r>
              <w:rPr>
                <w:rFonts w:ascii="Cambria Math" w:hAnsi="Cambria Math"/>
              </w:rPr>
              <m:t>Tổng</m:t>
            </m:r>
            <m:r>
              <w:rPr>
                <w:rFonts w:ascii="Cambria Math" w:hAnsi="Times New Roman"/>
              </w:rPr>
              <m:t xml:space="preserve"> </m:t>
            </m:r>
            <m:r>
              <w:rPr>
                <w:rFonts w:ascii="Cambria Math" w:hAnsi="Cambria Math"/>
              </w:rPr>
              <m:t>gi</m:t>
            </m:r>
            <m:r>
              <w:rPr>
                <w:rFonts w:ascii="Cambria Math" w:hAnsi="Times New Roman"/>
              </w:rPr>
              <m:t>á</m:t>
            </m:r>
            <m:r>
              <w:rPr>
                <w:rFonts w:ascii="Cambria Math" w:hAnsi="Times New Roman"/>
              </w:rPr>
              <m:t xml:space="preserve"> </m:t>
            </m:r>
            <m:r>
              <w:rPr>
                <w:rFonts w:ascii="Cambria Math" w:hAnsi="Cambria Math"/>
              </w:rPr>
              <m:t>trị</m:t>
            </m:r>
            <m:r>
              <w:rPr>
                <w:rFonts w:ascii="Cambria Math" w:hAnsi="Times New Roman"/>
              </w:rPr>
              <m:t xml:space="preserve"> </m:t>
            </m:r>
            <m:r>
              <w:rPr>
                <w:rFonts w:ascii="Cambria Math" w:hAnsi="Cambria Math"/>
              </w:rPr>
              <m:t>rủi</m:t>
            </m:r>
            <m:r>
              <w:rPr>
                <w:rFonts w:ascii="Cambria Math" w:hAnsi="Times New Roman"/>
              </w:rPr>
              <m:t xml:space="preserve"> </m:t>
            </m:r>
            <m:r>
              <w:rPr>
                <w:rFonts w:ascii="Cambria Math" w:hAnsi="Cambria Math"/>
              </w:rPr>
              <m:t>ro</m:t>
            </m:r>
          </m:den>
        </m:f>
      </m:oMath>
      <w:r w:rsidR="00A324CC" w:rsidRPr="00374801">
        <w:rPr>
          <w:rFonts w:ascii="Times New Roman" w:eastAsia="Times New Roman" w:hAnsi="Times New Roman"/>
          <w:sz w:val="20"/>
          <w:szCs w:val="20"/>
        </w:rPr>
        <w:instrText xml:space="preserve"> </w:instrText>
      </w:r>
      <w:r w:rsidRPr="00374801">
        <w:rPr>
          <w:rFonts w:ascii="Times New Roman" w:eastAsia="Times New Roman" w:hAnsi="Times New Roman"/>
          <w:sz w:val="20"/>
          <w:szCs w:val="20"/>
        </w:rPr>
        <w:fldChar w:fldCharType="end"/>
      </w:r>
    </w:p>
    <w:p w:rsidR="00A324CC" w:rsidRPr="00374801" w:rsidRDefault="00A324CC" w:rsidP="00F836D2">
      <w:pPr>
        <w:spacing w:after="120"/>
        <w:ind w:left="720"/>
        <w:jc w:val="both"/>
        <w:rPr>
          <w:rFonts w:ascii="Times New Roman" w:hAnsi="Times New Roman"/>
          <w:sz w:val="20"/>
          <w:szCs w:val="20"/>
        </w:rPr>
      </w:pPr>
      <w:r w:rsidRPr="00374801">
        <w:rPr>
          <w:rFonts w:ascii="Times New Roman" w:hAnsi="Times New Roman"/>
          <w:sz w:val="20"/>
          <w:szCs w:val="20"/>
        </w:rPr>
        <w:t>Trong đó, tổng giá trị rủi ro là tổng các giá trị rủi ro thị trường,</w:t>
      </w:r>
      <w:r w:rsidR="00F836D2" w:rsidRPr="00374801">
        <w:rPr>
          <w:rFonts w:ascii="Times New Roman" w:hAnsi="Times New Roman"/>
          <w:sz w:val="20"/>
          <w:szCs w:val="20"/>
        </w:rPr>
        <w:t xml:space="preserve"> </w:t>
      </w:r>
      <w:r w:rsidRPr="00374801">
        <w:rPr>
          <w:rFonts w:ascii="Times New Roman" w:hAnsi="Times New Roman"/>
          <w:sz w:val="20"/>
          <w:szCs w:val="20"/>
        </w:rPr>
        <w:t>giá trị rủi ro thanh toán và giá trị rủi ro hoạt động.</w:t>
      </w:r>
    </w:p>
    <w:p w:rsidR="00A324CC" w:rsidRPr="00374801" w:rsidRDefault="00A324CC" w:rsidP="00F63C39">
      <w:pPr>
        <w:spacing w:after="120"/>
        <w:rPr>
          <w:rFonts w:ascii="Times New Roman" w:hAnsi="Times New Roman"/>
          <w:b/>
          <w:sz w:val="20"/>
          <w:szCs w:val="20"/>
        </w:rPr>
      </w:pPr>
      <w:r w:rsidRPr="00374801">
        <w:rPr>
          <w:rFonts w:ascii="Times New Roman" w:hAnsi="Times New Roman"/>
          <w:b/>
          <w:sz w:val="20"/>
          <w:szCs w:val="20"/>
        </w:rPr>
        <w:t>3.2</w:t>
      </w:r>
      <w:r w:rsidRPr="00374801">
        <w:rPr>
          <w:rFonts w:ascii="Times New Roman" w:hAnsi="Times New Roman"/>
          <w:b/>
          <w:sz w:val="20"/>
          <w:szCs w:val="20"/>
        </w:rPr>
        <w:tab/>
        <w:t>Vốn khả dụng</w:t>
      </w:r>
    </w:p>
    <w:p w:rsidR="00A324CC" w:rsidRPr="00374801" w:rsidRDefault="00A324CC" w:rsidP="00F836D2">
      <w:pPr>
        <w:spacing w:after="120"/>
        <w:ind w:left="720"/>
        <w:jc w:val="both"/>
        <w:rPr>
          <w:rFonts w:ascii="Times New Roman" w:hAnsi="Times New Roman"/>
          <w:sz w:val="20"/>
          <w:szCs w:val="20"/>
        </w:rPr>
      </w:pPr>
      <w:r w:rsidRPr="00374801">
        <w:rPr>
          <w:rFonts w:ascii="Times New Roman" w:hAnsi="Times New Roman"/>
          <w:sz w:val="20"/>
          <w:szCs w:val="20"/>
        </w:rPr>
        <w:t xml:space="preserve">Vốn khả dụng là vốn chủ sở hữu sẵn sàng để đáp ứng các nghĩa vụ đến hạn trong vòng chín mươi (90) ngày.  </w:t>
      </w:r>
    </w:p>
    <w:p w:rsidR="00A324CC" w:rsidRPr="00374801" w:rsidRDefault="00A324CC" w:rsidP="00F836D2">
      <w:pPr>
        <w:spacing w:after="120"/>
        <w:ind w:left="720"/>
        <w:jc w:val="both"/>
        <w:rPr>
          <w:rFonts w:ascii="Times New Roman" w:hAnsi="Times New Roman"/>
          <w:sz w:val="20"/>
          <w:szCs w:val="20"/>
        </w:rPr>
      </w:pPr>
      <w:r w:rsidRPr="00374801">
        <w:rPr>
          <w:rFonts w:ascii="Times New Roman" w:hAnsi="Times New Roman"/>
          <w:sz w:val="20"/>
          <w:szCs w:val="20"/>
        </w:rPr>
        <w:t>Theo quy định trong Thông tư số 226/2010/TT-BTC, vốn khả dụng của Công ty được xác định bằng tổng số vốn chủ sở hữu có thể chuyển đổi thành tiền trong vòng chín mươi (90) ngày, trong đó chỉ tiêu lợi nhuận lũy kế và lợi nhuận chưa phân phối được cộng lại số dư các tài khoản dự phòng trên bảng cân đối kế toán tại ngày lập báo cáo.</w:t>
      </w:r>
    </w:p>
    <w:p w:rsidR="00A324CC" w:rsidRPr="00374801" w:rsidRDefault="00A324CC" w:rsidP="00F836D2">
      <w:pPr>
        <w:spacing w:after="120"/>
        <w:ind w:firstLine="720"/>
        <w:jc w:val="both"/>
        <w:rPr>
          <w:rFonts w:ascii="Times New Roman" w:hAnsi="Times New Roman"/>
          <w:sz w:val="20"/>
          <w:szCs w:val="20"/>
        </w:rPr>
      </w:pPr>
      <w:r w:rsidRPr="00374801">
        <w:rPr>
          <w:rFonts w:ascii="Times New Roman" w:hAnsi="Times New Roman"/>
          <w:sz w:val="20"/>
          <w:szCs w:val="20"/>
        </w:rPr>
        <w:t>Vốn khả dụng của Công ty được điều chỉnh tăng thêm bởi các khoản mục sau:</w:t>
      </w:r>
    </w:p>
    <w:p w:rsidR="00A324CC" w:rsidRPr="00374801" w:rsidRDefault="00A324CC" w:rsidP="008F5D46">
      <w:pPr>
        <w:pStyle w:val="ListParagraph"/>
        <w:numPr>
          <w:ilvl w:val="0"/>
          <w:numId w:val="16"/>
        </w:numPr>
        <w:tabs>
          <w:tab w:val="left" w:pos="1080"/>
        </w:tabs>
        <w:ind w:left="1080"/>
        <w:jc w:val="both"/>
        <w:rPr>
          <w:rFonts w:ascii="Times New Roman" w:hAnsi="Times New Roman"/>
          <w:sz w:val="20"/>
          <w:szCs w:val="20"/>
        </w:rPr>
      </w:pPr>
      <w:r w:rsidRPr="00374801">
        <w:rPr>
          <w:rFonts w:ascii="Times New Roman" w:hAnsi="Times New Roman"/>
          <w:sz w:val="20"/>
          <w:szCs w:val="20"/>
        </w:rPr>
        <w:t>Giá trị của các khoản nợ có thời hạn ban đầu là năm (5) năm của Công ty có thể chuyển đổi thành vốn chủ sở hữu;</w:t>
      </w:r>
    </w:p>
    <w:p w:rsidR="00A324CC" w:rsidRPr="00374801" w:rsidRDefault="00A324CC" w:rsidP="008F5D46">
      <w:pPr>
        <w:pStyle w:val="ListParagraph"/>
        <w:numPr>
          <w:ilvl w:val="0"/>
          <w:numId w:val="16"/>
        </w:numPr>
        <w:tabs>
          <w:tab w:val="left" w:pos="1080"/>
        </w:tabs>
        <w:ind w:left="1080"/>
        <w:jc w:val="both"/>
        <w:rPr>
          <w:rFonts w:ascii="Times New Roman" w:hAnsi="Times New Roman"/>
          <w:sz w:val="20"/>
          <w:szCs w:val="20"/>
        </w:rPr>
      </w:pPr>
      <w:r w:rsidRPr="00374801">
        <w:rPr>
          <w:rFonts w:ascii="Times New Roman" w:hAnsi="Times New Roman"/>
          <w:sz w:val="20"/>
          <w:szCs w:val="20"/>
        </w:rPr>
        <w:t>Các khoản nợ có thời hạn ban đầu trên mười (10) năm đã đăng ký bổ sung vào vốn khả dụng với Ủy ban Chứng khoán Nhà nước ;</w:t>
      </w:r>
    </w:p>
    <w:p w:rsidR="00A324CC" w:rsidRPr="00374801" w:rsidRDefault="00A324CC" w:rsidP="008F5D46">
      <w:pPr>
        <w:pStyle w:val="ListParagraph"/>
        <w:numPr>
          <w:ilvl w:val="0"/>
          <w:numId w:val="16"/>
        </w:numPr>
        <w:tabs>
          <w:tab w:val="left" w:pos="1080"/>
        </w:tabs>
        <w:spacing w:after="120"/>
        <w:ind w:left="1080"/>
        <w:jc w:val="both"/>
        <w:rPr>
          <w:rFonts w:ascii="Times New Roman" w:hAnsi="Times New Roman"/>
          <w:sz w:val="20"/>
          <w:szCs w:val="20"/>
        </w:rPr>
      </w:pPr>
      <w:r w:rsidRPr="00374801">
        <w:rPr>
          <w:rFonts w:ascii="Times New Roman" w:hAnsi="Times New Roman"/>
          <w:sz w:val="20"/>
          <w:szCs w:val="20"/>
        </w:rPr>
        <w:t>Toàn bộ phần giá trị tăng thêm của các khoản đầu tư không bao gồm các chứng khoán được phát hành bởi các tổ chức có quan hệ với Công ty cũng như các chứng khoán có thời gian bị hạn chế chuyển nhượng còn lại trên chín mươi (90) ngày kể từ ngày lập báo cáo tỷ lệ an toàn tài chính (báo cáo tỉ lệ vốn khả dụng).</w:t>
      </w:r>
    </w:p>
    <w:p w:rsidR="00A324CC" w:rsidRPr="00374801" w:rsidRDefault="00A324CC" w:rsidP="00F836D2">
      <w:pPr>
        <w:spacing w:after="120"/>
        <w:ind w:left="720"/>
        <w:jc w:val="both"/>
        <w:rPr>
          <w:rFonts w:ascii="Times New Roman" w:hAnsi="Times New Roman"/>
          <w:sz w:val="20"/>
          <w:szCs w:val="20"/>
        </w:rPr>
      </w:pPr>
      <w:r w:rsidRPr="00374801">
        <w:rPr>
          <w:rFonts w:ascii="Times New Roman" w:hAnsi="Times New Roman"/>
          <w:sz w:val="20"/>
          <w:szCs w:val="20"/>
        </w:rPr>
        <w:t>Tổng giá trị các khoản được sử dụng để bổ sung vốn khả dụng tối đa bằng 50% phần vốn chủ sở hữu. Đối với các khoản nợ có thể chuyển đổi thành vốn chủ sở hữu và các khoản nợ đã đăng ký bổ sung vào vốn khả dụng với Ủy ban Chứng khoán Nhà nước, Công ty khấu trừ 20% giá trị ban đầu mỗi năm trong thời gian năm (5) năm cuối cùng trước khi đến hạn thanh toán /chuyển đổi thành cổ phiếu phổ thông và khấu trừ 25% giá trị còn lại mỗi quý trong thời hạn bốn (4) quý cuối cùng trước khi đến hạn thanh toán /chuyển đổi thành cổ phiếu phổ thông.</w:t>
      </w:r>
    </w:p>
    <w:p w:rsidR="00A324CC" w:rsidRPr="00374801" w:rsidRDefault="00A324CC" w:rsidP="00A324CC">
      <w:pPr>
        <w:ind w:firstLine="720"/>
        <w:jc w:val="both"/>
        <w:rPr>
          <w:rFonts w:ascii="Times New Roman" w:hAnsi="Times New Roman"/>
          <w:sz w:val="20"/>
          <w:szCs w:val="20"/>
        </w:rPr>
      </w:pPr>
      <w:r w:rsidRPr="00374801">
        <w:rPr>
          <w:rFonts w:ascii="Times New Roman" w:hAnsi="Times New Roman"/>
          <w:sz w:val="20"/>
          <w:szCs w:val="20"/>
        </w:rPr>
        <w:t>Vốn khả dụng của Công ty được điều chỉnh giảm bởi giá trị của các khoản mục sau:</w:t>
      </w:r>
    </w:p>
    <w:p w:rsidR="00A324CC" w:rsidRPr="00374801" w:rsidRDefault="00A324CC" w:rsidP="00ED03D8">
      <w:pPr>
        <w:pStyle w:val="ListParagraph"/>
        <w:numPr>
          <w:ilvl w:val="0"/>
          <w:numId w:val="17"/>
        </w:numPr>
        <w:tabs>
          <w:tab w:val="left" w:pos="1080"/>
        </w:tabs>
        <w:ind w:firstLine="0"/>
        <w:jc w:val="both"/>
        <w:rPr>
          <w:rFonts w:ascii="Times New Roman" w:hAnsi="Times New Roman"/>
          <w:sz w:val="20"/>
          <w:szCs w:val="20"/>
        </w:rPr>
      </w:pPr>
      <w:r w:rsidRPr="00374801">
        <w:rPr>
          <w:rFonts w:ascii="Times New Roman" w:hAnsi="Times New Roman"/>
          <w:sz w:val="20"/>
          <w:szCs w:val="20"/>
        </w:rPr>
        <w:t>Vốn cổ phần ưu đãi hoàn lại và cổ phiếu quỹ (nếu có);</w:t>
      </w:r>
    </w:p>
    <w:p w:rsidR="00A324CC" w:rsidRPr="00374801" w:rsidRDefault="00A324CC" w:rsidP="008F5D46">
      <w:pPr>
        <w:pStyle w:val="ListParagraph"/>
        <w:numPr>
          <w:ilvl w:val="0"/>
          <w:numId w:val="17"/>
        </w:numPr>
        <w:tabs>
          <w:tab w:val="left" w:pos="1080"/>
        </w:tabs>
        <w:ind w:left="1080"/>
        <w:jc w:val="both"/>
        <w:rPr>
          <w:rFonts w:ascii="Times New Roman" w:hAnsi="Times New Roman"/>
          <w:sz w:val="20"/>
          <w:szCs w:val="20"/>
        </w:rPr>
      </w:pPr>
      <w:r w:rsidRPr="00374801">
        <w:rPr>
          <w:rFonts w:ascii="Times New Roman" w:hAnsi="Times New Roman"/>
          <w:sz w:val="20"/>
          <w:szCs w:val="20"/>
        </w:rPr>
        <w:t>Toàn bộ phầ</w:t>
      </w:r>
      <w:r w:rsidR="00FF7E0D">
        <w:rPr>
          <w:rFonts w:ascii="Times New Roman" w:hAnsi="Times New Roman"/>
          <w:sz w:val="20"/>
          <w:szCs w:val="20"/>
        </w:rPr>
        <w:t>n giá</w:t>
      </w:r>
      <w:r w:rsidRPr="00374801">
        <w:rPr>
          <w:rFonts w:ascii="Times New Roman" w:hAnsi="Times New Roman"/>
          <w:sz w:val="20"/>
          <w:szCs w:val="20"/>
        </w:rPr>
        <w:t xml:space="preserve"> trị giảm đi của các khoản đầu tư không bao gồm các chứng khoán được phát hành bởi các tổ chức có quan hệ với Công ty và chứng khoán có thời gian bị hạn chế chuyển nhượng còn lại trên chín mươi (90) ngày kể từ ngày lập báo cáo tỷ lệ an toàn tài chính (báo cáo tỷ lệ vốn khả dụng);</w:t>
      </w:r>
    </w:p>
    <w:p w:rsidR="00F63C39" w:rsidRPr="00374801" w:rsidRDefault="00F63C39" w:rsidP="008F5D46">
      <w:pPr>
        <w:pStyle w:val="ListParagraph"/>
        <w:numPr>
          <w:ilvl w:val="0"/>
          <w:numId w:val="17"/>
        </w:numPr>
        <w:tabs>
          <w:tab w:val="left" w:pos="1080"/>
        </w:tabs>
        <w:ind w:left="1080"/>
        <w:jc w:val="both"/>
        <w:rPr>
          <w:rFonts w:ascii="Times New Roman" w:hAnsi="Times New Roman"/>
          <w:sz w:val="20"/>
          <w:szCs w:val="20"/>
        </w:rPr>
      </w:pPr>
      <w:r w:rsidRPr="00374801">
        <w:rPr>
          <w:rFonts w:ascii="Times New Roman" w:hAnsi="Times New Roman"/>
          <w:sz w:val="20"/>
          <w:szCs w:val="20"/>
        </w:rPr>
        <w:t>Các tài sản dài hạn và tài sản ngắn hạn có thời hạn thu hồi hoặc thời hạn thanh toán còn lại trên 90 ngày;</w:t>
      </w:r>
    </w:p>
    <w:p w:rsidR="00F63C39" w:rsidRPr="00374801" w:rsidRDefault="00F63C39" w:rsidP="00F63C39">
      <w:pPr>
        <w:spacing w:after="0" w:line="240" w:lineRule="auto"/>
        <w:ind w:firstLine="720"/>
        <w:jc w:val="both"/>
        <w:rPr>
          <w:rFonts w:ascii="Times New Roman" w:hAnsi="Times New Roman"/>
          <w:sz w:val="20"/>
          <w:szCs w:val="20"/>
        </w:rPr>
      </w:pPr>
      <w:r w:rsidRPr="00374801">
        <w:rPr>
          <w:rFonts w:ascii="Times New Roman" w:hAnsi="Times New Roman"/>
          <w:sz w:val="20"/>
          <w:szCs w:val="20"/>
        </w:rPr>
        <w:t>Các khoản ngoại trừ trên báo cáo tài chính đã được kiểm toán (nếu có)</w:t>
      </w:r>
    </w:p>
    <w:p w:rsidR="00F836D2" w:rsidRPr="00374801" w:rsidRDefault="00F836D2" w:rsidP="00F836D2">
      <w:pPr>
        <w:pStyle w:val="ListParagraph"/>
        <w:jc w:val="both"/>
        <w:rPr>
          <w:rFonts w:ascii="Times New Roman" w:hAnsi="Times New Roman"/>
          <w:sz w:val="20"/>
          <w:szCs w:val="20"/>
        </w:rPr>
      </w:pPr>
    </w:p>
    <w:p w:rsidR="00F836D2" w:rsidRDefault="00F836D2" w:rsidP="00F836D2">
      <w:pPr>
        <w:pStyle w:val="ListParagraph"/>
        <w:ind w:left="0"/>
        <w:jc w:val="both"/>
        <w:rPr>
          <w:rFonts w:ascii="Times New Roman" w:hAnsi="Times New Roman"/>
          <w:sz w:val="20"/>
          <w:szCs w:val="20"/>
        </w:rPr>
      </w:pPr>
    </w:p>
    <w:p w:rsidR="00D85C28" w:rsidRDefault="00D85C28" w:rsidP="00F836D2">
      <w:pPr>
        <w:pStyle w:val="ListParagraph"/>
        <w:ind w:left="0"/>
        <w:jc w:val="both"/>
        <w:rPr>
          <w:rFonts w:ascii="Times New Roman" w:hAnsi="Times New Roman"/>
          <w:sz w:val="20"/>
          <w:szCs w:val="20"/>
        </w:rPr>
      </w:pPr>
    </w:p>
    <w:p w:rsidR="00D85C28" w:rsidRDefault="00D85C28" w:rsidP="00D85C28">
      <w:pPr>
        <w:spacing w:after="0"/>
        <w:rPr>
          <w:rFonts w:ascii="Times New Roman" w:hAnsi="Times New Roman"/>
          <w:b/>
          <w:sz w:val="20"/>
          <w:szCs w:val="20"/>
        </w:rPr>
      </w:pPr>
    </w:p>
    <w:p w:rsidR="00F836D2" w:rsidRDefault="00F836D2" w:rsidP="00D85C28">
      <w:pPr>
        <w:spacing w:after="0"/>
        <w:rPr>
          <w:rFonts w:ascii="Times New Roman" w:hAnsi="Times New Roman"/>
          <w:b/>
          <w:sz w:val="20"/>
          <w:szCs w:val="20"/>
        </w:rPr>
      </w:pPr>
      <w:r w:rsidRPr="00374801">
        <w:rPr>
          <w:rFonts w:ascii="Times New Roman" w:hAnsi="Times New Roman"/>
          <w:b/>
          <w:sz w:val="20"/>
          <w:szCs w:val="20"/>
        </w:rPr>
        <w:t xml:space="preserve">3.2 </w:t>
      </w:r>
      <w:r w:rsidRPr="00374801">
        <w:rPr>
          <w:rFonts w:ascii="Times New Roman" w:hAnsi="Times New Roman"/>
          <w:b/>
          <w:sz w:val="20"/>
          <w:szCs w:val="20"/>
        </w:rPr>
        <w:tab/>
        <w:t>Vốn khả dụng (tiếp theo)</w:t>
      </w:r>
    </w:p>
    <w:p w:rsidR="00D85C28" w:rsidRPr="00374801" w:rsidRDefault="00D85C28" w:rsidP="00D85C28">
      <w:pPr>
        <w:spacing w:after="0"/>
        <w:rPr>
          <w:rFonts w:ascii="Times New Roman" w:hAnsi="Times New Roman"/>
          <w:b/>
          <w:sz w:val="20"/>
          <w:szCs w:val="20"/>
        </w:rPr>
      </w:pPr>
    </w:p>
    <w:p w:rsidR="00F836D2" w:rsidRPr="00374801" w:rsidRDefault="00F836D2" w:rsidP="00F63C39">
      <w:pPr>
        <w:ind w:left="720"/>
        <w:jc w:val="both"/>
        <w:rPr>
          <w:rFonts w:ascii="Times New Roman" w:hAnsi="Times New Roman"/>
          <w:sz w:val="20"/>
          <w:szCs w:val="20"/>
        </w:rPr>
      </w:pPr>
      <w:r w:rsidRPr="00374801">
        <w:rPr>
          <w:rFonts w:ascii="Times New Roman" w:hAnsi="Times New Roman"/>
          <w:sz w:val="20"/>
          <w:szCs w:val="20"/>
        </w:rPr>
        <w:t>Khi xác định phần giảm trừ khỏi vốn khả dụng, Công ty điều chỉnh giảm bớt phần giá trị giảm trừ một khoản bằng giá trị nhỏ nhất của giá trị thị trường của tài sản, giá trị sổ sách và giá trị còn lại của các nghĩa vụ (đối với tài sản được dùng làm tài sản bảo đảm cho các nghĩa vụ của Công ty hoặc cho bên thứ ba) và giá trị nhỏ nhất của giá trị thị trường của tài sản và giá trị sổ sách (đối với tài sản được đảm bảo bằng tài sản của khách hàng).</w:t>
      </w:r>
    </w:p>
    <w:p w:rsidR="00F836D2" w:rsidRPr="00374801" w:rsidRDefault="00F836D2" w:rsidP="00F836D2">
      <w:pPr>
        <w:rPr>
          <w:rFonts w:ascii="Times New Roman" w:hAnsi="Times New Roman"/>
          <w:b/>
          <w:sz w:val="20"/>
          <w:szCs w:val="20"/>
        </w:rPr>
      </w:pPr>
      <w:r w:rsidRPr="00374801">
        <w:rPr>
          <w:rFonts w:ascii="Times New Roman" w:hAnsi="Times New Roman"/>
          <w:b/>
          <w:sz w:val="20"/>
          <w:szCs w:val="20"/>
        </w:rPr>
        <w:t xml:space="preserve">3.3 </w:t>
      </w:r>
      <w:r w:rsidRPr="00374801">
        <w:rPr>
          <w:rFonts w:ascii="Times New Roman" w:hAnsi="Times New Roman"/>
          <w:b/>
          <w:sz w:val="20"/>
          <w:szCs w:val="20"/>
        </w:rPr>
        <w:tab/>
        <w:t>Giá trị rủi ro thị trường</w:t>
      </w:r>
    </w:p>
    <w:p w:rsidR="00F836D2" w:rsidRPr="00374801" w:rsidRDefault="00F836D2" w:rsidP="00F63C39">
      <w:pPr>
        <w:spacing w:after="120"/>
        <w:ind w:left="720"/>
        <w:jc w:val="both"/>
        <w:rPr>
          <w:rFonts w:ascii="Times New Roman" w:hAnsi="Times New Roman"/>
          <w:sz w:val="20"/>
          <w:szCs w:val="20"/>
        </w:rPr>
      </w:pPr>
      <w:r w:rsidRPr="00374801">
        <w:rPr>
          <w:rFonts w:ascii="Times New Roman" w:hAnsi="Times New Roman"/>
          <w:sz w:val="20"/>
          <w:szCs w:val="20"/>
        </w:rPr>
        <w:t>Giá trị rủi ro thị trường là giá trị tương ứng với mức độ tổn thất có thể xảy ra khi giá trị thị trường của tài sản đang sở hữu biến động theo chiều hướng bất lợi và được Công ty xác định khi kết thúc ngày giao dịch theo công thức sau:</w:t>
      </w:r>
    </w:p>
    <w:p w:rsidR="00F836D2" w:rsidRPr="00374801" w:rsidRDefault="00F836D2" w:rsidP="00F63C39">
      <w:pPr>
        <w:spacing w:after="120"/>
        <w:ind w:firstLine="720"/>
        <w:jc w:val="both"/>
        <w:rPr>
          <w:rFonts w:ascii="Times New Roman" w:hAnsi="Times New Roman"/>
          <w:sz w:val="20"/>
          <w:szCs w:val="20"/>
        </w:rPr>
      </w:pPr>
      <w:r w:rsidRPr="00374801">
        <w:rPr>
          <w:rFonts w:ascii="Times New Roman" w:hAnsi="Times New Roman"/>
          <w:sz w:val="20"/>
          <w:szCs w:val="20"/>
        </w:rPr>
        <w:t xml:space="preserve">Giá trị rủi ro thị trường =Vị thế ròng x Giá tài sản x Hệ số rủi ro thị trường </w:t>
      </w:r>
    </w:p>
    <w:p w:rsidR="00F836D2" w:rsidRPr="00374801" w:rsidRDefault="00476DA8" w:rsidP="00F63C39">
      <w:pPr>
        <w:spacing w:after="120"/>
        <w:ind w:left="720"/>
        <w:jc w:val="both"/>
        <w:rPr>
          <w:rFonts w:ascii="Times New Roman" w:hAnsi="Times New Roman"/>
          <w:sz w:val="20"/>
          <w:szCs w:val="20"/>
        </w:rPr>
      </w:pPr>
      <w:r>
        <w:rPr>
          <w:rFonts w:ascii="Times New Roman" w:hAnsi="Times New Roman"/>
          <w:sz w:val="20"/>
          <w:szCs w:val="20"/>
        </w:rPr>
        <w:t>Trong đó</w:t>
      </w:r>
      <w:r w:rsidR="00F836D2" w:rsidRPr="00374801">
        <w:rPr>
          <w:rFonts w:ascii="Times New Roman" w:hAnsi="Times New Roman"/>
          <w:sz w:val="20"/>
          <w:szCs w:val="20"/>
        </w:rPr>
        <w:t>, vị thế ròng của chứng khoán là số lượng chứng khoán đang nắm giữ của Công ty tại thời điểm lập báo cáo, sau khi đã điều chỉnh giảm bớt số chứng khoán cho vay và tăng thêm số chứng khoán đi vay phù hợp với quy định của pháp luật.</w:t>
      </w:r>
    </w:p>
    <w:p w:rsidR="00F836D2" w:rsidRPr="00374801" w:rsidRDefault="00F836D2" w:rsidP="00F63C39">
      <w:pPr>
        <w:spacing w:after="120"/>
        <w:ind w:firstLine="720"/>
        <w:jc w:val="both"/>
        <w:rPr>
          <w:rFonts w:ascii="Times New Roman" w:hAnsi="Times New Roman"/>
          <w:sz w:val="20"/>
          <w:szCs w:val="20"/>
        </w:rPr>
      </w:pPr>
      <w:r w:rsidRPr="00374801">
        <w:rPr>
          <w:rFonts w:ascii="Times New Roman" w:hAnsi="Times New Roman"/>
          <w:sz w:val="20"/>
          <w:szCs w:val="20"/>
        </w:rPr>
        <w:t>Các tài sản không được xác định giá trị rủi ro thị trường bao gồm:</w:t>
      </w:r>
    </w:p>
    <w:p w:rsidR="00F836D2" w:rsidRPr="00374801" w:rsidRDefault="00F836D2" w:rsidP="008F5D46">
      <w:pPr>
        <w:pStyle w:val="ListParagraph"/>
        <w:numPr>
          <w:ilvl w:val="0"/>
          <w:numId w:val="18"/>
        </w:numPr>
        <w:tabs>
          <w:tab w:val="left" w:pos="720"/>
          <w:tab w:val="left" w:pos="1080"/>
        </w:tabs>
        <w:ind w:firstLine="0"/>
        <w:jc w:val="both"/>
        <w:rPr>
          <w:rFonts w:ascii="Times New Roman" w:hAnsi="Times New Roman"/>
          <w:sz w:val="20"/>
          <w:szCs w:val="20"/>
        </w:rPr>
      </w:pPr>
      <w:r w:rsidRPr="00374801">
        <w:rPr>
          <w:rFonts w:ascii="Times New Roman" w:hAnsi="Times New Roman"/>
          <w:sz w:val="20"/>
          <w:szCs w:val="20"/>
        </w:rPr>
        <w:t>Cổ phiếu quỹ</w:t>
      </w:r>
    </w:p>
    <w:p w:rsidR="00F836D2" w:rsidRPr="00374801" w:rsidRDefault="00F836D2" w:rsidP="008F5D46">
      <w:pPr>
        <w:pStyle w:val="ListParagraph"/>
        <w:numPr>
          <w:ilvl w:val="0"/>
          <w:numId w:val="18"/>
        </w:numPr>
        <w:tabs>
          <w:tab w:val="left" w:pos="1080"/>
        </w:tabs>
        <w:ind w:firstLine="0"/>
        <w:jc w:val="both"/>
        <w:rPr>
          <w:rFonts w:ascii="Times New Roman" w:hAnsi="Times New Roman"/>
          <w:sz w:val="20"/>
          <w:szCs w:val="20"/>
        </w:rPr>
      </w:pPr>
      <w:r w:rsidRPr="00374801">
        <w:rPr>
          <w:rFonts w:ascii="Times New Roman" w:hAnsi="Times New Roman"/>
          <w:sz w:val="20"/>
          <w:szCs w:val="20"/>
        </w:rPr>
        <w:t>Chứng khoán phát hành bởi các tổ chức có quan hệ với Công ty trong các trường hợp dưới đây:</w:t>
      </w:r>
    </w:p>
    <w:p w:rsidR="00F836D2" w:rsidRPr="00374801" w:rsidRDefault="00F836D2" w:rsidP="008F5D46">
      <w:pPr>
        <w:pStyle w:val="ListParagraph"/>
        <w:numPr>
          <w:ilvl w:val="0"/>
          <w:numId w:val="19"/>
        </w:numPr>
        <w:tabs>
          <w:tab w:val="left" w:pos="1080"/>
        </w:tabs>
        <w:ind w:firstLine="0"/>
        <w:jc w:val="both"/>
        <w:rPr>
          <w:rFonts w:ascii="Times New Roman" w:hAnsi="Times New Roman"/>
          <w:sz w:val="20"/>
          <w:szCs w:val="20"/>
        </w:rPr>
      </w:pPr>
      <w:r w:rsidRPr="00374801">
        <w:rPr>
          <w:rFonts w:ascii="Times New Roman" w:hAnsi="Times New Roman"/>
          <w:sz w:val="20"/>
          <w:szCs w:val="20"/>
        </w:rPr>
        <w:t>Là công ty mẹ, công ty con, công ty liên doanh, công ty liên kết của Công ty;</w:t>
      </w:r>
    </w:p>
    <w:p w:rsidR="00F836D2" w:rsidRPr="00374801" w:rsidRDefault="00F836D2" w:rsidP="008F5D46">
      <w:pPr>
        <w:pStyle w:val="ListParagraph"/>
        <w:numPr>
          <w:ilvl w:val="0"/>
          <w:numId w:val="19"/>
        </w:numPr>
        <w:tabs>
          <w:tab w:val="left" w:pos="1080"/>
        </w:tabs>
        <w:ind w:firstLine="0"/>
        <w:jc w:val="both"/>
        <w:rPr>
          <w:rFonts w:ascii="Times New Roman" w:hAnsi="Times New Roman"/>
          <w:sz w:val="20"/>
          <w:szCs w:val="20"/>
        </w:rPr>
      </w:pPr>
      <w:r w:rsidRPr="00374801">
        <w:rPr>
          <w:rFonts w:ascii="Times New Roman" w:hAnsi="Times New Roman"/>
          <w:sz w:val="20"/>
          <w:szCs w:val="20"/>
        </w:rPr>
        <w:t>Là công ty con, công ty liên doanh, công ty liên kết của công ty mẹ của Công ty ;</w:t>
      </w:r>
    </w:p>
    <w:p w:rsidR="00F836D2" w:rsidRPr="00374801" w:rsidRDefault="00F836D2" w:rsidP="008F5D46">
      <w:pPr>
        <w:pStyle w:val="ListParagraph"/>
        <w:numPr>
          <w:ilvl w:val="0"/>
          <w:numId w:val="20"/>
        </w:numPr>
        <w:tabs>
          <w:tab w:val="left" w:pos="1080"/>
        </w:tabs>
        <w:ind w:left="1080"/>
        <w:jc w:val="both"/>
        <w:rPr>
          <w:rFonts w:ascii="Times New Roman" w:hAnsi="Times New Roman"/>
          <w:sz w:val="20"/>
          <w:szCs w:val="20"/>
        </w:rPr>
      </w:pPr>
      <w:r w:rsidRPr="00374801">
        <w:rPr>
          <w:rFonts w:ascii="Times New Roman" w:hAnsi="Times New Roman"/>
          <w:sz w:val="20"/>
          <w:szCs w:val="20"/>
        </w:rPr>
        <w:t>Chứng khoán có thời gian bị hạn chế chuyển nhượng còn lại, trên chín mươi (90) ngày,kể từ ngày tính toán;</w:t>
      </w:r>
    </w:p>
    <w:p w:rsidR="00F836D2" w:rsidRPr="00374801" w:rsidRDefault="00F836D2" w:rsidP="008F5D46">
      <w:pPr>
        <w:pStyle w:val="ListParagraph"/>
        <w:numPr>
          <w:ilvl w:val="0"/>
          <w:numId w:val="20"/>
        </w:numPr>
        <w:tabs>
          <w:tab w:val="left" w:pos="1080"/>
        </w:tabs>
        <w:ind w:firstLine="0"/>
        <w:jc w:val="both"/>
        <w:rPr>
          <w:rFonts w:ascii="Times New Roman" w:hAnsi="Times New Roman"/>
          <w:sz w:val="20"/>
          <w:szCs w:val="20"/>
        </w:rPr>
      </w:pPr>
      <w:r w:rsidRPr="00374801">
        <w:rPr>
          <w:rFonts w:ascii="Times New Roman" w:hAnsi="Times New Roman"/>
          <w:sz w:val="20"/>
          <w:szCs w:val="20"/>
        </w:rPr>
        <w:t>Trái phiếu, các công cụ nợ, giấy tờ có giá trên thị trường tiền tệ đã đáo hạn.</w:t>
      </w:r>
    </w:p>
    <w:p w:rsidR="00F836D2" w:rsidRPr="00374801" w:rsidRDefault="00F836D2" w:rsidP="00F836D2">
      <w:pPr>
        <w:rPr>
          <w:rFonts w:ascii="Times New Roman" w:hAnsi="Times New Roman"/>
          <w:b/>
          <w:sz w:val="20"/>
          <w:szCs w:val="20"/>
        </w:rPr>
      </w:pPr>
      <w:r w:rsidRPr="00374801">
        <w:rPr>
          <w:rFonts w:ascii="Times New Roman" w:hAnsi="Times New Roman"/>
          <w:b/>
          <w:sz w:val="20"/>
          <w:szCs w:val="20"/>
        </w:rPr>
        <w:t>3.3.1</w:t>
      </w:r>
      <w:r w:rsidRPr="00374801">
        <w:rPr>
          <w:rFonts w:ascii="Times New Roman" w:hAnsi="Times New Roman"/>
          <w:b/>
          <w:sz w:val="20"/>
          <w:szCs w:val="20"/>
        </w:rPr>
        <w:tab/>
        <w:t>Hệ số rủi ro thị trường</w:t>
      </w:r>
    </w:p>
    <w:p w:rsidR="00F836D2" w:rsidRPr="00374801" w:rsidRDefault="00F836D2" w:rsidP="00F63C39">
      <w:pPr>
        <w:spacing w:after="120"/>
        <w:ind w:left="720"/>
        <w:jc w:val="both"/>
        <w:rPr>
          <w:rFonts w:ascii="Times New Roman" w:hAnsi="Times New Roman"/>
          <w:sz w:val="20"/>
          <w:szCs w:val="20"/>
        </w:rPr>
      </w:pPr>
      <w:r w:rsidRPr="00374801">
        <w:rPr>
          <w:rFonts w:ascii="Times New Roman" w:hAnsi="Times New Roman"/>
          <w:sz w:val="20"/>
          <w:szCs w:val="20"/>
        </w:rPr>
        <w:t>Hệ số rủi ro thị trường được xác định cho từng khoản mục tài sản theo quy định trong Thông tư số 226/2010/TT-BTC</w:t>
      </w:r>
      <w:r w:rsidR="00476DA8">
        <w:rPr>
          <w:rFonts w:ascii="Times New Roman" w:hAnsi="Times New Roman"/>
          <w:sz w:val="20"/>
          <w:szCs w:val="20"/>
        </w:rPr>
        <w:t>.</w:t>
      </w:r>
    </w:p>
    <w:p w:rsidR="00F836D2" w:rsidRPr="00374801" w:rsidRDefault="00F836D2" w:rsidP="00F836D2">
      <w:pPr>
        <w:rPr>
          <w:rFonts w:ascii="Times New Roman" w:hAnsi="Times New Roman"/>
          <w:b/>
          <w:sz w:val="20"/>
          <w:szCs w:val="20"/>
        </w:rPr>
      </w:pPr>
      <w:r w:rsidRPr="00374801">
        <w:rPr>
          <w:rFonts w:ascii="Times New Roman" w:hAnsi="Times New Roman"/>
          <w:b/>
          <w:sz w:val="20"/>
          <w:szCs w:val="20"/>
        </w:rPr>
        <w:t>3.3.2</w:t>
      </w:r>
      <w:r w:rsidRPr="00374801">
        <w:rPr>
          <w:rFonts w:ascii="Times New Roman" w:hAnsi="Times New Roman"/>
          <w:b/>
          <w:sz w:val="20"/>
          <w:szCs w:val="20"/>
        </w:rPr>
        <w:tab/>
        <w:t>Giá trị tài sản</w:t>
      </w:r>
    </w:p>
    <w:p w:rsidR="00F836D2" w:rsidRPr="00374801" w:rsidRDefault="00F836D2" w:rsidP="008F5D46">
      <w:pPr>
        <w:tabs>
          <w:tab w:val="left" w:pos="1080"/>
        </w:tabs>
        <w:ind w:firstLine="720"/>
        <w:jc w:val="both"/>
        <w:rPr>
          <w:rFonts w:ascii="Times New Roman" w:hAnsi="Times New Roman"/>
          <w:i/>
          <w:sz w:val="20"/>
          <w:szCs w:val="20"/>
        </w:rPr>
      </w:pPr>
      <w:r w:rsidRPr="00374801">
        <w:rPr>
          <w:rFonts w:ascii="Times New Roman" w:hAnsi="Times New Roman"/>
          <w:i/>
          <w:sz w:val="20"/>
          <w:szCs w:val="20"/>
        </w:rPr>
        <w:t>a.</w:t>
      </w:r>
      <w:r w:rsidRPr="00374801">
        <w:rPr>
          <w:rFonts w:ascii="Times New Roman" w:hAnsi="Times New Roman"/>
          <w:i/>
          <w:sz w:val="20"/>
          <w:szCs w:val="20"/>
        </w:rPr>
        <w:tab/>
        <w:t>Tiền và các khoản tương đương tiền, công cụ thị trường tiền tệ</w:t>
      </w:r>
    </w:p>
    <w:p w:rsidR="00F836D2" w:rsidRPr="00374801" w:rsidRDefault="00F836D2" w:rsidP="00F63C39">
      <w:pPr>
        <w:jc w:val="both"/>
        <w:rPr>
          <w:rFonts w:ascii="Times New Roman" w:hAnsi="Times New Roman"/>
          <w:sz w:val="20"/>
          <w:szCs w:val="20"/>
        </w:rPr>
      </w:pPr>
      <w:r w:rsidRPr="00374801">
        <w:rPr>
          <w:rFonts w:ascii="Times New Roman" w:hAnsi="Times New Roman"/>
          <w:sz w:val="20"/>
          <w:szCs w:val="20"/>
        </w:rPr>
        <w:tab/>
        <w:t>Giá trị của tiền bằng VN</w:t>
      </w:r>
      <w:r w:rsidR="0053391C">
        <w:rPr>
          <w:rFonts w:ascii="Times New Roman" w:hAnsi="Times New Roman"/>
          <w:sz w:val="20"/>
          <w:szCs w:val="20"/>
        </w:rPr>
        <w:t>D</w:t>
      </w:r>
      <w:r w:rsidRPr="00374801">
        <w:rPr>
          <w:rFonts w:ascii="Times New Roman" w:hAnsi="Times New Roman"/>
          <w:sz w:val="20"/>
          <w:szCs w:val="20"/>
        </w:rPr>
        <w:t xml:space="preserve"> là số dư tài khoản tiền mặt tại ngày tính toán.</w:t>
      </w:r>
    </w:p>
    <w:p w:rsidR="00F836D2" w:rsidRPr="00374801" w:rsidRDefault="00F836D2" w:rsidP="00F63C39">
      <w:pPr>
        <w:spacing w:after="120"/>
        <w:ind w:left="720"/>
        <w:jc w:val="both"/>
        <w:rPr>
          <w:rFonts w:ascii="Times New Roman" w:hAnsi="Times New Roman"/>
          <w:sz w:val="20"/>
          <w:szCs w:val="20"/>
        </w:rPr>
      </w:pPr>
      <w:r w:rsidRPr="00374801">
        <w:rPr>
          <w:rFonts w:ascii="Times New Roman" w:hAnsi="Times New Roman"/>
          <w:sz w:val="20"/>
          <w:szCs w:val="20"/>
        </w:rPr>
        <w:t>Giá trị của tiền bằng ngoại tệ là giá trị quy đổi ra VN</w:t>
      </w:r>
      <w:r w:rsidR="0053391C">
        <w:rPr>
          <w:rFonts w:ascii="Times New Roman" w:hAnsi="Times New Roman"/>
          <w:sz w:val="20"/>
          <w:szCs w:val="20"/>
        </w:rPr>
        <w:t>D</w:t>
      </w:r>
      <w:r w:rsidRPr="00374801">
        <w:rPr>
          <w:rFonts w:ascii="Times New Roman" w:hAnsi="Times New Roman"/>
          <w:sz w:val="20"/>
          <w:szCs w:val="20"/>
        </w:rPr>
        <w:t xml:space="preserve"> theo tỷ giá tại các tổ chức tín dụng (“TCTD”) được phép kinh doanh ngoại hối tại ngày tính toán.</w:t>
      </w:r>
    </w:p>
    <w:p w:rsidR="00F836D2" w:rsidRPr="00374801" w:rsidRDefault="00F836D2" w:rsidP="00F63C39">
      <w:pPr>
        <w:ind w:left="720"/>
        <w:jc w:val="both"/>
        <w:rPr>
          <w:rFonts w:ascii="Times New Roman" w:hAnsi="Times New Roman"/>
          <w:sz w:val="20"/>
          <w:szCs w:val="20"/>
        </w:rPr>
      </w:pPr>
      <w:r w:rsidRPr="00374801">
        <w:rPr>
          <w:rFonts w:ascii="Times New Roman" w:hAnsi="Times New Roman"/>
          <w:sz w:val="20"/>
          <w:szCs w:val="20"/>
        </w:rPr>
        <w:t>Giá trị của tiền g</w:t>
      </w:r>
      <w:r w:rsidR="0010066D">
        <w:rPr>
          <w:rFonts w:ascii="Times New Roman" w:hAnsi="Times New Roman"/>
          <w:sz w:val="20"/>
          <w:szCs w:val="20"/>
        </w:rPr>
        <w:t>ửi</w:t>
      </w:r>
      <w:r w:rsidRPr="00374801">
        <w:rPr>
          <w:rFonts w:ascii="Times New Roman" w:hAnsi="Times New Roman"/>
          <w:sz w:val="20"/>
          <w:szCs w:val="20"/>
        </w:rPr>
        <w:t xml:space="preserve"> kỳ hạn và các công cụ thị trường tiền tệ bằng giá trị tiền gửi/giá mua cộng lãi luỹ kế chưa được thanh toán tới ngày tính toán.</w:t>
      </w:r>
    </w:p>
    <w:p w:rsidR="00F836D2" w:rsidRPr="00374801" w:rsidRDefault="00F836D2" w:rsidP="008F5D46">
      <w:pPr>
        <w:tabs>
          <w:tab w:val="left" w:pos="1080"/>
        </w:tabs>
        <w:ind w:left="90" w:firstLine="630"/>
        <w:jc w:val="both"/>
        <w:rPr>
          <w:rFonts w:ascii="Times New Roman" w:hAnsi="Times New Roman"/>
          <w:i/>
          <w:sz w:val="20"/>
          <w:szCs w:val="20"/>
        </w:rPr>
      </w:pPr>
      <w:r w:rsidRPr="00374801">
        <w:rPr>
          <w:rFonts w:ascii="Times New Roman" w:hAnsi="Times New Roman"/>
          <w:i/>
          <w:sz w:val="20"/>
          <w:szCs w:val="20"/>
        </w:rPr>
        <w:t>b.</w:t>
      </w:r>
      <w:r w:rsidRPr="00374801">
        <w:rPr>
          <w:rFonts w:ascii="Times New Roman" w:hAnsi="Times New Roman"/>
          <w:i/>
          <w:sz w:val="20"/>
          <w:szCs w:val="20"/>
        </w:rPr>
        <w:tab/>
        <w:t>Trái phiếu</w:t>
      </w:r>
    </w:p>
    <w:p w:rsidR="00F836D2" w:rsidRPr="00374801" w:rsidRDefault="00F836D2" w:rsidP="00F63C39">
      <w:pPr>
        <w:spacing w:after="120"/>
        <w:ind w:left="720"/>
        <w:jc w:val="both"/>
        <w:rPr>
          <w:rFonts w:ascii="Times New Roman" w:hAnsi="Times New Roman"/>
          <w:sz w:val="20"/>
          <w:szCs w:val="20"/>
        </w:rPr>
      </w:pPr>
      <w:r w:rsidRPr="00374801">
        <w:rPr>
          <w:rFonts w:ascii="Times New Roman" w:hAnsi="Times New Roman"/>
          <w:sz w:val="20"/>
          <w:szCs w:val="20"/>
        </w:rPr>
        <w:t>Giá trị của trái phiếu niêm yết là giá niêm yết bình quân trên hệ thống giao dịch tại Sở giao dịch Chứng khoán tại ngày gần nhất cộng lãi lũy kế. Trong trường hợp trái phiếu không có giao dịch trong vòng nhiều hơn hai tuần tính đến ngày tính toán, là giá trị lớn nhất trong các giá trị</w:t>
      </w:r>
      <w:r w:rsidR="00476DA8">
        <w:rPr>
          <w:rFonts w:ascii="Times New Roman" w:hAnsi="Times New Roman"/>
          <w:sz w:val="20"/>
          <w:szCs w:val="20"/>
        </w:rPr>
        <w:t xml:space="preserve"> sau</w:t>
      </w:r>
      <w:r w:rsidRPr="00374801">
        <w:rPr>
          <w:rFonts w:ascii="Times New Roman" w:hAnsi="Times New Roman"/>
          <w:sz w:val="20"/>
          <w:szCs w:val="20"/>
        </w:rPr>
        <w:t>: Giá mua; Mệ</w:t>
      </w:r>
      <w:r w:rsidR="00476DA8">
        <w:rPr>
          <w:rFonts w:ascii="Times New Roman" w:hAnsi="Times New Roman"/>
          <w:sz w:val="20"/>
          <w:szCs w:val="20"/>
        </w:rPr>
        <w:t>nh giá</w:t>
      </w:r>
      <w:r w:rsidRPr="00374801">
        <w:rPr>
          <w:rFonts w:ascii="Times New Roman" w:hAnsi="Times New Roman"/>
          <w:sz w:val="20"/>
          <w:szCs w:val="20"/>
        </w:rPr>
        <w:t>; Giá xác định theo phương pháp nội bộ, bao gồm cả lãi lũy kế.</w:t>
      </w:r>
    </w:p>
    <w:p w:rsidR="00F91398" w:rsidRPr="00374801" w:rsidRDefault="00F836D2" w:rsidP="00F63C39">
      <w:pPr>
        <w:spacing w:after="0" w:line="240" w:lineRule="auto"/>
        <w:ind w:left="720"/>
        <w:jc w:val="both"/>
        <w:rPr>
          <w:rFonts w:ascii="Times New Roman" w:eastAsia="Times New Roman" w:hAnsi="Times New Roman"/>
          <w:b/>
          <w:sz w:val="20"/>
          <w:szCs w:val="20"/>
        </w:rPr>
      </w:pPr>
      <w:r w:rsidRPr="00374801">
        <w:rPr>
          <w:rFonts w:ascii="Times New Roman" w:hAnsi="Times New Roman"/>
          <w:sz w:val="20"/>
          <w:szCs w:val="20"/>
        </w:rPr>
        <w:t>Giá trị của trái phiếu chưa niêm yết là giá trị lớn nhất trong các giá trị</w:t>
      </w:r>
      <w:r w:rsidR="00476DA8">
        <w:rPr>
          <w:rFonts w:ascii="Times New Roman" w:hAnsi="Times New Roman"/>
          <w:sz w:val="20"/>
          <w:szCs w:val="20"/>
        </w:rPr>
        <w:t xml:space="preserve"> sau</w:t>
      </w:r>
      <w:r w:rsidRPr="00374801">
        <w:rPr>
          <w:rFonts w:ascii="Times New Roman" w:hAnsi="Times New Roman"/>
          <w:sz w:val="20"/>
          <w:szCs w:val="20"/>
        </w:rPr>
        <w:t>: Giá niêm yết trên các hệ thống báo giá do Công ty lựa chọn (nế</w:t>
      </w:r>
      <w:r w:rsidR="00476DA8">
        <w:rPr>
          <w:rFonts w:ascii="Times New Roman" w:hAnsi="Times New Roman"/>
          <w:sz w:val="20"/>
          <w:szCs w:val="20"/>
        </w:rPr>
        <w:t>u có)</w:t>
      </w:r>
      <w:r w:rsidRPr="00374801">
        <w:rPr>
          <w:rFonts w:ascii="Times New Roman" w:hAnsi="Times New Roman"/>
          <w:sz w:val="20"/>
          <w:szCs w:val="20"/>
        </w:rPr>
        <w:t>; Giá mua cộng lãi lũy kế; Giá xác định theo phương pháp nội bộ,</w:t>
      </w:r>
      <w:r w:rsidR="00476DA8">
        <w:rPr>
          <w:rFonts w:ascii="Times New Roman" w:hAnsi="Times New Roman"/>
          <w:sz w:val="20"/>
          <w:szCs w:val="20"/>
        </w:rPr>
        <w:t xml:space="preserve"> </w:t>
      </w:r>
      <w:r w:rsidRPr="00374801">
        <w:rPr>
          <w:rFonts w:ascii="Times New Roman" w:hAnsi="Times New Roman"/>
          <w:sz w:val="20"/>
          <w:szCs w:val="20"/>
        </w:rPr>
        <w:t>bao gồm cả lãi lũy kế.</w:t>
      </w:r>
    </w:p>
    <w:p w:rsidR="00CE0746" w:rsidRPr="00374801" w:rsidRDefault="00CE0746" w:rsidP="00CE0746">
      <w:pPr>
        <w:spacing w:after="0" w:line="240" w:lineRule="auto"/>
        <w:jc w:val="both"/>
        <w:rPr>
          <w:rFonts w:ascii="Times New Roman" w:eastAsia="Times New Roman" w:hAnsi="Times New Roman"/>
          <w:b/>
          <w:sz w:val="20"/>
          <w:szCs w:val="20"/>
        </w:rPr>
      </w:pPr>
    </w:p>
    <w:p w:rsidR="00853829" w:rsidRPr="00374801" w:rsidRDefault="00853829" w:rsidP="00CE0746">
      <w:pPr>
        <w:spacing w:after="0" w:line="240" w:lineRule="auto"/>
        <w:jc w:val="both"/>
        <w:rPr>
          <w:rFonts w:ascii="Times New Roman" w:eastAsia="Times New Roman" w:hAnsi="Times New Roman"/>
          <w:b/>
          <w:sz w:val="20"/>
          <w:szCs w:val="20"/>
        </w:rPr>
      </w:pPr>
    </w:p>
    <w:p w:rsidR="000A6127" w:rsidRDefault="000A6127" w:rsidP="000A6127">
      <w:pPr>
        <w:spacing w:after="0" w:line="240" w:lineRule="auto"/>
        <w:jc w:val="both"/>
        <w:rPr>
          <w:rFonts w:ascii="Times New Roman" w:hAnsi="Times New Roman"/>
          <w:b/>
          <w:sz w:val="20"/>
          <w:szCs w:val="20"/>
        </w:rPr>
      </w:pPr>
    </w:p>
    <w:p w:rsidR="00D85C28" w:rsidRPr="00374801" w:rsidRDefault="00D85C28" w:rsidP="000A6127">
      <w:pPr>
        <w:spacing w:after="0" w:line="240" w:lineRule="auto"/>
        <w:jc w:val="both"/>
        <w:rPr>
          <w:rFonts w:ascii="Times New Roman" w:hAnsi="Times New Roman"/>
          <w:b/>
          <w:sz w:val="20"/>
          <w:szCs w:val="20"/>
        </w:rPr>
      </w:pPr>
    </w:p>
    <w:p w:rsidR="00D85C28" w:rsidRDefault="00D85C28" w:rsidP="00D85C28">
      <w:pPr>
        <w:tabs>
          <w:tab w:val="left" w:pos="630"/>
          <w:tab w:val="right" w:pos="9360"/>
        </w:tabs>
        <w:spacing w:after="0"/>
        <w:ind w:right="14"/>
        <w:jc w:val="both"/>
        <w:rPr>
          <w:rFonts w:ascii="Times New Roman" w:hAnsi="Times New Roman"/>
          <w:b/>
          <w:sz w:val="20"/>
          <w:szCs w:val="20"/>
        </w:rPr>
      </w:pPr>
    </w:p>
    <w:p w:rsidR="00836D2E" w:rsidRPr="00374801" w:rsidRDefault="00836D2E" w:rsidP="00836D2E">
      <w:pPr>
        <w:tabs>
          <w:tab w:val="left" w:pos="630"/>
          <w:tab w:val="right" w:pos="9360"/>
        </w:tabs>
        <w:ind w:right="18"/>
        <w:jc w:val="both"/>
        <w:rPr>
          <w:rFonts w:ascii="Times New Roman" w:hAnsi="Times New Roman"/>
          <w:b/>
          <w:sz w:val="20"/>
          <w:szCs w:val="20"/>
        </w:rPr>
      </w:pPr>
      <w:r w:rsidRPr="00374801">
        <w:rPr>
          <w:rFonts w:ascii="Times New Roman" w:hAnsi="Times New Roman"/>
          <w:b/>
          <w:sz w:val="20"/>
          <w:szCs w:val="20"/>
        </w:rPr>
        <w:t>3.3</w:t>
      </w:r>
      <w:r w:rsidRPr="00374801">
        <w:rPr>
          <w:rFonts w:ascii="Times New Roman" w:hAnsi="Times New Roman"/>
          <w:b/>
          <w:sz w:val="20"/>
          <w:szCs w:val="20"/>
        </w:rPr>
        <w:tab/>
        <w:t xml:space="preserve"> Giá trị rủi ro thị trường (</w:t>
      </w:r>
      <w:r w:rsidRPr="00374801">
        <w:rPr>
          <w:rFonts w:ascii="Times New Roman" w:hAnsi="Times New Roman"/>
          <w:sz w:val="20"/>
          <w:szCs w:val="20"/>
        </w:rPr>
        <w:t>tiếp theo)</w:t>
      </w:r>
    </w:p>
    <w:p w:rsidR="00836D2E" w:rsidRPr="00374801" w:rsidRDefault="00836D2E" w:rsidP="00836D2E">
      <w:pPr>
        <w:tabs>
          <w:tab w:val="left" w:pos="720"/>
          <w:tab w:val="right" w:pos="9360"/>
        </w:tabs>
        <w:ind w:right="18"/>
        <w:jc w:val="both"/>
        <w:rPr>
          <w:rFonts w:ascii="Times New Roman" w:hAnsi="Times New Roman"/>
          <w:b/>
          <w:sz w:val="20"/>
          <w:szCs w:val="20"/>
        </w:rPr>
      </w:pPr>
      <w:r w:rsidRPr="00374801">
        <w:rPr>
          <w:rFonts w:ascii="Times New Roman" w:hAnsi="Times New Roman"/>
          <w:b/>
          <w:sz w:val="20"/>
          <w:szCs w:val="20"/>
        </w:rPr>
        <w:t xml:space="preserve">3.3.2 </w:t>
      </w:r>
      <w:r w:rsidRPr="00374801">
        <w:rPr>
          <w:rFonts w:ascii="Times New Roman" w:hAnsi="Times New Roman"/>
          <w:b/>
          <w:sz w:val="20"/>
          <w:szCs w:val="20"/>
        </w:rPr>
        <w:tab/>
        <w:t>Giá tài sản (</w:t>
      </w:r>
      <w:r w:rsidRPr="00374801">
        <w:rPr>
          <w:rFonts w:ascii="Times New Roman" w:hAnsi="Times New Roman"/>
          <w:sz w:val="20"/>
          <w:szCs w:val="20"/>
        </w:rPr>
        <w:t>tiếp theo)</w:t>
      </w:r>
    </w:p>
    <w:p w:rsidR="00836D2E" w:rsidRPr="00374801" w:rsidRDefault="00E06C35" w:rsidP="00E06C35">
      <w:pPr>
        <w:tabs>
          <w:tab w:val="left" w:pos="720"/>
          <w:tab w:val="left" w:pos="1080"/>
          <w:tab w:val="right" w:pos="9360"/>
        </w:tabs>
        <w:ind w:right="18"/>
        <w:jc w:val="both"/>
        <w:rPr>
          <w:rFonts w:ascii="Times New Roman" w:hAnsi="Times New Roman"/>
          <w:i/>
          <w:sz w:val="20"/>
          <w:szCs w:val="20"/>
        </w:rPr>
      </w:pPr>
      <w:r w:rsidRPr="00374801">
        <w:rPr>
          <w:rFonts w:ascii="Times New Roman" w:hAnsi="Times New Roman"/>
          <w:i/>
          <w:sz w:val="20"/>
          <w:szCs w:val="20"/>
        </w:rPr>
        <w:tab/>
      </w:r>
      <w:r w:rsidR="00836D2E" w:rsidRPr="00374801">
        <w:rPr>
          <w:rFonts w:ascii="Times New Roman" w:hAnsi="Times New Roman"/>
          <w:i/>
          <w:sz w:val="20"/>
          <w:szCs w:val="20"/>
        </w:rPr>
        <w:t>c.</w:t>
      </w:r>
      <w:r w:rsidR="00836D2E" w:rsidRPr="00374801">
        <w:rPr>
          <w:rFonts w:ascii="Times New Roman" w:hAnsi="Times New Roman"/>
          <w:i/>
          <w:sz w:val="20"/>
          <w:szCs w:val="20"/>
        </w:rPr>
        <w:tab/>
        <w:t>Cổ phiếu</w:t>
      </w:r>
    </w:p>
    <w:p w:rsidR="00836D2E" w:rsidRPr="00374801" w:rsidRDefault="007A7D4F" w:rsidP="00836D2E">
      <w:pPr>
        <w:tabs>
          <w:tab w:val="left" w:pos="720"/>
          <w:tab w:val="right" w:pos="9360"/>
        </w:tabs>
        <w:ind w:left="720" w:right="18"/>
        <w:jc w:val="both"/>
        <w:rPr>
          <w:rFonts w:ascii="Times New Roman" w:hAnsi="Times New Roman"/>
          <w:sz w:val="20"/>
          <w:szCs w:val="20"/>
        </w:rPr>
      </w:pPr>
      <w:r w:rsidRPr="00374801">
        <w:rPr>
          <w:rFonts w:ascii="Times New Roman" w:hAnsi="Times New Roman"/>
          <w:sz w:val="20"/>
          <w:szCs w:val="20"/>
        </w:rPr>
        <w:t xml:space="preserve">Giá trị của cổ phiếu niêm yết là giá đóng cửa tại ngày giao dịch gần nhất đối với cổ phiếu niêm yết trên </w:t>
      </w:r>
      <w:r w:rsidRPr="00673B78">
        <w:rPr>
          <w:rFonts w:ascii="Times New Roman" w:hAnsi="Times New Roman"/>
          <w:sz w:val="20"/>
          <w:szCs w:val="20"/>
        </w:rPr>
        <w:t xml:space="preserve">Sở giao dịch Chứng khoán Hồ Chí Minh và </w:t>
      </w:r>
      <w:r w:rsidRPr="00673B78">
        <w:rPr>
          <w:rFonts w:ascii="Times New Roman" w:hAnsi="Times New Roman"/>
          <w:color w:val="000000"/>
          <w:sz w:val="20"/>
          <w:szCs w:val="20"/>
        </w:rPr>
        <w:t xml:space="preserve">Sở </w:t>
      </w:r>
      <w:r>
        <w:rPr>
          <w:rFonts w:ascii="Times New Roman" w:hAnsi="Times New Roman"/>
          <w:color w:val="000000"/>
          <w:sz w:val="20"/>
          <w:szCs w:val="20"/>
        </w:rPr>
        <w:t>Giao dịch Chứng khoán Hà Nội</w:t>
      </w:r>
      <w:r w:rsidR="00836D2E" w:rsidRPr="00374801">
        <w:rPr>
          <w:rFonts w:ascii="Times New Roman" w:hAnsi="Times New Roman"/>
          <w:sz w:val="20"/>
          <w:szCs w:val="20"/>
        </w:rPr>
        <w:t>.</w:t>
      </w:r>
    </w:p>
    <w:p w:rsidR="00836D2E" w:rsidRPr="00374801" w:rsidRDefault="00836D2E" w:rsidP="00836D2E">
      <w:pPr>
        <w:tabs>
          <w:tab w:val="left" w:pos="720"/>
          <w:tab w:val="right" w:pos="9360"/>
        </w:tabs>
        <w:ind w:left="720" w:right="18"/>
        <w:jc w:val="both"/>
        <w:rPr>
          <w:rFonts w:ascii="Times New Roman" w:hAnsi="Times New Roman"/>
          <w:sz w:val="20"/>
          <w:szCs w:val="20"/>
        </w:rPr>
      </w:pPr>
      <w:r w:rsidRPr="00374801">
        <w:rPr>
          <w:rFonts w:ascii="Times New Roman" w:hAnsi="Times New Roman"/>
          <w:sz w:val="20"/>
          <w:szCs w:val="20"/>
        </w:rPr>
        <w:t>Giá trị của cổ phiếu Công ty đại chúng đăng ký giao dịch trên UpCom là giá giao dịch bình quân của ngày giao dịch gần nhất trước ngày tính toán.</w:t>
      </w:r>
    </w:p>
    <w:p w:rsidR="00836D2E" w:rsidRPr="00374801" w:rsidRDefault="00836D2E" w:rsidP="00836D2E">
      <w:pPr>
        <w:tabs>
          <w:tab w:val="left" w:pos="720"/>
          <w:tab w:val="right" w:pos="9360"/>
        </w:tabs>
        <w:ind w:left="720" w:right="18"/>
        <w:jc w:val="both"/>
        <w:rPr>
          <w:rFonts w:ascii="Times New Roman" w:hAnsi="Times New Roman"/>
          <w:sz w:val="20"/>
          <w:szCs w:val="20"/>
        </w:rPr>
      </w:pPr>
      <w:r w:rsidRPr="00374801">
        <w:rPr>
          <w:rFonts w:ascii="Times New Roman" w:hAnsi="Times New Roman"/>
          <w:sz w:val="20"/>
          <w:szCs w:val="20"/>
        </w:rPr>
        <w:t>Trường hợp cổ phiếu niêm yết hoặc cổ phiếu đăng ký giao dịch trên sàn UpCom không có giao dịch trong vòng nhiều hơn hai (2) tuần tính đến ngày tính toán, hoặc cổ phiếu bị đình chỉ giao dịch, hủy niêm yết hoặc hủy đăng ký giao dịch, giá trị cổ phiếu là giá trị lớn nhất trong các giá trị</w:t>
      </w:r>
      <w:r w:rsidR="00476DA8">
        <w:rPr>
          <w:rFonts w:ascii="Times New Roman" w:hAnsi="Times New Roman"/>
          <w:sz w:val="20"/>
          <w:szCs w:val="20"/>
        </w:rPr>
        <w:t xml:space="preserve"> sau</w:t>
      </w:r>
      <w:r w:rsidRPr="00374801">
        <w:rPr>
          <w:rFonts w:ascii="Times New Roman" w:hAnsi="Times New Roman"/>
          <w:sz w:val="20"/>
          <w:szCs w:val="20"/>
        </w:rPr>
        <w:t>: Giá trị sổ sách, Giá mua, Giá theo phương pháp nội bộ cuả Công ty.</w:t>
      </w:r>
    </w:p>
    <w:p w:rsidR="00836D2E" w:rsidRPr="00374801" w:rsidRDefault="00836D2E" w:rsidP="00836D2E">
      <w:pPr>
        <w:tabs>
          <w:tab w:val="left" w:pos="720"/>
          <w:tab w:val="right" w:pos="9360"/>
        </w:tabs>
        <w:ind w:left="720" w:right="18"/>
        <w:jc w:val="both"/>
        <w:rPr>
          <w:rFonts w:ascii="Times New Roman" w:hAnsi="Times New Roman"/>
          <w:sz w:val="20"/>
          <w:szCs w:val="20"/>
        </w:rPr>
      </w:pPr>
      <w:r w:rsidRPr="00374801">
        <w:rPr>
          <w:rFonts w:ascii="Times New Roman" w:hAnsi="Times New Roman"/>
          <w:sz w:val="20"/>
          <w:szCs w:val="20"/>
        </w:rPr>
        <w:t>Giá trị của cổ phiếu đã đăng ký, lưu ký nhưng chưa niêm yết,chưa đăng ký giao dịch là giá trị trung bình dựa trên báo giá của tối thiểu ba (3) công ty chứng khoán không liên quan tới Công ty tại ngày giao dịch gần nhất trước thời điểm tính toán.Trường hợp cổ phiếu không có đủ báo giá từ tối thiểu ba (3) công ty chứng khoán, giá trị của cổ phiếu là giá trị lớn nhất trong các giá trị sau: Giá từ các báo giá; Giá của kỳ báo cáo gần nhất; Giá trị sổ sách; Giá mua; Giá theo quy định nội bộ của Công ty.</w:t>
      </w:r>
    </w:p>
    <w:p w:rsidR="00836D2E" w:rsidRPr="00374801" w:rsidRDefault="00E06C35" w:rsidP="00E06C35">
      <w:pPr>
        <w:tabs>
          <w:tab w:val="left" w:pos="720"/>
          <w:tab w:val="left" w:pos="1080"/>
          <w:tab w:val="right" w:pos="9360"/>
        </w:tabs>
        <w:ind w:left="90" w:right="18"/>
        <w:jc w:val="both"/>
        <w:rPr>
          <w:rFonts w:ascii="Times New Roman" w:hAnsi="Times New Roman"/>
          <w:i/>
          <w:sz w:val="20"/>
          <w:szCs w:val="20"/>
        </w:rPr>
      </w:pPr>
      <w:r w:rsidRPr="00374801">
        <w:rPr>
          <w:rFonts w:ascii="Times New Roman" w:hAnsi="Times New Roman"/>
          <w:i/>
          <w:sz w:val="20"/>
          <w:szCs w:val="20"/>
        </w:rPr>
        <w:tab/>
      </w:r>
      <w:r w:rsidR="00836D2E" w:rsidRPr="00374801">
        <w:rPr>
          <w:rFonts w:ascii="Times New Roman" w:hAnsi="Times New Roman"/>
          <w:i/>
          <w:sz w:val="20"/>
          <w:szCs w:val="20"/>
        </w:rPr>
        <w:t>d.</w:t>
      </w:r>
      <w:r w:rsidR="00836D2E" w:rsidRPr="00374801">
        <w:rPr>
          <w:rFonts w:ascii="Times New Roman" w:hAnsi="Times New Roman"/>
          <w:i/>
          <w:sz w:val="20"/>
          <w:szCs w:val="20"/>
        </w:rPr>
        <w:tab/>
        <w:t>Quỹ/Cổ phiếu của Công ty đầu tư chứng khoán</w:t>
      </w:r>
    </w:p>
    <w:p w:rsidR="00836D2E" w:rsidRPr="00374801" w:rsidRDefault="00836D2E" w:rsidP="00836D2E">
      <w:pPr>
        <w:tabs>
          <w:tab w:val="left" w:pos="720"/>
          <w:tab w:val="right" w:pos="9360"/>
        </w:tabs>
        <w:ind w:left="720" w:right="18"/>
        <w:jc w:val="both"/>
        <w:rPr>
          <w:rFonts w:ascii="Times New Roman" w:hAnsi="Times New Roman"/>
          <w:sz w:val="20"/>
          <w:szCs w:val="20"/>
        </w:rPr>
      </w:pPr>
      <w:r w:rsidRPr="00374801">
        <w:rPr>
          <w:rFonts w:ascii="Times New Roman" w:hAnsi="Times New Roman"/>
          <w:sz w:val="20"/>
          <w:szCs w:val="20"/>
        </w:rPr>
        <w:t>Giá trị quỹ đóng đại chúng là giá đóng cửa của ngày giao dịch gần nhất ngày tính toán.Trường hợp quỹ đóng đại chúng không có giao dịch nhiều hơn hai (2) tuần tính đế</w:t>
      </w:r>
      <w:r w:rsidR="00476DA8">
        <w:rPr>
          <w:rFonts w:ascii="Times New Roman" w:hAnsi="Times New Roman"/>
          <w:sz w:val="20"/>
          <w:szCs w:val="20"/>
        </w:rPr>
        <w:t>n ngày tính toán</w:t>
      </w:r>
      <w:r w:rsidRPr="00374801">
        <w:rPr>
          <w:rFonts w:ascii="Times New Roman" w:hAnsi="Times New Roman"/>
          <w:sz w:val="20"/>
          <w:szCs w:val="20"/>
        </w:rPr>
        <w:t>, giá trị quỹ được tính bằng (Giá trị tài sản ròng (“NAV”)/1 Chứng từ quỹ) tại kỳ báo cáo gần nhất trước ngày tính toán.</w:t>
      </w:r>
    </w:p>
    <w:p w:rsidR="00836D2E" w:rsidRPr="00374801" w:rsidRDefault="00836D2E" w:rsidP="00836D2E">
      <w:pPr>
        <w:tabs>
          <w:tab w:val="left" w:pos="720"/>
          <w:tab w:val="right" w:pos="9360"/>
        </w:tabs>
        <w:ind w:left="720" w:right="18"/>
        <w:jc w:val="both"/>
        <w:rPr>
          <w:rFonts w:ascii="Times New Roman" w:hAnsi="Times New Roman"/>
          <w:sz w:val="20"/>
          <w:szCs w:val="20"/>
        </w:rPr>
      </w:pPr>
      <w:r w:rsidRPr="00374801">
        <w:rPr>
          <w:rFonts w:ascii="Times New Roman" w:hAnsi="Times New Roman"/>
          <w:sz w:val="20"/>
          <w:szCs w:val="20"/>
        </w:rPr>
        <w:t>Giá trị Quỹ thành viên/Quỹ mở/Cổ phiếu của Công ty đầu tư chứng khoán phát hành riêng lẻ bằng NAV trên một đơn vị phần vốn góp/đơn vị chứng chỉ quỹ/cổ phiếu tại kỳ báo cáo gần nhất trước ngày tính toán</w:t>
      </w:r>
      <w:r w:rsidR="00476DA8">
        <w:rPr>
          <w:rFonts w:ascii="Times New Roman" w:hAnsi="Times New Roman"/>
          <w:sz w:val="20"/>
          <w:szCs w:val="20"/>
        </w:rPr>
        <w:t>.</w:t>
      </w:r>
    </w:p>
    <w:p w:rsidR="00836D2E" w:rsidRPr="00374801" w:rsidRDefault="00C6560C" w:rsidP="00C6560C">
      <w:pPr>
        <w:tabs>
          <w:tab w:val="left" w:pos="720"/>
          <w:tab w:val="right" w:pos="9360"/>
        </w:tabs>
        <w:ind w:right="18"/>
        <w:jc w:val="both"/>
        <w:rPr>
          <w:rFonts w:ascii="Times New Roman" w:hAnsi="Times New Roman"/>
          <w:b/>
          <w:sz w:val="20"/>
          <w:szCs w:val="20"/>
        </w:rPr>
      </w:pPr>
      <w:r w:rsidRPr="00374801">
        <w:rPr>
          <w:rFonts w:ascii="Times New Roman" w:hAnsi="Times New Roman"/>
          <w:b/>
          <w:sz w:val="20"/>
          <w:szCs w:val="20"/>
        </w:rPr>
        <w:t>3.3.3</w:t>
      </w:r>
      <w:r w:rsidRPr="00374801">
        <w:rPr>
          <w:rFonts w:ascii="Times New Roman" w:hAnsi="Times New Roman"/>
          <w:b/>
          <w:sz w:val="20"/>
          <w:szCs w:val="20"/>
        </w:rPr>
        <w:tab/>
        <w:t>Giá</w:t>
      </w:r>
      <w:r w:rsidR="00836D2E" w:rsidRPr="00374801">
        <w:rPr>
          <w:rFonts w:ascii="Times New Roman" w:hAnsi="Times New Roman"/>
          <w:b/>
          <w:sz w:val="20"/>
          <w:szCs w:val="20"/>
        </w:rPr>
        <w:t xml:space="preserve"> trị rủi ro tăng thêm</w:t>
      </w:r>
    </w:p>
    <w:p w:rsidR="00836D2E" w:rsidRPr="00374801" w:rsidRDefault="00836D2E" w:rsidP="00836D2E">
      <w:pPr>
        <w:tabs>
          <w:tab w:val="left" w:pos="810"/>
          <w:tab w:val="right" w:pos="9360"/>
        </w:tabs>
        <w:ind w:left="720" w:right="18"/>
        <w:jc w:val="both"/>
        <w:rPr>
          <w:rFonts w:ascii="Times New Roman" w:hAnsi="Times New Roman"/>
          <w:sz w:val="20"/>
          <w:szCs w:val="20"/>
        </w:rPr>
      </w:pPr>
      <w:r w:rsidRPr="00374801">
        <w:rPr>
          <w:rFonts w:ascii="Times New Roman" w:hAnsi="Times New Roman"/>
          <w:sz w:val="20"/>
          <w:szCs w:val="20"/>
        </w:rPr>
        <w:t>Giá trị rủi ro thị trường của các tài sản sẽ được điều chỉnh tăng thêm trong trường hợp Công ty đầu tư quá nhiều vào tài sản đó, ngoại trừ chứng khoán đang trong thời gian bảo lãnh phát hành theo hình thức cam kết chắc chắn, trái phiếu Chính phủ, trái phiếu được Chính phủ bảo lãnh. Giá trị rủi ro được điều chỉnh tăng theo nguyên tắc sau:</w:t>
      </w:r>
    </w:p>
    <w:p w:rsidR="00836D2E" w:rsidRPr="00374801" w:rsidRDefault="00836D2E" w:rsidP="00E06C35">
      <w:pPr>
        <w:pStyle w:val="ListParagraph"/>
        <w:numPr>
          <w:ilvl w:val="3"/>
          <w:numId w:val="21"/>
        </w:numPr>
        <w:tabs>
          <w:tab w:val="left" w:pos="1080"/>
        </w:tabs>
        <w:ind w:left="1080" w:right="18"/>
        <w:jc w:val="both"/>
        <w:rPr>
          <w:rFonts w:ascii="Times New Roman" w:hAnsi="Times New Roman"/>
          <w:sz w:val="20"/>
          <w:szCs w:val="20"/>
        </w:rPr>
      </w:pPr>
      <w:r w:rsidRPr="00374801">
        <w:rPr>
          <w:rFonts w:ascii="Times New Roman" w:hAnsi="Times New Roman"/>
          <w:sz w:val="20"/>
          <w:szCs w:val="20"/>
        </w:rPr>
        <w:t>Tăng thêm 10% trong trường hợp giá trị của khoản đầu tư này chiếm từ 10% tới 15% Vốn chủ sở hữu của Công ty;</w:t>
      </w:r>
    </w:p>
    <w:p w:rsidR="00836D2E" w:rsidRPr="00374801" w:rsidRDefault="00836D2E" w:rsidP="00E06C35">
      <w:pPr>
        <w:pStyle w:val="ListParagraph"/>
        <w:numPr>
          <w:ilvl w:val="3"/>
          <w:numId w:val="21"/>
        </w:numPr>
        <w:tabs>
          <w:tab w:val="left" w:pos="1080"/>
        </w:tabs>
        <w:ind w:left="1080" w:right="18"/>
        <w:jc w:val="both"/>
        <w:rPr>
          <w:rFonts w:ascii="Times New Roman" w:hAnsi="Times New Roman"/>
          <w:sz w:val="20"/>
          <w:szCs w:val="20"/>
        </w:rPr>
      </w:pPr>
      <w:r w:rsidRPr="00374801">
        <w:rPr>
          <w:rFonts w:ascii="Times New Roman" w:hAnsi="Times New Roman"/>
          <w:sz w:val="20"/>
          <w:szCs w:val="20"/>
        </w:rPr>
        <w:t>Tăng thêm  20% trong trường hợp giá trị của khoản đầu tư này chiếm từ 15% tới 25% Vốn chủ sở hữu của Công ty;</w:t>
      </w:r>
    </w:p>
    <w:p w:rsidR="00836D2E" w:rsidRPr="00374801" w:rsidRDefault="00836D2E" w:rsidP="00E06C35">
      <w:pPr>
        <w:pStyle w:val="ListParagraph"/>
        <w:numPr>
          <w:ilvl w:val="3"/>
          <w:numId w:val="21"/>
        </w:numPr>
        <w:tabs>
          <w:tab w:val="left" w:pos="1080"/>
        </w:tabs>
        <w:ind w:left="1080" w:right="18"/>
        <w:jc w:val="both"/>
        <w:rPr>
          <w:rFonts w:ascii="Times New Roman" w:hAnsi="Times New Roman"/>
          <w:sz w:val="20"/>
          <w:szCs w:val="20"/>
        </w:rPr>
      </w:pPr>
      <w:r w:rsidRPr="00374801">
        <w:rPr>
          <w:rFonts w:ascii="Times New Roman" w:hAnsi="Times New Roman"/>
          <w:sz w:val="20"/>
          <w:szCs w:val="20"/>
        </w:rPr>
        <w:t>Tăng thêm 30% trong trường hợp giá trị của khoản đầu tư này chiếm từ 25% trở lên Vốn chủ sở hữu của Công ty;</w:t>
      </w:r>
    </w:p>
    <w:p w:rsidR="000A6127" w:rsidRPr="00374801" w:rsidRDefault="00836D2E" w:rsidP="00C6560C">
      <w:pPr>
        <w:spacing w:after="0" w:line="240" w:lineRule="auto"/>
        <w:ind w:left="720" w:right="18"/>
        <w:jc w:val="both"/>
        <w:rPr>
          <w:rFonts w:ascii="Times New Roman" w:eastAsia="Times New Roman" w:hAnsi="Times New Roman"/>
          <w:b/>
          <w:sz w:val="20"/>
          <w:szCs w:val="20"/>
        </w:rPr>
      </w:pPr>
      <w:r w:rsidRPr="00374801">
        <w:rPr>
          <w:rFonts w:ascii="Times New Roman" w:hAnsi="Times New Roman"/>
          <w:sz w:val="20"/>
          <w:szCs w:val="20"/>
        </w:rPr>
        <w:t>Các khoản cỗ tức, trái tức, giá trị quyền ưu đãi cuả chứng khoán (nếu có) hoặc lãi cho vay của tiền gửi, các khoản tương đương tiền, công cụ chuyển nhượ</w:t>
      </w:r>
      <w:r w:rsidR="002D0220">
        <w:rPr>
          <w:rFonts w:ascii="Times New Roman" w:hAnsi="Times New Roman"/>
          <w:sz w:val="20"/>
          <w:szCs w:val="20"/>
        </w:rPr>
        <w:t>ng</w:t>
      </w:r>
      <w:r w:rsidRPr="00374801">
        <w:rPr>
          <w:rFonts w:ascii="Times New Roman" w:hAnsi="Times New Roman"/>
          <w:sz w:val="20"/>
          <w:szCs w:val="20"/>
        </w:rPr>
        <w:t>,</w:t>
      </w:r>
      <w:r w:rsidR="002D0220">
        <w:rPr>
          <w:rFonts w:ascii="Times New Roman" w:hAnsi="Times New Roman"/>
          <w:sz w:val="20"/>
          <w:szCs w:val="20"/>
        </w:rPr>
        <w:t xml:space="preserve"> </w:t>
      </w:r>
      <w:r w:rsidRPr="00374801">
        <w:rPr>
          <w:rFonts w:ascii="Times New Roman" w:hAnsi="Times New Roman"/>
          <w:sz w:val="20"/>
          <w:szCs w:val="20"/>
        </w:rPr>
        <w:t>giấy tờ có giá được điều chỉnh tăng thêm vào giá trị tài sản khi xác định giá trị rủi ro thị trường.</w:t>
      </w:r>
    </w:p>
    <w:p w:rsidR="00853829" w:rsidRPr="00374801" w:rsidRDefault="00853829" w:rsidP="00CE0746">
      <w:pPr>
        <w:spacing w:after="0" w:line="240" w:lineRule="auto"/>
        <w:jc w:val="both"/>
        <w:rPr>
          <w:rFonts w:ascii="Times New Roman" w:eastAsia="Times New Roman" w:hAnsi="Times New Roman"/>
          <w:b/>
          <w:sz w:val="20"/>
          <w:szCs w:val="20"/>
        </w:rPr>
      </w:pPr>
    </w:p>
    <w:p w:rsidR="00196CA0" w:rsidRDefault="00196CA0" w:rsidP="00CE0746">
      <w:pPr>
        <w:spacing w:after="0" w:line="240" w:lineRule="auto"/>
        <w:jc w:val="both"/>
        <w:rPr>
          <w:rFonts w:ascii="Times New Roman" w:eastAsia="Times New Roman" w:hAnsi="Times New Roman"/>
          <w:b/>
          <w:sz w:val="20"/>
          <w:szCs w:val="20"/>
        </w:rPr>
      </w:pPr>
    </w:p>
    <w:p w:rsidR="00DD171C" w:rsidRPr="00374801" w:rsidRDefault="00DD171C" w:rsidP="00CE0746">
      <w:pPr>
        <w:spacing w:after="0" w:line="240" w:lineRule="auto"/>
        <w:jc w:val="both"/>
        <w:rPr>
          <w:rFonts w:ascii="Times New Roman" w:eastAsia="Times New Roman" w:hAnsi="Times New Roman"/>
          <w:b/>
          <w:sz w:val="20"/>
          <w:szCs w:val="20"/>
        </w:rPr>
      </w:pPr>
    </w:p>
    <w:p w:rsidR="00196CA0" w:rsidRDefault="00196CA0" w:rsidP="00CE0746">
      <w:pPr>
        <w:spacing w:after="0" w:line="240" w:lineRule="auto"/>
        <w:jc w:val="both"/>
        <w:rPr>
          <w:rFonts w:ascii="Times New Roman" w:eastAsia="Times New Roman" w:hAnsi="Times New Roman"/>
          <w:b/>
          <w:sz w:val="20"/>
          <w:szCs w:val="20"/>
        </w:rPr>
      </w:pPr>
    </w:p>
    <w:p w:rsidR="007A7D4F" w:rsidRPr="00374801" w:rsidRDefault="007A7D4F" w:rsidP="00CE0746">
      <w:pPr>
        <w:spacing w:after="0" w:line="240" w:lineRule="auto"/>
        <w:jc w:val="both"/>
        <w:rPr>
          <w:rFonts w:ascii="Times New Roman" w:eastAsia="Times New Roman" w:hAnsi="Times New Roman"/>
          <w:b/>
          <w:sz w:val="20"/>
          <w:szCs w:val="20"/>
        </w:rPr>
      </w:pPr>
    </w:p>
    <w:p w:rsidR="00196CA0" w:rsidRPr="00374801" w:rsidRDefault="00196CA0" w:rsidP="00CE0746">
      <w:pPr>
        <w:spacing w:after="0" w:line="240" w:lineRule="auto"/>
        <w:jc w:val="both"/>
        <w:rPr>
          <w:rFonts w:ascii="Times New Roman" w:eastAsia="Times New Roman" w:hAnsi="Times New Roman"/>
          <w:b/>
          <w:sz w:val="20"/>
          <w:szCs w:val="20"/>
        </w:rPr>
      </w:pPr>
    </w:p>
    <w:p w:rsidR="00196CA0" w:rsidRDefault="00196CA0" w:rsidP="00196CA0">
      <w:pPr>
        <w:spacing w:after="0" w:line="240" w:lineRule="auto"/>
        <w:jc w:val="both"/>
        <w:rPr>
          <w:rFonts w:ascii="Times New Roman" w:eastAsia="Times New Roman" w:hAnsi="Times New Roman"/>
          <w:sz w:val="20"/>
          <w:szCs w:val="20"/>
        </w:rPr>
      </w:pPr>
    </w:p>
    <w:p w:rsidR="00D85C28" w:rsidRDefault="00D85C28" w:rsidP="00196CA0">
      <w:pPr>
        <w:spacing w:after="0" w:line="240" w:lineRule="auto"/>
        <w:jc w:val="both"/>
        <w:rPr>
          <w:rFonts w:ascii="Times New Roman" w:eastAsia="Times New Roman" w:hAnsi="Times New Roman"/>
          <w:sz w:val="20"/>
          <w:szCs w:val="20"/>
        </w:rPr>
      </w:pPr>
    </w:p>
    <w:p w:rsidR="00D85C28" w:rsidRPr="00374801" w:rsidRDefault="00D85C28" w:rsidP="00196CA0">
      <w:pPr>
        <w:spacing w:after="0" w:line="240" w:lineRule="auto"/>
        <w:jc w:val="both"/>
        <w:rPr>
          <w:rFonts w:ascii="Times New Roman" w:eastAsia="Times New Roman" w:hAnsi="Times New Roman"/>
          <w:sz w:val="20"/>
          <w:szCs w:val="20"/>
        </w:rPr>
      </w:pPr>
    </w:p>
    <w:p w:rsidR="00196CA0" w:rsidRPr="00374801" w:rsidRDefault="00196CA0" w:rsidP="00196CA0">
      <w:pPr>
        <w:ind w:right="18"/>
        <w:jc w:val="both"/>
        <w:rPr>
          <w:rFonts w:ascii="Times New Roman" w:hAnsi="Times New Roman"/>
          <w:b/>
          <w:sz w:val="20"/>
          <w:szCs w:val="20"/>
        </w:rPr>
      </w:pPr>
      <w:r w:rsidRPr="00374801">
        <w:rPr>
          <w:rFonts w:ascii="Times New Roman" w:hAnsi="Times New Roman"/>
          <w:b/>
          <w:sz w:val="20"/>
          <w:szCs w:val="20"/>
        </w:rPr>
        <w:t>3.4</w:t>
      </w:r>
      <w:r w:rsidRPr="00374801">
        <w:rPr>
          <w:rFonts w:ascii="Times New Roman" w:hAnsi="Times New Roman"/>
          <w:b/>
          <w:sz w:val="20"/>
          <w:szCs w:val="20"/>
        </w:rPr>
        <w:tab/>
        <w:t xml:space="preserve">Giá trị rủi ro thanh toán </w:t>
      </w:r>
    </w:p>
    <w:p w:rsidR="00196CA0" w:rsidRPr="00374801" w:rsidRDefault="00196CA0" w:rsidP="00196CA0">
      <w:pPr>
        <w:ind w:left="720" w:right="18"/>
        <w:jc w:val="both"/>
        <w:rPr>
          <w:rFonts w:ascii="Times New Roman" w:hAnsi="Times New Roman"/>
          <w:sz w:val="20"/>
          <w:szCs w:val="20"/>
        </w:rPr>
      </w:pPr>
      <w:r w:rsidRPr="00374801">
        <w:rPr>
          <w:rFonts w:ascii="Times New Roman" w:hAnsi="Times New Roman"/>
          <w:sz w:val="20"/>
          <w:szCs w:val="20"/>
        </w:rPr>
        <w:t>Giá trị rủi ro thanh toán là giá trị tương ứng với mức độ tổn thất có thể xảy ra khi đối tác không thể thanh toán đúng hạn hoặc chuyển giao tài sản đúng hạn như cam kết.Giá trị rủi ro thanh toán được xác định khi kết thúc ngày giao dịch cuả các hợp đồng, giao dịch như sau:</w:t>
      </w:r>
    </w:p>
    <w:p w:rsidR="00196CA0" w:rsidRPr="00374801" w:rsidRDefault="00196CA0" w:rsidP="00D64183">
      <w:pPr>
        <w:pStyle w:val="ListParagraph"/>
        <w:numPr>
          <w:ilvl w:val="0"/>
          <w:numId w:val="22"/>
        </w:numPr>
        <w:ind w:left="1080" w:right="18"/>
        <w:jc w:val="both"/>
        <w:rPr>
          <w:rFonts w:ascii="Times New Roman" w:hAnsi="Times New Roman"/>
          <w:sz w:val="20"/>
          <w:szCs w:val="20"/>
        </w:rPr>
      </w:pPr>
      <w:r w:rsidRPr="00374801">
        <w:rPr>
          <w:rFonts w:ascii="Times New Roman" w:hAnsi="Times New Roman"/>
          <w:sz w:val="20"/>
          <w:szCs w:val="20"/>
        </w:rPr>
        <w:t>Đối với các hợp đồng tiền gửi có kỳ hạn tại các tổ chức tín dụng ; các khoản cho vay đối với các tổ chức, cá nhân khác; hợp đồng vay, mượn chứng khoán phù hợp với quy định của pháp luậ</w:t>
      </w:r>
      <w:r w:rsidR="00476DA8">
        <w:rPr>
          <w:rFonts w:ascii="Times New Roman" w:hAnsi="Times New Roman"/>
          <w:sz w:val="20"/>
          <w:szCs w:val="20"/>
        </w:rPr>
        <w:t>t</w:t>
      </w:r>
      <w:r w:rsidRPr="00374801">
        <w:rPr>
          <w:rFonts w:ascii="Times New Roman" w:hAnsi="Times New Roman"/>
          <w:sz w:val="20"/>
          <w:szCs w:val="20"/>
        </w:rPr>
        <w:t>; hợp đồng bán có cam kết mua lại chứng khoán phù hợp với quy định của pháp luật; hợp đồng mua có cam kết bán lại chứng khoán phù hợp với quy định của pháp luật;</w:t>
      </w:r>
      <w:r w:rsidR="00476DA8">
        <w:rPr>
          <w:rFonts w:ascii="Times New Roman" w:hAnsi="Times New Roman"/>
          <w:sz w:val="20"/>
          <w:szCs w:val="20"/>
        </w:rPr>
        <w:t xml:space="preserve"> </w:t>
      </w:r>
      <w:r w:rsidRPr="00374801">
        <w:rPr>
          <w:rFonts w:ascii="Times New Roman" w:hAnsi="Times New Roman"/>
          <w:sz w:val="20"/>
          <w:szCs w:val="20"/>
        </w:rPr>
        <w:t>hợp đồng cho vay mua ký quỹ chứng khoán phù hợp với quy định của pháp luật; các khoản phải thu ,các khoản phải thu khác và các tài sản có khác tiềm ẩn rủi ro thanh toán, giá trị rủi ro thanh toán trước thời hạn nhận chuyển giao chứng khoán, tiền và thanh lý hợp đồ</w:t>
      </w:r>
      <w:r w:rsidR="00476DA8">
        <w:rPr>
          <w:rFonts w:ascii="Times New Roman" w:hAnsi="Times New Roman"/>
          <w:sz w:val="20"/>
          <w:szCs w:val="20"/>
        </w:rPr>
        <w:t>ng</w:t>
      </w:r>
      <w:r w:rsidRPr="00374801">
        <w:rPr>
          <w:rFonts w:ascii="Times New Roman" w:hAnsi="Times New Roman"/>
          <w:sz w:val="20"/>
          <w:szCs w:val="20"/>
        </w:rPr>
        <w:t>, được xác định theo công thức:</w:t>
      </w:r>
    </w:p>
    <w:p w:rsidR="00196CA0" w:rsidRPr="00374801" w:rsidRDefault="00196CA0" w:rsidP="00E06C35">
      <w:pPr>
        <w:tabs>
          <w:tab w:val="left" w:pos="810"/>
          <w:tab w:val="left" w:pos="1440"/>
          <w:tab w:val="left" w:pos="3420"/>
          <w:tab w:val="right" w:pos="9360"/>
        </w:tabs>
        <w:spacing w:after="0"/>
        <w:ind w:left="720" w:right="14"/>
        <w:jc w:val="both"/>
        <w:rPr>
          <w:rFonts w:ascii="Times New Roman" w:hAnsi="Times New Roman"/>
          <w:sz w:val="20"/>
          <w:szCs w:val="20"/>
        </w:rPr>
      </w:pPr>
      <w:r w:rsidRPr="00374801">
        <w:rPr>
          <w:rFonts w:ascii="Times New Roman" w:hAnsi="Times New Roman"/>
          <w:sz w:val="20"/>
          <w:szCs w:val="20"/>
        </w:rPr>
        <w:tab/>
      </w:r>
      <w:r w:rsidRPr="00374801">
        <w:rPr>
          <w:rFonts w:ascii="Times New Roman" w:hAnsi="Times New Roman"/>
          <w:sz w:val="20"/>
          <w:szCs w:val="20"/>
        </w:rPr>
        <w:tab/>
        <w:t xml:space="preserve">Giá trị rủi ro thanh toán = Hệ số rủi ro thanh toán theo đối tác x </w:t>
      </w:r>
    </w:p>
    <w:p w:rsidR="00196CA0" w:rsidRPr="00374801" w:rsidRDefault="00196CA0" w:rsidP="00E06C35">
      <w:pPr>
        <w:tabs>
          <w:tab w:val="left" w:pos="810"/>
          <w:tab w:val="left" w:pos="3330"/>
          <w:tab w:val="right" w:pos="9360"/>
        </w:tabs>
        <w:spacing w:after="120"/>
        <w:ind w:left="720" w:right="14"/>
        <w:jc w:val="both"/>
        <w:rPr>
          <w:rFonts w:ascii="Times New Roman" w:hAnsi="Times New Roman"/>
          <w:sz w:val="20"/>
          <w:szCs w:val="20"/>
        </w:rPr>
      </w:pPr>
      <w:r w:rsidRPr="00374801">
        <w:rPr>
          <w:rFonts w:ascii="Times New Roman" w:hAnsi="Times New Roman"/>
          <w:sz w:val="20"/>
          <w:szCs w:val="20"/>
        </w:rPr>
        <w:tab/>
      </w:r>
      <w:r w:rsidRPr="00374801">
        <w:rPr>
          <w:rFonts w:ascii="Times New Roman" w:hAnsi="Times New Roman"/>
          <w:sz w:val="20"/>
          <w:szCs w:val="20"/>
        </w:rPr>
        <w:tab/>
      </w:r>
      <w:r w:rsidR="00E06C35" w:rsidRPr="00374801">
        <w:rPr>
          <w:rFonts w:ascii="Times New Roman" w:hAnsi="Times New Roman"/>
          <w:sz w:val="20"/>
          <w:szCs w:val="20"/>
        </w:rPr>
        <w:t xml:space="preserve">     </w:t>
      </w:r>
      <w:r w:rsidRPr="00374801">
        <w:rPr>
          <w:rFonts w:ascii="Times New Roman" w:hAnsi="Times New Roman"/>
          <w:sz w:val="20"/>
          <w:szCs w:val="20"/>
        </w:rPr>
        <w:t>Giá trị tài sản tiềm ẩn rủ</w:t>
      </w:r>
      <w:r w:rsidR="00476DA8">
        <w:rPr>
          <w:rFonts w:ascii="Times New Roman" w:hAnsi="Times New Roman"/>
          <w:sz w:val="20"/>
          <w:szCs w:val="20"/>
        </w:rPr>
        <w:t>i ro thanh toán</w:t>
      </w:r>
      <w:r w:rsidRPr="00374801">
        <w:rPr>
          <w:rFonts w:ascii="Times New Roman" w:hAnsi="Times New Roman"/>
          <w:sz w:val="20"/>
          <w:szCs w:val="20"/>
        </w:rPr>
        <w:t>;</w:t>
      </w:r>
    </w:p>
    <w:p w:rsidR="00196CA0" w:rsidRPr="00374801" w:rsidRDefault="00196CA0" w:rsidP="00D64183">
      <w:pPr>
        <w:pStyle w:val="ListParagraph"/>
        <w:numPr>
          <w:ilvl w:val="0"/>
          <w:numId w:val="22"/>
        </w:numPr>
        <w:ind w:left="1080" w:right="18"/>
        <w:jc w:val="both"/>
        <w:rPr>
          <w:rFonts w:ascii="Times New Roman" w:hAnsi="Times New Roman"/>
          <w:sz w:val="20"/>
          <w:szCs w:val="20"/>
        </w:rPr>
      </w:pPr>
      <w:r w:rsidRPr="00374801">
        <w:rPr>
          <w:rFonts w:ascii="Times New Roman" w:hAnsi="Times New Roman"/>
          <w:sz w:val="20"/>
          <w:szCs w:val="20"/>
        </w:rPr>
        <w:t>Đối với hợp đồng bảo lãnh phát hành ký với các tổ chức khác trong tổ hợp bảo lãnh phát hành theo hình thức cam kết chắc chắn mà Công ty là tổ chức bảo lãnh phát hành chính, giá trị rủi ro thanh toán được xác định bằng 30% giá trị còn lại của các hợp đồng bảo lãnh phát hành chưa được thanh toán;</w:t>
      </w:r>
    </w:p>
    <w:p w:rsidR="00196CA0" w:rsidRPr="00374801" w:rsidRDefault="00196CA0" w:rsidP="00D64183">
      <w:pPr>
        <w:pStyle w:val="ListParagraph"/>
        <w:numPr>
          <w:ilvl w:val="0"/>
          <w:numId w:val="22"/>
        </w:numPr>
        <w:ind w:left="1080" w:right="18"/>
        <w:jc w:val="both"/>
        <w:rPr>
          <w:rFonts w:ascii="Times New Roman" w:hAnsi="Times New Roman"/>
          <w:sz w:val="20"/>
          <w:szCs w:val="20"/>
        </w:rPr>
      </w:pPr>
      <w:r w:rsidRPr="00374801">
        <w:rPr>
          <w:rFonts w:ascii="Times New Roman" w:hAnsi="Times New Roman"/>
          <w:sz w:val="20"/>
          <w:szCs w:val="20"/>
        </w:rPr>
        <w:t>Đối với các khoản phải thu,các khoản phải thu khác và tài sản có khác quá hạn, chứng khoán chưa nhận quyền chuyển giao đúng hạn, kể cả chứ</w:t>
      </w:r>
      <w:r w:rsidR="00476DA8">
        <w:rPr>
          <w:rFonts w:ascii="Times New Roman" w:hAnsi="Times New Roman"/>
          <w:sz w:val="20"/>
          <w:szCs w:val="20"/>
        </w:rPr>
        <w:t>ng khoán</w:t>
      </w:r>
      <w:r w:rsidRPr="00374801">
        <w:rPr>
          <w:rFonts w:ascii="Times New Roman" w:hAnsi="Times New Roman"/>
          <w:sz w:val="20"/>
          <w:szCs w:val="20"/>
        </w:rPr>
        <w:t>; tiền chưa nhận được từ các hợp đồng tiền gửi có kỳ hạn tại các tổ chức tín dụng; các khoản cho vay đối với các tổ chứ</w:t>
      </w:r>
      <w:r w:rsidR="00476DA8">
        <w:rPr>
          <w:rFonts w:ascii="Times New Roman" w:hAnsi="Times New Roman"/>
          <w:sz w:val="20"/>
          <w:szCs w:val="20"/>
        </w:rPr>
        <w:t>c ,cá nhân khác</w:t>
      </w:r>
      <w:r w:rsidRPr="00374801">
        <w:rPr>
          <w:rFonts w:ascii="Times New Roman" w:hAnsi="Times New Roman"/>
          <w:sz w:val="20"/>
          <w:szCs w:val="20"/>
        </w:rPr>
        <w:t>; hợp đồng vay ,mượn chứng khoán phù hợp với quy định của pháp luậ</w:t>
      </w:r>
      <w:r w:rsidR="00476DA8">
        <w:rPr>
          <w:rFonts w:ascii="Times New Roman" w:hAnsi="Times New Roman"/>
          <w:sz w:val="20"/>
          <w:szCs w:val="20"/>
        </w:rPr>
        <w:t>t</w:t>
      </w:r>
      <w:r w:rsidRPr="00374801">
        <w:rPr>
          <w:rFonts w:ascii="Times New Roman" w:hAnsi="Times New Roman"/>
          <w:sz w:val="20"/>
          <w:szCs w:val="20"/>
        </w:rPr>
        <w:t>; hợp đồng bán có cam kết mua lại chứng khoán phù hợp với quy định của pháp luật; hợp đồng mua có cam kết bán lại chứng khoán phù hợp với quy định của pháp luật;hợp đồng cho vay mua ký quỹ chứng khoán phù hợp với quy định của pháp luật đã đáo hạn,giá trị rủi ro thanh toán được xác định theo nguyên tắc sau:</w:t>
      </w:r>
    </w:p>
    <w:p w:rsidR="00196CA0" w:rsidRPr="00374801" w:rsidRDefault="00196CA0" w:rsidP="00E06C35">
      <w:pPr>
        <w:tabs>
          <w:tab w:val="left" w:pos="810"/>
          <w:tab w:val="left" w:pos="1440"/>
          <w:tab w:val="left" w:pos="3240"/>
          <w:tab w:val="right" w:pos="9360"/>
        </w:tabs>
        <w:spacing w:after="0"/>
        <w:ind w:left="720" w:right="14"/>
        <w:jc w:val="both"/>
        <w:rPr>
          <w:rFonts w:ascii="Times New Roman" w:hAnsi="Times New Roman"/>
          <w:sz w:val="20"/>
          <w:szCs w:val="20"/>
        </w:rPr>
      </w:pPr>
      <w:r w:rsidRPr="00374801">
        <w:rPr>
          <w:rFonts w:ascii="Times New Roman" w:hAnsi="Times New Roman"/>
          <w:sz w:val="20"/>
          <w:szCs w:val="20"/>
        </w:rPr>
        <w:tab/>
      </w:r>
      <w:r w:rsidRPr="00374801">
        <w:rPr>
          <w:rFonts w:ascii="Times New Roman" w:hAnsi="Times New Roman"/>
          <w:sz w:val="20"/>
          <w:szCs w:val="20"/>
        </w:rPr>
        <w:tab/>
        <w:t xml:space="preserve">Giá trị rủi ro thanh toán = Hệ số rủi ro thanh toán theo thời gian x </w:t>
      </w:r>
    </w:p>
    <w:p w:rsidR="00196CA0" w:rsidRPr="00374801" w:rsidRDefault="00196CA0" w:rsidP="00196CA0">
      <w:pPr>
        <w:tabs>
          <w:tab w:val="left" w:pos="810"/>
          <w:tab w:val="left" w:pos="3330"/>
          <w:tab w:val="right" w:pos="9360"/>
        </w:tabs>
        <w:ind w:left="720" w:right="18"/>
        <w:jc w:val="both"/>
        <w:rPr>
          <w:rFonts w:ascii="Times New Roman" w:hAnsi="Times New Roman"/>
          <w:sz w:val="20"/>
          <w:szCs w:val="20"/>
        </w:rPr>
      </w:pPr>
      <w:r w:rsidRPr="00374801">
        <w:rPr>
          <w:rFonts w:ascii="Times New Roman" w:hAnsi="Times New Roman"/>
          <w:sz w:val="20"/>
          <w:szCs w:val="20"/>
        </w:rPr>
        <w:tab/>
      </w:r>
      <w:r w:rsidRPr="00374801">
        <w:rPr>
          <w:rFonts w:ascii="Times New Roman" w:hAnsi="Times New Roman"/>
          <w:sz w:val="20"/>
          <w:szCs w:val="20"/>
        </w:rPr>
        <w:tab/>
      </w:r>
      <w:r w:rsidR="00E06C35" w:rsidRPr="00374801">
        <w:rPr>
          <w:rFonts w:ascii="Times New Roman" w:hAnsi="Times New Roman"/>
          <w:sz w:val="20"/>
          <w:szCs w:val="20"/>
        </w:rPr>
        <w:t xml:space="preserve">     </w:t>
      </w:r>
      <w:r w:rsidRPr="00374801">
        <w:rPr>
          <w:rFonts w:ascii="Times New Roman" w:hAnsi="Times New Roman"/>
          <w:sz w:val="20"/>
          <w:szCs w:val="20"/>
        </w:rPr>
        <w:t>Giá trị tài sản tiềm ẩn rủi ro thanh toán</w:t>
      </w:r>
    </w:p>
    <w:p w:rsidR="00196CA0" w:rsidRPr="00374801" w:rsidRDefault="00196CA0" w:rsidP="00644961">
      <w:pPr>
        <w:ind w:right="18"/>
        <w:jc w:val="both"/>
        <w:rPr>
          <w:rFonts w:ascii="Times New Roman" w:hAnsi="Times New Roman"/>
          <w:b/>
          <w:sz w:val="20"/>
          <w:szCs w:val="20"/>
        </w:rPr>
      </w:pPr>
      <w:r w:rsidRPr="00374801">
        <w:rPr>
          <w:rFonts w:ascii="Times New Roman" w:hAnsi="Times New Roman"/>
          <w:b/>
          <w:sz w:val="20"/>
          <w:szCs w:val="20"/>
        </w:rPr>
        <w:t>3.4.1</w:t>
      </w:r>
      <w:r w:rsidRPr="00374801">
        <w:rPr>
          <w:rFonts w:ascii="Times New Roman" w:hAnsi="Times New Roman"/>
          <w:b/>
          <w:sz w:val="20"/>
          <w:szCs w:val="20"/>
        </w:rPr>
        <w:tab/>
        <w:t>Hệ số rủi ro thanh toán</w:t>
      </w:r>
    </w:p>
    <w:p w:rsidR="00196CA0" w:rsidRPr="00374801" w:rsidRDefault="00196CA0" w:rsidP="00644961">
      <w:pPr>
        <w:tabs>
          <w:tab w:val="left" w:pos="3060"/>
        </w:tabs>
        <w:ind w:left="720" w:right="18"/>
        <w:jc w:val="both"/>
        <w:rPr>
          <w:rFonts w:ascii="Times New Roman" w:hAnsi="Times New Roman"/>
          <w:sz w:val="20"/>
          <w:szCs w:val="20"/>
        </w:rPr>
      </w:pPr>
      <w:r w:rsidRPr="00374801">
        <w:rPr>
          <w:rFonts w:ascii="Times New Roman" w:hAnsi="Times New Roman"/>
          <w:sz w:val="20"/>
          <w:szCs w:val="20"/>
        </w:rPr>
        <w:t>Hệ số rủi ro thanh toán được xác định theo đối tác và theo thời gian quá hạn theo quy định trong Thông tư số 226/2010/TT-BTC</w:t>
      </w:r>
    </w:p>
    <w:p w:rsidR="00196CA0" w:rsidRPr="00374801" w:rsidRDefault="00196CA0" w:rsidP="00644961">
      <w:pPr>
        <w:spacing w:after="0" w:line="240" w:lineRule="auto"/>
        <w:ind w:left="720" w:right="18"/>
        <w:jc w:val="both"/>
        <w:rPr>
          <w:rFonts w:ascii="Times New Roman" w:eastAsia="Times New Roman" w:hAnsi="Times New Roman"/>
          <w:sz w:val="20"/>
          <w:szCs w:val="20"/>
        </w:rPr>
      </w:pPr>
      <w:r w:rsidRPr="00374801">
        <w:rPr>
          <w:rFonts w:ascii="Times New Roman" w:hAnsi="Times New Roman"/>
          <w:sz w:val="20"/>
          <w:szCs w:val="20"/>
        </w:rPr>
        <w:t>Thời hạn thanh toán /nhận chuyển giao chứng từ là T +3 (đối với cổ phiếu niêm yết), T +1 (đối với trái phiếu niêm yết); hoặc T+n (đối với giao dịch thỏa thuận ngoài hệ thống giao dịch trong n ngày theo thỏa thuận của hai bên).</w:t>
      </w:r>
    </w:p>
    <w:p w:rsidR="00196CA0" w:rsidRPr="00374801" w:rsidRDefault="00196CA0"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E06C35" w:rsidRPr="00374801" w:rsidRDefault="00E06C35" w:rsidP="00196CA0">
      <w:pPr>
        <w:spacing w:after="0" w:line="240" w:lineRule="auto"/>
        <w:ind w:right="18"/>
        <w:jc w:val="both"/>
        <w:rPr>
          <w:rFonts w:ascii="Times New Roman" w:eastAsia="Times New Roman" w:hAnsi="Times New Roman"/>
          <w:b/>
          <w:sz w:val="20"/>
          <w:szCs w:val="20"/>
        </w:rPr>
      </w:pPr>
    </w:p>
    <w:p w:rsidR="00E06C35" w:rsidRPr="00374801" w:rsidRDefault="00E06C35" w:rsidP="00196CA0">
      <w:pPr>
        <w:spacing w:after="0" w:line="240" w:lineRule="auto"/>
        <w:ind w:right="18"/>
        <w:jc w:val="both"/>
        <w:rPr>
          <w:rFonts w:ascii="Times New Roman" w:eastAsia="Times New Roman" w:hAnsi="Times New Roman"/>
          <w:b/>
          <w:sz w:val="20"/>
          <w:szCs w:val="20"/>
        </w:rPr>
      </w:pPr>
    </w:p>
    <w:p w:rsidR="00E06C35" w:rsidRPr="00374801" w:rsidRDefault="00E06C35"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Pr="00374801" w:rsidRDefault="00305052" w:rsidP="00196CA0">
      <w:pPr>
        <w:spacing w:after="0" w:line="240" w:lineRule="auto"/>
        <w:ind w:right="18"/>
        <w:jc w:val="both"/>
        <w:rPr>
          <w:rFonts w:ascii="Times New Roman" w:eastAsia="Times New Roman" w:hAnsi="Times New Roman"/>
          <w:b/>
          <w:sz w:val="20"/>
          <w:szCs w:val="20"/>
        </w:rPr>
      </w:pPr>
    </w:p>
    <w:p w:rsidR="00305052" w:rsidRDefault="00305052" w:rsidP="00305052">
      <w:pPr>
        <w:spacing w:after="0" w:line="240" w:lineRule="auto"/>
        <w:jc w:val="both"/>
        <w:rPr>
          <w:rFonts w:ascii="Times New Roman" w:eastAsia="Times New Roman" w:hAnsi="Times New Roman"/>
          <w:sz w:val="20"/>
          <w:szCs w:val="20"/>
        </w:rPr>
      </w:pPr>
    </w:p>
    <w:p w:rsidR="00D85C28" w:rsidRDefault="00D85C28" w:rsidP="00305052">
      <w:pPr>
        <w:spacing w:after="0" w:line="240" w:lineRule="auto"/>
        <w:jc w:val="both"/>
        <w:rPr>
          <w:rFonts w:ascii="Times New Roman" w:eastAsia="Times New Roman" w:hAnsi="Times New Roman"/>
          <w:sz w:val="20"/>
          <w:szCs w:val="20"/>
        </w:rPr>
      </w:pPr>
    </w:p>
    <w:p w:rsidR="00D85C28" w:rsidRPr="00374801" w:rsidRDefault="00D85C28" w:rsidP="00305052">
      <w:pPr>
        <w:spacing w:after="0" w:line="240" w:lineRule="auto"/>
        <w:jc w:val="both"/>
        <w:rPr>
          <w:rFonts w:ascii="Times New Roman" w:eastAsia="Times New Roman" w:hAnsi="Times New Roman"/>
          <w:sz w:val="20"/>
          <w:szCs w:val="20"/>
        </w:rPr>
      </w:pPr>
    </w:p>
    <w:p w:rsidR="00305052" w:rsidRPr="00374801" w:rsidRDefault="00305052" w:rsidP="00305052">
      <w:pPr>
        <w:jc w:val="both"/>
        <w:rPr>
          <w:rFonts w:ascii="Times New Roman" w:hAnsi="Times New Roman"/>
          <w:sz w:val="20"/>
          <w:szCs w:val="20"/>
        </w:rPr>
      </w:pPr>
      <w:r w:rsidRPr="00374801">
        <w:rPr>
          <w:rFonts w:ascii="Times New Roman" w:hAnsi="Times New Roman"/>
          <w:b/>
          <w:sz w:val="20"/>
          <w:szCs w:val="20"/>
        </w:rPr>
        <w:t>3.4</w:t>
      </w:r>
      <w:r w:rsidRPr="00374801">
        <w:rPr>
          <w:rFonts w:ascii="Times New Roman" w:hAnsi="Times New Roman"/>
          <w:b/>
          <w:sz w:val="20"/>
          <w:szCs w:val="20"/>
        </w:rPr>
        <w:tab/>
        <w:t xml:space="preserve">Giá trị rủi ro thanh toán </w:t>
      </w:r>
      <w:r w:rsidRPr="00374801">
        <w:rPr>
          <w:rFonts w:ascii="Times New Roman" w:hAnsi="Times New Roman"/>
          <w:sz w:val="20"/>
          <w:szCs w:val="20"/>
        </w:rPr>
        <w:t>(tiếp theo)</w:t>
      </w:r>
    </w:p>
    <w:p w:rsidR="00305052" w:rsidRPr="00374801" w:rsidRDefault="00305052" w:rsidP="00305052">
      <w:pPr>
        <w:ind w:right="90"/>
        <w:jc w:val="both"/>
        <w:rPr>
          <w:rFonts w:ascii="Times New Roman" w:hAnsi="Times New Roman"/>
          <w:b/>
          <w:sz w:val="20"/>
          <w:szCs w:val="20"/>
        </w:rPr>
      </w:pPr>
      <w:r w:rsidRPr="00374801">
        <w:rPr>
          <w:rFonts w:ascii="Times New Roman" w:hAnsi="Times New Roman"/>
          <w:b/>
          <w:sz w:val="20"/>
          <w:szCs w:val="20"/>
        </w:rPr>
        <w:t>3.4.2</w:t>
      </w:r>
      <w:r w:rsidRPr="00374801">
        <w:rPr>
          <w:rFonts w:ascii="Times New Roman" w:hAnsi="Times New Roman"/>
          <w:b/>
          <w:sz w:val="20"/>
          <w:szCs w:val="20"/>
        </w:rPr>
        <w:tab/>
        <w:t xml:space="preserve">Giá trị tài sản tiềm ẩn rủi ro thanh toán </w:t>
      </w:r>
    </w:p>
    <w:p w:rsidR="00305052" w:rsidRPr="00374801" w:rsidRDefault="00305052" w:rsidP="009E49A8">
      <w:pPr>
        <w:tabs>
          <w:tab w:val="left" w:pos="1080"/>
        </w:tabs>
        <w:ind w:right="90" w:firstLine="720"/>
        <w:jc w:val="both"/>
        <w:rPr>
          <w:rFonts w:ascii="Times New Roman" w:hAnsi="Times New Roman"/>
          <w:b/>
          <w:i/>
          <w:sz w:val="20"/>
          <w:szCs w:val="20"/>
        </w:rPr>
      </w:pPr>
      <w:r w:rsidRPr="00374801">
        <w:rPr>
          <w:rFonts w:ascii="Times New Roman" w:hAnsi="Times New Roman"/>
          <w:b/>
          <w:i/>
          <w:sz w:val="20"/>
          <w:szCs w:val="20"/>
        </w:rPr>
        <w:t>a.</w:t>
      </w:r>
      <w:r w:rsidRPr="00374801">
        <w:rPr>
          <w:rFonts w:ascii="Times New Roman" w:hAnsi="Times New Roman"/>
          <w:b/>
          <w:i/>
          <w:sz w:val="20"/>
          <w:szCs w:val="20"/>
        </w:rPr>
        <w:tab/>
        <w:t>Các giao dịch mua, bán chứng khoán cho khách hàng hoặc cho Công ty</w:t>
      </w:r>
    </w:p>
    <w:p w:rsidR="00305052" w:rsidRPr="00374801" w:rsidRDefault="00305052" w:rsidP="00305052">
      <w:pPr>
        <w:ind w:right="18"/>
        <w:jc w:val="both"/>
        <w:rPr>
          <w:rFonts w:ascii="Times New Roman" w:hAnsi="Times New Roman"/>
          <w:sz w:val="20"/>
          <w:szCs w:val="20"/>
        </w:rPr>
      </w:pPr>
      <w:r w:rsidRPr="00374801">
        <w:rPr>
          <w:rFonts w:ascii="Times New Roman" w:hAnsi="Times New Roman"/>
          <w:sz w:val="20"/>
          <w:szCs w:val="20"/>
        </w:rPr>
        <w:tab/>
        <w:t>Giá trị tài sản tiềm ẩn rủi ro thanh toán là giá trị thị trường của hợp đồng tính theo nguyên tắc sau:</w:t>
      </w:r>
    </w:p>
    <w:p w:rsidR="00305052" w:rsidRPr="00374801" w:rsidRDefault="00305052" w:rsidP="00305052">
      <w:pPr>
        <w:pStyle w:val="ListParagraph"/>
        <w:ind w:right="18"/>
        <w:jc w:val="both"/>
        <w:rPr>
          <w:rFonts w:ascii="Times New Roman" w:hAnsi="Times New Roman"/>
          <w:sz w:val="20"/>
          <w:szCs w:val="20"/>
        </w:rPr>
      </w:pPr>
      <w:r w:rsidRPr="00374801">
        <w:rPr>
          <w:rFonts w:ascii="Times New Roman" w:hAnsi="Times New Roman"/>
          <w:sz w:val="20"/>
          <w:szCs w:val="20"/>
        </w:rPr>
        <w:t>Giá trị tài sản tiềm ẩn rủi ro thanh toán trong hoạt động vay, cho vay chứ</w:t>
      </w:r>
      <w:r w:rsidR="00476DA8">
        <w:rPr>
          <w:rFonts w:ascii="Times New Roman" w:hAnsi="Times New Roman"/>
          <w:sz w:val="20"/>
          <w:szCs w:val="20"/>
        </w:rPr>
        <w:t>ng khoán</w:t>
      </w:r>
      <w:r w:rsidRPr="00374801">
        <w:rPr>
          <w:rFonts w:ascii="Times New Roman" w:hAnsi="Times New Roman"/>
          <w:sz w:val="20"/>
          <w:szCs w:val="20"/>
        </w:rPr>
        <w:t>, giao dịch ký quỹ, giao dịch mua bán lại, giao dịch cho vay mua chứng khoán ký quỹ, giao dịch bán có cam kết mua lại, giao dịch mua có cam kết bán lại:</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690"/>
        <w:gridCol w:w="3780"/>
      </w:tblGrid>
      <w:tr w:rsidR="00305052" w:rsidRPr="00374801" w:rsidTr="00F64989">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STT</w:t>
            </w:r>
          </w:p>
        </w:tc>
        <w:tc>
          <w:tcPr>
            <w:tcW w:w="369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Loại hình giao dịch</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Giá trị tài sản tiềm ẩn rủi ro thanh toán</w:t>
            </w:r>
          </w:p>
        </w:tc>
      </w:tr>
      <w:tr w:rsidR="00305052" w:rsidRPr="00374801" w:rsidTr="00F64989">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1</w:t>
            </w:r>
          </w:p>
        </w:tc>
        <w:tc>
          <w:tcPr>
            <w:tcW w:w="369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Tiền gửi có kỳ hạn, khoản tiền cho vay không có tài sản đảm bảo và các khoản phải thu từ hoạt động giao dịch và nghiệp vụ kinh doanh chứng khoán</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Toàn bộ giá trị khoản cho vay</w:t>
            </w:r>
          </w:p>
        </w:tc>
      </w:tr>
      <w:tr w:rsidR="00305052" w:rsidRPr="00374801" w:rsidTr="00F64989">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Cho vay chứng khoán</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Max{(Giá trị thường của hợp đồng-Giá trị tài sản đảm bảo (nếu có)),0 }</w:t>
            </w:r>
          </w:p>
        </w:tc>
      </w:tr>
      <w:tr w:rsidR="00305052" w:rsidRPr="00374801" w:rsidTr="00F64989">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3</w:t>
            </w:r>
          </w:p>
        </w:tc>
        <w:tc>
          <w:tcPr>
            <w:tcW w:w="369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Vay chứng khoán</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Max{(Giá trị tài sản đảm bảo-Giá trị thị trường của hợp đồng),0}</w:t>
            </w:r>
          </w:p>
        </w:tc>
      </w:tr>
      <w:tr w:rsidR="00305052" w:rsidRPr="00374801" w:rsidTr="00F64989">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4</w:t>
            </w:r>
          </w:p>
        </w:tc>
        <w:tc>
          <w:tcPr>
            <w:tcW w:w="369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Hợp đồng mua chứng khoán có cam kết bán lại</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Max {( Gía trị hợp đồng tính theo giá mua – Giá trị thị trường cuả hợp đồng x (1 – Hệ số rủi ro thị trường)),0}</w:t>
            </w:r>
          </w:p>
        </w:tc>
      </w:tr>
      <w:tr w:rsidR="00305052" w:rsidRPr="00374801" w:rsidTr="00F64989">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right" w:pos="2886"/>
              </w:tabs>
              <w:spacing w:after="0" w:line="240" w:lineRule="auto"/>
              <w:ind w:right="90"/>
              <w:jc w:val="both"/>
              <w:rPr>
                <w:rFonts w:ascii="Times New Roman" w:hAnsi="Times New Roman"/>
                <w:sz w:val="20"/>
                <w:szCs w:val="20"/>
              </w:rPr>
            </w:pPr>
            <w:r w:rsidRPr="00374801">
              <w:rPr>
                <w:rFonts w:ascii="Times New Roman" w:hAnsi="Times New Roman"/>
                <w:sz w:val="20"/>
                <w:szCs w:val="20"/>
              </w:rPr>
              <w:t>5</w:t>
            </w:r>
            <w:r w:rsidRPr="00374801">
              <w:rPr>
                <w:rFonts w:ascii="Times New Roman" w:hAnsi="Times New Roman"/>
                <w:sz w:val="20"/>
                <w:szCs w:val="20"/>
              </w:rPr>
              <w:tab/>
            </w:r>
          </w:p>
        </w:tc>
        <w:tc>
          <w:tcPr>
            <w:tcW w:w="369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Hợp đồng bán chứng khoán có cam kết mua lại</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Max {( Giá trị thị trường cuả hợp đồng x (1 – Hệ số rủi ro thị trường) - Giá trị hợp đồng tính theo giá bán),0}</w:t>
            </w:r>
          </w:p>
        </w:tc>
      </w:tr>
      <w:tr w:rsidR="00305052" w:rsidRPr="00374801" w:rsidTr="00F64989">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6</w:t>
            </w:r>
          </w:p>
        </w:tc>
        <w:tc>
          <w:tcPr>
            <w:tcW w:w="369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Hợp đồng cho vay mua ký quỹ (cho khách hàng vay mua chứng khoán)/ Các khoản thỏa thuận kinh tế có cùng bản chất</w:t>
            </w:r>
          </w:p>
        </w:tc>
        <w:tc>
          <w:tcPr>
            <w:tcW w:w="3780" w:type="dxa"/>
            <w:tcBorders>
              <w:top w:val="single" w:sz="4" w:space="0" w:color="000000"/>
              <w:left w:val="single" w:sz="4" w:space="0" w:color="000000"/>
              <w:bottom w:val="single" w:sz="4" w:space="0" w:color="000000"/>
              <w:right w:val="single" w:sz="4" w:space="0" w:color="000000"/>
            </w:tcBorders>
            <w:shd w:val="clear" w:color="auto" w:fill="auto"/>
            <w:hideMark/>
          </w:tcPr>
          <w:p w:rsidR="00305052" w:rsidRPr="00374801" w:rsidRDefault="00305052" w:rsidP="00F64989">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374801">
              <w:rPr>
                <w:rFonts w:ascii="Times New Roman" w:hAnsi="Times New Roman"/>
                <w:sz w:val="20"/>
                <w:szCs w:val="20"/>
              </w:rPr>
              <w:t>Max {(Số dư nợ - Giá trị tài sản đảm bảo),0}</w:t>
            </w:r>
          </w:p>
        </w:tc>
      </w:tr>
    </w:tbl>
    <w:p w:rsidR="009E49A8" w:rsidRPr="00374801" w:rsidRDefault="00305052" w:rsidP="004F2431">
      <w:pPr>
        <w:tabs>
          <w:tab w:val="left" w:pos="540"/>
          <w:tab w:val="left" w:pos="810"/>
          <w:tab w:val="left" w:pos="3060"/>
          <w:tab w:val="right" w:pos="9360"/>
        </w:tabs>
        <w:spacing w:after="120"/>
        <w:ind w:right="86"/>
        <w:jc w:val="both"/>
        <w:rPr>
          <w:rFonts w:ascii="Times New Roman" w:hAnsi="Times New Roman"/>
          <w:sz w:val="20"/>
          <w:szCs w:val="20"/>
        </w:rPr>
      </w:pPr>
      <w:r w:rsidRPr="00374801">
        <w:rPr>
          <w:rFonts w:ascii="Times New Roman" w:hAnsi="Times New Roman"/>
          <w:sz w:val="20"/>
          <w:szCs w:val="20"/>
        </w:rPr>
        <w:tab/>
      </w:r>
    </w:p>
    <w:p w:rsidR="00305052" w:rsidRPr="00374801" w:rsidRDefault="00305052" w:rsidP="009E49A8">
      <w:pPr>
        <w:ind w:right="18"/>
        <w:jc w:val="both"/>
        <w:rPr>
          <w:rFonts w:ascii="Times New Roman" w:hAnsi="Times New Roman"/>
          <w:sz w:val="20"/>
          <w:szCs w:val="20"/>
        </w:rPr>
      </w:pPr>
      <w:r w:rsidRPr="00374801">
        <w:rPr>
          <w:rFonts w:ascii="Times New Roman" w:hAnsi="Times New Roman"/>
          <w:sz w:val="20"/>
          <w:szCs w:val="20"/>
        </w:rPr>
        <w:tab/>
        <w:t>Số dư nợ bao gồm giá trị khoản vay, lãi vay và các loại phí.</w:t>
      </w:r>
    </w:p>
    <w:p w:rsidR="00305052" w:rsidRPr="00374801" w:rsidRDefault="00305052" w:rsidP="009E49A8">
      <w:pPr>
        <w:ind w:left="720" w:right="18"/>
        <w:jc w:val="both"/>
        <w:rPr>
          <w:rFonts w:ascii="Times New Roman" w:hAnsi="Times New Roman"/>
          <w:sz w:val="20"/>
          <w:szCs w:val="20"/>
        </w:rPr>
      </w:pPr>
      <w:r w:rsidRPr="00374801">
        <w:rPr>
          <w:rFonts w:ascii="Times New Roman" w:hAnsi="Times New Roman"/>
          <w:sz w:val="20"/>
          <w:szCs w:val="20"/>
        </w:rPr>
        <w:t>Giá trị tài sản đảm bảo được xác định theo giá trị thị trường. Trong trường hợp tài sản bảo đảm của khách hàng không có giá tham khảo trên thị trườ</w:t>
      </w:r>
      <w:r w:rsidR="00476DA8">
        <w:rPr>
          <w:rFonts w:ascii="Times New Roman" w:hAnsi="Times New Roman"/>
          <w:sz w:val="20"/>
          <w:szCs w:val="20"/>
        </w:rPr>
        <w:t>ng</w:t>
      </w:r>
      <w:r w:rsidRPr="00374801">
        <w:rPr>
          <w:rFonts w:ascii="Times New Roman" w:hAnsi="Times New Roman"/>
          <w:sz w:val="20"/>
          <w:szCs w:val="20"/>
        </w:rPr>
        <w:t>, thì được xác định theo quy định nội bộ của Công ty.</w:t>
      </w:r>
    </w:p>
    <w:p w:rsidR="00305052" w:rsidRPr="00374801" w:rsidRDefault="00305052" w:rsidP="009E49A8">
      <w:pPr>
        <w:spacing w:after="0" w:line="240" w:lineRule="auto"/>
        <w:ind w:left="720" w:right="18"/>
        <w:jc w:val="both"/>
        <w:rPr>
          <w:rFonts w:ascii="Times New Roman" w:eastAsia="Times New Roman" w:hAnsi="Times New Roman"/>
          <w:b/>
          <w:sz w:val="20"/>
          <w:szCs w:val="20"/>
        </w:rPr>
      </w:pPr>
      <w:r w:rsidRPr="00374801">
        <w:rPr>
          <w:rFonts w:ascii="Times New Roman" w:hAnsi="Times New Roman"/>
          <w:sz w:val="20"/>
          <w:szCs w:val="20"/>
        </w:rPr>
        <w:t>Giá trị của các tài sản được xác định theo mục 3.3.2</w:t>
      </w:r>
      <w:r w:rsidR="00D377E1">
        <w:rPr>
          <w:rFonts w:ascii="Times New Roman" w:hAnsi="Times New Roman"/>
          <w:sz w:val="20"/>
          <w:szCs w:val="20"/>
        </w:rPr>
        <w:t>.</w:t>
      </w:r>
    </w:p>
    <w:p w:rsidR="00305052" w:rsidRPr="00374801" w:rsidRDefault="00305052" w:rsidP="00305052">
      <w:pPr>
        <w:spacing w:after="0" w:line="240" w:lineRule="auto"/>
        <w:ind w:right="18"/>
        <w:jc w:val="both"/>
        <w:rPr>
          <w:rFonts w:ascii="Times New Roman" w:eastAsia="Times New Roman" w:hAnsi="Times New Roman"/>
          <w:b/>
          <w:sz w:val="20"/>
          <w:szCs w:val="20"/>
        </w:rPr>
      </w:pPr>
    </w:p>
    <w:p w:rsidR="00305052" w:rsidRPr="00374801" w:rsidRDefault="00305052"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Pr="00374801" w:rsidRDefault="004F2431" w:rsidP="00305052">
      <w:pPr>
        <w:spacing w:after="0" w:line="240" w:lineRule="auto"/>
        <w:ind w:right="18"/>
        <w:jc w:val="both"/>
        <w:rPr>
          <w:rFonts w:ascii="Times New Roman" w:eastAsia="Times New Roman" w:hAnsi="Times New Roman"/>
          <w:b/>
          <w:sz w:val="20"/>
          <w:szCs w:val="20"/>
        </w:rPr>
      </w:pPr>
    </w:p>
    <w:p w:rsidR="004F2431" w:rsidRDefault="004F2431" w:rsidP="004F2431">
      <w:pPr>
        <w:spacing w:after="0" w:line="240" w:lineRule="auto"/>
        <w:jc w:val="both"/>
        <w:rPr>
          <w:rFonts w:ascii="Times New Roman" w:eastAsia="Times New Roman" w:hAnsi="Times New Roman"/>
          <w:sz w:val="20"/>
          <w:szCs w:val="20"/>
        </w:rPr>
      </w:pPr>
    </w:p>
    <w:p w:rsidR="00D85C28" w:rsidRPr="00374801" w:rsidRDefault="00D85C28" w:rsidP="004F2431">
      <w:pPr>
        <w:spacing w:after="0" w:line="240" w:lineRule="auto"/>
        <w:jc w:val="both"/>
        <w:rPr>
          <w:rFonts w:ascii="Times New Roman" w:eastAsia="Times New Roman" w:hAnsi="Times New Roman"/>
          <w:sz w:val="20"/>
          <w:szCs w:val="20"/>
        </w:rPr>
      </w:pPr>
    </w:p>
    <w:p w:rsidR="00305052" w:rsidRPr="00374801" w:rsidRDefault="00305052" w:rsidP="00305052">
      <w:pPr>
        <w:spacing w:after="0" w:line="240" w:lineRule="auto"/>
        <w:ind w:right="18"/>
        <w:jc w:val="both"/>
        <w:rPr>
          <w:rFonts w:ascii="Times New Roman" w:eastAsia="Times New Roman" w:hAnsi="Times New Roman"/>
          <w:b/>
          <w:sz w:val="20"/>
          <w:szCs w:val="20"/>
        </w:rPr>
      </w:pPr>
    </w:p>
    <w:p w:rsidR="004F2431" w:rsidRPr="00374801" w:rsidRDefault="004F2431" w:rsidP="004F2431">
      <w:pPr>
        <w:ind w:left="720" w:hanging="720"/>
        <w:rPr>
          <w:rFonts w:ascii="Times New Roman" w:hAnsi="Times New Roman"/>
          <w:sz w:val="20"/>
          <w:szCs w:val="20"/>
        </w:rPr>
      </w:pPr>
      <w:r w:rsidRPr="00374801">
        <w:rPr>
          <w:rFonts w:ascii="Times New Roman" w:hAnsi="Times New Roman"/>
          <w:b/>
          <w:sz w:val="20"/>
          <w:szCs w:val="20"/>
        </w:rPr>
        <w:t>3.4</w:t>
      </w:r>
      <w:r w:rsidRPr="00374801">
        <w:rPr>
          <w:rFonts w:ascii="Times New Roman" w:hAnsi="Times New Roman"/>
          <w:b/>
          <w:sz w:val="20"/>
          <w:szCs w:val="20"/>
        </w:rPr>
        <w:tab/>
        <w:t xml:space="preserve">Giá trị rủi ro thanh toán </w:t>
      </w:r>
      <w:r w:rsidRPr="00374801">
        <w:rPr>
          <w:rFonts w:ascii="Times New Roman" w:hAnsi="Times New Roman"/>
          <w:sz w:val="20"/>
          <w:szCs w:val="20"/>
        </w:rPr>
        <w:t>(tiếp theo)</w:t>
      </w:r>
    </w:p>
    <w:p w:rsidR="004F2431" w:rsidRPr="00374801" w:rsidRDefault="004F2431" w:rsidP="004F2431">
      <w:pPr>
        <w:tabs>
          <w:tab w:val="left" w:pos="450"/>
          <w:tab w:val="left" w:pos="720"/>
          <w:tab w:val="left" w:pos="3060"/>
          <w:tab w:val="right" w:pos="9360"/>
        </w:tabs>
        <w:ind w:left="720" w:right="90" w:hanging="720"/>
        <w:rPr>
          <w:rFonts w:ascii="Times New Roman" w:hAnsi="Times New Roman"/>
          <w:sz w:val="20"/>
          <w:szCs w:val="20"/>
        </w:rPr>
      </w:pPr>
      <w:r w:rsidRPr="00374801">
        <w:rPr>
          <w:rFonts w:ascii="Times New Roman" w:hAnsi="Times New Roman"/>
          <w:b/>
          <w:sz w:val="20"/>
          <w:szCs w:val="20"/>
        </w:rPr>
        <w:t>3.4.2</w:t>
      </w:r>
      <w:r w:rsidRPr="00374801">
        <w:rPr>
          <w:rFonts w:ascii="Times New Roman" w:hAnsi="Times New Roman"/>
          <w:b/>
          <w:sz w:val="20"/>
          <w:szCs w:val="20"/>
        </w:rPr>
        <w:tab/>
      </w:r>
      <w:r w:rsidRPr="00374801">
        <w:rPr>
          <w:rFonts w:ascii="Times New Roman" w:hAnsi="Times New Roman"/>
          <w:b/>
          <w:sz w:val="20"/>
          <w:szCs w:val="20"/>
        </w:rPr>
        <w:tab/>
        <w:t xml:space="preserve">Giá trị tài sản tiềm ẩn rủi ro thanh toán </w:t>
      </w:r>
      <w:r w:rsidRPr="00374801">
        <w:rPr>
          <w:rFonts w:ascii="Times New Roman" w:hAnsi="Times New Roman"/>
          <w:sz w:val="20"/>
          <w:szCs w:val="20"/>
        </w:rPr>
        <w:t>(tiếp theo)</w:t>
      </w:r>
    </w:p>
    <w:p w:rsidR="004F2431" w:rsidRPr="00374801" w:rsidRDefault="004F2431" w:rsidP="004F2431">
      <w:pPr>
        <w:pStyle w:val="ListParagraph"/>
        <w:ind w:right="90"/>
        <w:rPr>
          <w:rFonts w:ascii="Times New Roman" w:hAnsi="Times New Roman"/>
          <w:sz w:val="20"/>
          <w:szCs w:val="20"/>
        </w:rPr>
      </w:pPr>
      <w:r w:rsidRPr="00374801">
        <w:rPr>
          <w:rFonts w:ascii="Times New Roman" w:hAnsi="Times New Roman"/>
          <w:sz w:val="20"/>
          <w:szCs w:val="20"/>
        </w:rPr>
        <w:t>Giá trị tài sản tiềm ẩn rủi ro trong hoạt động giao dịch chứng khoán</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3298"/>
        <w:gridCol w:w="4230"/>
      </w:tblGrid>
      <w:tr w:rsidR="004F2431" w:rsidRPr="00046733" w:rsidTr="00046733">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rPr>
                <w:rFonts w:ascii="Times New Roman" w:hAnsi="Times New Roman"/>
                <w:sz w:val="20"/>
                <w:szCs w:val="20"/>
              </w:rPr>
            </w:pPr>
            <w:r w:rsidRPr="00046733">
              <w:rPr>
                <w:rFonts w:ascii="Times New Roman" w:hAnsi="Times New Roman"/>
                <w:sz w:val="20"/>
                <w:szCs w:val="20"/>
              </w:rPr>
              <w:t>STT</w:t>
            </w:r>
          </w:p>
        </w:tc>
        <w:tc>
          <w:tcPr>
            <w:tcW w:w="3298"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Thời gian</w:t>
            </w:r>
          </w:p>
        </w:tc>
        <w:tc>
          <w:tcPr>
            <w:tcW w:w="4230"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Giá trị tài sản tiềm ẩn rủi ro</w:t>
            </w:r>
          </w:p>
        </w:tc>
      </w:tr>
      <w:tr w:rsidR="004F2431" w:rsidRPr="00046733" w:rsidTr="00046733">
        <w:tc>
          <w:tcPr>
            <w:tcW w:w="819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pStyle w:val="ListParagraph"/>
              <w:tabs>
                <w:tab w:val="left" w:pos="3060"/>
                <w:tab w:val="right" w:pos="9360"/>
              </w:tabs>
              <w:spacing w:after="0" w:line="240" w:lineRule="auto"/>
              <w:ind w:left="0" w:right="90"/>
              <w:jc w:val="both"/>
              <w:rPr>
                <w:rFonts w:ascii="Times New Roman" w:hAnsi="Times New Roman"/>
                <w:sz w:val="20"/>
                <w:szCs w:val="20"/>
              </w:rPr>
            </w:pPr>
            <w:r w:rsidRPr="00046733">
              <w:rPr>
                <w:rFonts w:ascii="Times New Roman" w:hAnsi="Times New Roman"/>
                <w:sz w:val="20"/>
                <w:szCs w:val="20"/>
              </w:rPr>
              <w:t>A - Đối với các giao dịch bán chứng khoán (bên bán là Công ty hoặc khách hàng của Công ty trong hoạt động mô</w:t>
            </w:r>
            <w:r w:rsidR="004C10E3">
              <w:rPr>
                <w:rFonts w:ascii="Times New Roman" w:hAnsi="Times New Roman"/>
                <w:sz w:val="20"/>
                <w:szCs w:val="20"/>
              </w:rPr>
              <w:t>i</w:t>
            </w:r>
            <w:r w:rsidRPr="00046733">
              <w:rPr>
                <w:rFonts w:ascii="Times New Roman" w:hAnsi="Times New Roman"/>
                <w:sz w:val="20"/>
                <w:szCs w:val="20"/>
              </w:rPr>
              <w:t xml:space="preserve"> giới)</w:t>
            </w:r>
          </w:p>
        </w:tc>
      </w:tr>
      <w:tr w:rsidR="004F2431" w:rsidRPr="00046733" w:rsidTr="00046733">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rPr>
                <w:rFonts w:ascii="Times New Roman" w:hAnsi="Times New Roman"/>
                <w:sz w:val="20"/>
                <w:szCs w:val="20"/>
              </w:rPr>
            </w:pPr>
            <w:r w:rsidRPr="00046733">
              <w:rPr>
                <w:rFonts w:ascii="Times New Roman" w:hAnsi="Times New Roman"/>
                <w:sz w:val="20"/>
                <w:szCs w:val="20"/>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 xml:space="preserve">Trước thời hạn nhận thanh toán </w:t>
            </w:r>
          </w:p>
        </w:tc>
        <w:tc>
          <w:tcPr>
            <w:tcW w:w="4230"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0</w:t>
            </w:r>
          </w:p>
        </w:tc>
      </w:tr>
      <w:tr w:rsidR="004F2431" w:rsidRPr="00046733" w:rsidTr="00046733">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spacing w:after="0" w:line="240" w:lineRule="auto"/>
              <w:ind w:right="90"/>
              <w:rPr>
                <w:rFonts w:ascii="Times New Roman" w:hAnsi="Times New Roman"/>
                <w:sz w:val="20"/>
                <w:szCs w:val="20"/>
              </w:rPr>
            </w:pPr>
            <w:r w:rsidRPr="00046733">
              <w:rPr>
                <w:rFonts w:ascii="Times New Roman" w:hAnsi="Times New Roman"/>
                <w:sz w:val="20"/>
                <w:szCs w:val="20"/>
              </w:rPr>
              <w:t>2</w:t>
            </w:r>
          </w:p>
        </w:tc>
        <w:tc>
          <w:tcPr>
            <w:tcW w:w="32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Sau thời hạn nhận thanh toán</w:t>
            </w:r>
          </w:p>
        </w:tc>
        <w:tc>
          <w:tcPr>
            <w:tcW w:w="4230"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Giá trị thị trường của hợp đồng (trong trường hợp Giá thị trường thấp hơn Giá giao dịch)</w:t>
            </w:r>
          </w:p>
        </w:tc>
      </w:tr>
      <w:tr w:rsidR="004F2431" w:rsidRPr="00046733" w:rsidTr="00046733">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2431" w:rsidRPr="00046733" w:rsidRDefault="004F2431" w:rsidP="00046733">
            <w:pPr>
              <w:spacing w:after="0" w:line="240" w:lineRule="auto"/>
              <w:rPr>
                <w:rFonts w:ascii="Times New Roman" w:hAnsi="Times New Roman"/>
                <w:sz w:val="20"/>
                <w:szCs w:val="20"/>
              </w:rPr>
            </w:pPr>
          </w:p>
        </w:tc>
        <w:tc>
          <w:tcPr>
            <w:tcW w:w="32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2431" w:rsidRPr="00046733" w:rsidRDefault="004F2431" w:rsidP="00046733">
            <w:pPr>
              <w:spacing w:after="0" w:line="240" w:lineRule="auto"/>
              <w:jc w:val="both"/>
              <w:rPr>
                <w:rFonts w:ascii="Times New Roman" w:hAnsi="Times New Roman"/>
                <w:sz w:val="20"/>
                <w:szCs w:val="20"/>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0(trong trường hợp Giá thị trường cao hơn Giá giao dịch)</w:t>
            </w:r>
          </w:p>
        </w:tc>
      </w:tr>
      <w:tr w:rsidR="004F2431" w:rsidRPr="00046733" w:rsidTr="00046733">
        <w:tc>
          <w:tcPr>
            <w:tcW w:w="819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pStyle w:val="ListParagraph"/>
              <w:tabs>
                <w:tab w:val="right" w:pos="9360"/>
              </w:tabs>
              <w:spacing w:after="0" w:line="240" w:lineRule="auto"/>
              <w:ind w:left="0" w:right="90"/>
              <w:jc w:val="both"/>
              <w:rPr>
                <w:rFonts w:ascii="Times New Roman" w:hAnsi="Times New Roman"/>
                <w:sz w:val="20"/>
                <w:szCs w:val="20"/>
              </w:rPr>
            </w:pPr>
            <w:r w:rsidRPr="00046733">
              <w:rPr>
                <w:rFonts w:ascii="Times New Roman" w:hAnsi="Times New Roman"/>
                <w:sz w:val="20"/>
                <w:szCs w:val="20"/>
              </w:rPr>
              <w:t>A - Đối với các giao dịch mua chứng khoán (bên mua là Công ty hoặc khách hàng của Công ty)</w:t>
            </w:r>
          </w:p>
        </w:tc>
      </w:tr>
      <w:tr w:rsidR="004F2431" w:rsidRPr="00046733" w:rsidTr="00046733">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rPr>
                <w:rFonts w:ascii="Times New Roman" w:hAnsi="Times New Roman"/>
                <w:sz w:val="20"/>
                <w:szCs w:val="20"/>
              </w:rPr>
            </w:pPr>
            <w:r w:rsidRPr="00046733">
              <w:rPr>
                <w:rFonts w:ascii="Times New Roman" w:hAnsi="Times New Roman"/>
                <w:sz w:val="20"/>
                <w:szCs w:val="20"/>
              </w:rPr>
              <w:t>1</w:t>
            </w:r>
          </w:p>
        </w:tc>
        <w:tc>
          <w:tcPr>
            <w:tcW w:w="3298"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Trước thời hạn chuyển giao chứng khoán</w:t>
            </w:r>
          </w:p>
        </w:tc>
        <w:tc>
          <w:tcPr>
            <w:tcW w:w="4230"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0</w:t>
            </w:r>
          </w:p>
        </w:tc>
      </w:tr>
      <w:tr w:rsidR="004F2431" w:rsidRPr="00046733" w:rsidTr="00046733">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rPr>
                <w:rFonts w:ascii="Times New Roman" w:hAnsi="Times New Roman"/>
                <w:sz w:val="20"/>
                <w:szCs w:val="20"/>
              </w:rPr>
            </w:pPr>
            <w:r w:rsidRPr="00046733">
              <w:rPr>
                <w:rFonts w:ascii="Times New Roman" w:hAnsi="Times New Roman"/>
                <w:sz w:val="20"/>
                <w:szCs w:val="20"/>
              </w:rPr>
              <w:t>2</w:t>
            </w:r>
          </w:p>
        </w:tc>
        <w:tc>
          <w:tcPr>
            <w:tcW w:w="32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Sau thời hạn nhận chuyển giao chứng khoán</w:t>
            </w:r>
          </w:p>
        </w:tc>
        <w:tc>
          <w:tcPr>
            <w:tcW w:w="4230"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Giá trị thị trường của hợp đồng ( trong trường hợp Giá trị thị trường cao hơn Giá trị giao dịch)</w:t>
            </w:r>
          </w:p>
        </w:tc>
      </w:tr>
      <w:tr w:rsidR="004F2431" w:rsidRPr="00046733" w:rsidTr="00046733">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2431" w:rsidRPr="00046733" w:rsidRDefault="004F2431" w:rsidP="00046733">
            <w:pPr>
              <w:spacing w:after="0" w:line="240" w:lineRule="auto"/>
              <w:rPr>
                <w:rFonts w:ascii="Times New Roman" w:hAnsi="Times New Roman"/>
                <w:sz w:val="20"/>
                <w:szCs w:val="20"/>
              </w:rPr>
            </w:pPr>
          </w:p>
        </w:tc>
        <w:tc>
          <w:tcPr>
            <w:tcW w:w="32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2431" w:rsidRPr="00046733" w:rsidRDefault="004F2431" w:rsidP="00046733">
            <w:pPr>
              <w:spacing w:after="0" w:line="240" w:lineRule="auto"/>
              <w:jc w:val="both"/>
              <w:rPr>
                <w:rFonts w:ascii="Times New Roman" w:hAnsi="Times New Roman"/>
                <w:sz w:val="20"/>
                <w:szCs w:val="20"/>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hideMark/>
          </w:tcPr>
          <w:p w:rsidR="004F2431" w:rsidRPr="00046733" w:rsidRDefault="004F2431" w:rsidP="00046733">
            <w:pPr>
              <w:tabs>
                <w:tab w:val="left" w:pos="540"/>
                <w:tab w:val="left" w:pos="810"/>
                <w:tab w:val="left" w:pos="3060"/>
                <w:tab w:val="right" w:pos="9360"/>
              </w:tabs>
              <w:spacing w:after="0" w:line="240" w:lineRule="auto"/>
              <w:ind w:right="90"/>
              <w:jc w:val="both"/>
              <w:rPr>
                <w:rFonts w:ascii="Times New Roman" w:hAnsi="Times New Roman"/>
                <w:sz w:val="20"/>
                <w:szCs w:val="20"/>
              </w:rPr>
            </w:pPr>
            <w:r w:rsidRPr="00046733">
              <w:rPr>
                <w:rFonts w:ascii="Times New Roman" w:hAnsi="Times New Roman"/>
                <w:sz w:val="20"/>
                <w:szCs w:val="20"/>
              </w:rPr>
              <w:t>0 (trong trường hợp Giá trị thị trường thấp hơn Giá giao dịch)</w:t>
            </w:r>
          </w:p>
        </w:tc>
      </w:tr>
    </w:tbl>
    <w:p w:rsidR="004F2431" w:rsidRPr="00374801" w:rsidRDefault="004F2431" w:rsidP="004F2431">
      <w:pPr>
        <w:tabs>
          <w:tab w:val="left" w:pos="540"/>
          <w:tab w:val="left" w:pos="810"/>
          <w:tab w:val="left" w:pos="3060"/>
          <w:tab w:val="right" w:pos="9360"/>
        </w:tabs>
        <w:ind w:right="90"/>
        <w:rPr>
          <w:rFonts w:ascii="Times New Roman" w:hAnsi="Times New Roman"/>
          <w:b/>
          <w:i/>
          <w:sz w:val="20"/>
          <w:szCs w:val="20"/>
        </w:rPr>
      </w:pPr>
    </w:p>
    <w:p w:rsidR="004F2431" w:rsidRPr="00374801" w:rsidRDefault="004F2431" w:rsidP="004F2431">
      <w:pPr>
        <w:ind w:right="90"/>
        <w:rPr>
          <w:rFonts w:ascii="Times New Roman" w:hAnsi="Times New Roman"/>
          <w:b/>
          <w:i/>
          <w:sz w:val="20"/>
          <w:szCs w:val="20"/>
        </w:rPr>
      </w:pPr>
      <w:r w:rsidRPr="00374801">
        <w:rPr>
          <w:rFonts w:ascii="Times New Roman" w:hAnsi="Times New Roman"/>
          <w:b/>
          <w:i/>
          <w:sz w:val="20"/>
          <w:szCs w:val="20"/>
        </w:rPr>
        <w:t xml:space="preserve"> b.</w:t>
      </w:r>
      <w:r w:rsidRPr="00374801">
        <w:rPr>
          <w:rFonts w:ascii="Times New Roman" w:hAnsi="Times New Roman"/>
          <w:b/>
          <w:i/>
          <w:sz w:val="20"/>
          <w:szCs w:val="20"/>
        </w:rPr>
        <w:tab/>
        <w:t>Các khoản phải thu, trái phiếu đã đáo hạn,</w:t>
      </w:r>
      <w:r w:rsidR="00B22726">
        <w:rPr>
          <w:rFonts w:ascii="Times New Roman" w:hAnsi="Times New Roman"/>
          <w:b/>
          <w:i/>
          <w:sz w:val="20"/>
          <w:szCs w:val="20"/>
        </w:rPr>
        <w:t xml:space="preserve"> </w:t>
      </w:r>
      <w:r w:rsidRPr="00374801">
        <w:rPr>
          <w:rFonts w:ascii="Times New Roman" w:hAnsi="Times New Roman"/>
          <w:b/>
          <w:i/>
          <w:sz w:val="20"/>
          <w:szCs w:val="20"/>
        </w:rPr>
        <w:t>các công cụ nợ đã đáo hạn</w:t>
      </w:r>
    </w:p>
    <w:p w:rsidR="004F2431" w:rsidRPr="00374801" w:rsidRDefault="004F2431" w:rsidP="004F2431">
      <w:pPr>
        <w:tabs>
          <w:tab w:val="left" w:pos="3060"/>
          <w:tab w:val="right" w:pos="9360"/>
        </w:tabs>
        <w:ind w:left="720" w:right="-72"/>
        <w:jc w:val="both"/>
        <w:rPr>
          <w:rFonts w:ascii="Times New Roman" w:hAnsi="Times New Roman"/>
          <w:sz w:val="20"/>
          <w:szCs w:val="20"/>
        </w:rPr>
      </w:pPr>
      <w:r w:rsidRPr="00374801">
        <w:rPr>
          <w:rFonts w:ascii="Times New Roman" w:hAnsi="Times New Roman"/>
          <w:sz w:val="20"/>
          <w:szCs w:val="20"/>
        </w:rPr>
        <w:t>Giá trị tài sản tiềm ẩn rủi ro thanh toán là giá trị khoản phải thu tính theo mệnh giá, cộng thêm các khoản lãi chưa được thanh toán, chi phí có liên quan và trừ đi khoản thanh toán đã thực nhận trước đó (nếu có).</w:t>
      </w:r>
    </w:p>
    <w:p w:rsidR="004F2431" w:rsidRPr="00374801" w:rsidRDefault="004F2431" w:rsidP="004F2431">
      <w:pPr>
        <w:ind w:right="-72"/>
        <w:jc w:val="both"/>
        <w:rPr>
          <w:rFonts w:ascii="Times New Roman" w:hAnsi="Times New Roman"/>
          <w:b/>
          <w:sz w:val="20"/>
          <w:szCs w:val="20"/>
        </w:rPr>
      </w:pPr>
      <w:r w:rsidRPr="00374801">
        <w:rPr>
          <w:rFonts w:ascii="Times New Roman" w:hAnsi="Times New Roman"/>
          <w:b/>
          <w:sz w:val="20"/>
          <w:szCs w:val="20"/>
        </w:rPr>
        <w:t>3.4.3</w:t>
      </w:r>
      <w:r w:rsidRPr="00374801">
        <w:rPr>
          <w:rFonts w:ascii="Times New Roman" w:hAnsi="Times New Roman"/>
          <w:b/>
          <w:sz w:val="20"/>
          <w:szCs w:val="20"/>
        </w:rPr>
        <w:tab/>
        <w:t>Giảm trừ giá trị tài sản tiềm ẩn rủi ro thanh toán</w:t>
      </w:r>
    </w:p>
    <w:p w:rsidR="004F2431" w:rsidRPr="00374801" w:rsidRDefault="004F2431" w:rsidP="004F2431">
      <w:pPr>
        <w:ind w:left="720" w:right="-72"/>
        <w:jc w:val="both"/>
        <w:rPr>
          <w:rFonts w:ascii="Times New Roman" w:hAnsi="Times New Roman"/>
          <w:sz w:val="20"/>
          <w:szCs w:val="20"/>
        </w:rPr>
      </w:pPr>
      <w:r w:rsidRPr="00374801">
        <w:rPr>
          <w:rFonts w:ascii="Times New Roman" w:hAnsi="Times New Roman"/>
          <w:sz w:val="20"/>
          <w:szCs w:val="20"/>
        </w:rPr>
        <w:t>Công ty điều chỉnh giảm trừ phần giá trị tài sản bảo đảm của đối tác, khách hàng khi xác định giá trị tài sản tiềm ẩn rủi ro thanh toán trong trường hợp các hợp đồng, giao dịch này đáp ứng đầy đủ các điều kiện sau:</w:t>
      </w:r>
    </w:p>
    <w:p w:rsidR="004F2431" w:rsidRPr="00374801" w:rsidRDefault="004F2431" w:rsidP="004F2431">
      <w:pPr>
        <w:pStyle w:val="ListParagraph"/>
        <w:numPr>
          <w:ilvl w:val="0"/>
          <w:numId w:val="23"/>
        </w:numPr>
        <w:tabs>
          <w:tab w:val="left" w:pos="1080"/>
        </w:tabs>
        <w:ind w:left="1080" w:right="-72"/>
        <w:jc w:val="both"/>
        <w:rPr>
          <w:rFonts w:ascii="Times New Roman" w:hAnsi="Times New Roman"/>
          <w:sz w:val="20"/>
          <w:szCs w:val="20"/>
        </w:rPr>
      </w:pPr>
      <w:r w:rsidRPr="00374801">
        <w:rPr>
          <w:rFonts w:ascii="Times New Roman" w:hAnsi="Times New Roman"/>
          <w:sz w:val="20"/>
          <w:szCs w:val="20"/>
        </w:rPr>
        <w:t>Đối tác, khách hàng có tài sản bảo đảm thực hiện nghĩa vụ của mình và tài sản bảo đảm là tiền , các khoản tương đương tiền, giấy tờ có giá, công cụ chuyển nhượng trên thị trường tiền tệ, chứng khoán niêm yết, đăng ký giao dịch trên Sở giao dịch Chứng khoán, trái phiếu Chính phủ, trái phiếu được Bộ Tài chính bảo lãnh phát hành;</w:t>
      </w:r>
    </w:p>
    <w:p w:rsidR="004F2431" w:rsidRPr="00374801" w:rsidRDefault="004F2431" w:rsidP="004F2431">
      <w:pPr>
        <w:pStyle w:val="ListParagraph"/>
        <w:numPr>
          <w:ilvl w:val="0"/>
          <w:numId w:val="23"/>
        </w:numPr>
        <w:tabs>
          <w:tab w:val="left" w:pos="1080"/>
        </w:tabs>
        <w:ind w:left="1080" w:right="-72"/>
        <w:jc w:val="both"/>
        <w:rPr>
          <w:rFonts w:ascii="Times New Roman" w:hAnsi="Times New Roman"/>
          <w:sz w:val="20"/>
          <w:szCs w:val="20"/>
        </w:rPr>
      </w:pPr>
      <w:r w:rsidRPr="00374801">
        <w:rPr>
          <w:rFonts w:ascii="Times New Roman" w:hAnsi="Times New Roman"/>
          <w:sz w:val="20"/>
          <w:szCs w:val="20"/>
        </w:rPr>
        <w:t>Công ty có quyền định đoạt, quản lý, sử dụng, chuyển nhượng tài sản bảo đảm trong trường hợp đối tác không thực hiện nghĩa vụ thanh toán đầy đủ và đúng thời hạn đã thỏa thuận tại các hợp đồng.</w:t>
      </w:r>
    </w:p>
    <w:p w:rsidR="004F2431" w:rsidRPr="00374801" w:rsidRDefault="004F2431" w:rsidP="004F2431">
      <w:pPr>
        <w:ind w:left="720" w:right="90"/>
        <w:rPr>
          <w:rFonts w:ascii="Times New Roman" w:hAnsi="Times New Roman"/>
          <w:sz w:val="20"/>
          <w:szCs w:val="20"/>
        </w:rPr>
      </w:pPr>
      <w:r w:rsidRPr="00374801">
        <w:rPr>
          <w:rFonts w:ascii="Times New Roman" w:hAnsi="Times New Roman"/>
          <w:sz w:val="20"/>
          <w:szCs w:val="20"/>
        </w:rPr>
        <w:t>Giá trị tài sản giảm trừ được xác định như sau:</w:t>
      </w:r>
    </w:p>
    <w:p w:rsidR="00305052" w:rsidRPr="00374801" w:rsidRDefault="004F2431" w:rsidP="004F2431">
      <w:pPr>
        <w:spacing w:after="0" w:line="240" w:lineRule="auto"/>
        <w:ind w:right="18"/>
        <w:jc w:val="both"/>
        <w:rPr>
          <w:rFonts w:ascii="Times New Roman" w:hAnsi="Times New Roman"/>
          <w:sz w:val="20"/>
          <w:szCs w:val="20"/>
        </w:rPr>
      </w:pPr>
      <w:r w:rsidRPr="00374801">
        <w:rPr>
          <w:rFonts w:ascii="Times New Roman" w:hAnsi="Times New Roman"/>
          <w:sz w:val="20"/>
          <w:szCs w:val="20"/>
        </w:rPr>
        <w:tab/>
        <w:t>Giá trị tài sản đảm bảo = Khối lượng tài sản x Giá tài sản x (1- Hệ số rủi ro thị trường)</w:t>
      </w: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Default="001C2E0B" w:rsidP="004F2431">
      <w:pPr>
        <w:spacing w:after="0" w:line="240" w:lineRule="auto"/>
        <w:ind w:right="18"/>
        <w:jc w:val="both"/>
        <w:rPr>
          <w:rFonts w:ascii="Times New Roman" w:hAnsi="Times New Roman"/>
          <w:sz w:val="20"/>
          <w:szCs w:val="20"/>
        </w:rPr>
      </w:pPr>
    </w:p>
    <w:p w:rsidR="00D85C28" w:rsidRDefault="00D85C28" w:rsidP="004F2431">
      <w:pPr>
        <w:spacing w:after="0" w:line="240" w:lineRule="auto"/>
        <w:ind w:right="18"/>
        <w:jc w:val="both"/>
        <w:rPr>
          <w:rFonts w:ascii="Times New Roman" w:hAnsi="Times New Roman"/>
          <w:sz w:val="20"/>
          <w:szCs w:val="20"/>
        </w:rPr>
      </w:pPr>
    </w:p>
    <w:p w:rsidR="00D85C28" w:rsidRDefault="00D85C28" w:rsidP="004F2431">
      <w:pPr>
        <w:spacing w:after="0" w:line="240" w:lineRule="auto"/>
        <w:ind w:right="18"/>
        <w:jc w:val="both"/>
        <w:rPr>
          <w:rFonts w:ascii="Times New Roman" w:hAnsi="Times New Roman"/>
          <w:sz w:val="20"/>
          <w:szCs w:val="20"/>
        </w:rPr>
      </w:pPr>
    </w:p>
    <w:p w:rsidR="00D85C28" w:rsidRPr="00374801" w:rsidRDefault="00D85C28" w:rsidP="004F2431">
      <w:pPr>
        <w:spacing w:after="0" w:line="240" w:lineRule="auto"/>
        <w:ind w:right="18"/>
        <w:jc w:val="both"/>
        <w:rPr>
          <w:rFonts w:ascii="Times New Roman" w:hAnsi="Times New Roman"/>
          <w:sz w:val="20"/>
          <w:szCs w:val="20"/>
        </w:rPr>
      </w:pPr>
    </w:p>
    <w:p w:rsidR="001C2E0B" w:rsidRPr="00374801" w:rsidRDefault="001C2E0B" w:rsidP="001C2E0B">
      <w:pPr>
        <w:ind w:left="720" w:hanging="720"/>
        <w:rPr>
          <w:rFonts w:ascii="Times New Roman" w:hAnsi="Times New Roman"/>
          <w:sz w:val="20"/>
          <w:szCs w:val="20"/>
        </w:rPr>
      </w:pPr>
      <w:r w:rsidRPr="00374801">
        <w:rPr>
          <w:rFonts w:ascii="Times New Roman" w:hAnsi="Times New Roman"/>
          <w:b/>
          <w:sz w:val="20"/>
          <w:szCs w:val="20"/>
        </w:rPr>
        <w:t>3.4</w:t>
      </w:r>
      <w:r w:rsidRPr="00374801">
        <w:rPr>
          <w:rFonts w:ascii="Times New Roman" w:hAnsi="Times New Roman"/>
          <w:b/>
          <w:sz w:val="20"/>
          <w:szCs w:val="20"/>
        </w:rPr>
        <w:tab/>
        <w:t xml:space="preserve">Giá trị rủi ro thanh toán </w:t>
      </w:r>
      <w:r w:rsidRPr="00374801">
        <w:rPr>
          <w:rFonts w:ascii="Times New Roman" w:hAnsi="Times New Roman"/>
          <w:sz w:val="20"/>
          <w:szCs w:val="20"/>
        </w:rPr>
        <w:t>(tiếp theo)</w:t>
      </w:r>
    </w:p>
    <w:p w:rsidR="001C2E0B" w:rsidRPr="00374801" w:rsidRDefault="001C2E0B" w:rsidP="001C2E0B">
      <w:pPr>
        <w:ind w:left="720" w:right="90" w:hanging="720"/>
        <w:rPr>
          <w:rFonts w:ascii="Times New Roman" w:hAnsi="Times New Roman"/>
          <w:b/>
          <w:sz w:val="20"/>
          <w:szCs w:val="20"/>
        </w:rPr>
      </w:pPr>
      <w:r w:rsidRPr="00374801">
        <w:rPr>
          <w:rFonts w:ascii="Times New Roman" w:hAnsi="Times New Roman"/>
          <w:b/>
          <w:i/>
          <w:sz w:val="20"/>
          <w:szCs w:val="20"/>
        </w:rPr>
        <w:t xml:space="preserve"> </w:t>
      </w:r>
      <w:r w:rsidRPr="00374801">
        <w:rPr>
          <w:rFonts w:ascii="Times New Roman" w:hAnsi="Times New Roman"/>
          <w:b/>
          <w:sz w:val="20"/>
          <w:szCs w:val="20"/>
        </w:rPr>
        <w:t xml:space="preserve">3.4.4 </w:t>
      </w:r>
      <w:r w:rsidRPr="00374801">
        <w:rPr>
          <w:rFonts w:ascii="Times New Roman" w:hAnsi="Times New Roman"/>
          <w:b/>
          <w:sz w:val="20"/>
          <w:szCs w:val="20"/>
        </w:rPr>
        <w:tab/>
        <w:t>Tăng thêm giá trị rủi ro thanh toán</w:t>
      </w:r>
    </w:p>
    <w:p w:rsidR="001C2E0B" w:rsidRPr="00374801" w:rsidRDefault="001C2E0B" w:rsidP="001C2E0B">
      <w:pPr>
        <w:ind w:left="360" w:right="18" w:hanging="360"/>
        <w:jc w:val="both"/>
        <w:rPr>
          <w:rFonts w:ascii="Times New Roman" w:hAnsi="Times New Roman"/>
          <w:sz w:val="20"/>
          <w:szCs w:val="20"/>
        </w:rPr>
      </w:pPr>
      <w:r w:rsidRPr="00374801">
        <w:rPr>
          <w:rFonts w:ascii="Times New Roman" w:hAnsi="Times New Roman"/>
          <w:sz w:val="20"/>
          <w:szCs w:val="20"/>
        </w:rPr>
        <w:tab/>
      </w:r>
      <w:r w:rsidRPr="00374801">
        <w:rPr>
          <w:rFonts w:ascii="Times New Roman" w:hAnsi="Times New Roman"/>
          <w:sz w:val="20"/>
          <w:szCs w:val="20"/>
        </w:rPr>
        <w:tab/>
        <w:t>Giá trị rủi ro thanh toán phải được điều chỉnh tăng thêm trong các trường hợ</w:t>
      </w:r>
      <w:r w:rsidR="00476DA8">
        <w:rPr>
          <w:rFonts w:ascii="Times New Roman" w:hAnsi="Times New Roman"/>
          <w:sz w:val="20"/>
          <w:szCs w:val="20"/>
        </w:rPr>
        <w:t>p sau</w:t>
      </w:r>
      <w:r w:rsidRPr="00374801">
        <w:rPr>
          <w:rFonts w:ascii="Times New Roman" w:hAnsi="Times New Roman"/>
          <w:sz w:val="20"/>
          <w:szCs w:val="20"/>
        </w:rPr>
        <w:t>:</w:t>
      </w:r>
    </w:p>
    <w:p w:rsidR="001C2E0B" w:rsidRPr="00374801" w:rsidRDefault="001C2E0B" w:rsidP="001C2E0B">
      <w:pPr>
        <w:pStyle w:val="ListParagraph"/>
        <w:numPr>
          <w:ilvl w:val="0"/>
          <w:numId w:val="25"/>
        </w:numPr>
        <w:ind w:left="1080" w:right="18"/>
        <w:jc w:val="both"/>
        <w:rPr>
          <w:rFonts w:ascii="Times New Roman" w:hAnsi="Times New Roman"/>
          <w:sz w:val="20"/>
          <w:szCs w:val="20"/>
        </w:rPr>
      </w:pPr>
      <w:r w:rsidRPr="00374801">
        <w:rPr>
          <w:rFonts w:ascii="Times New Roman" w:hAnsi="Times New Roman"/>
          <w:sz w:val="20"/>
          <w:szCs w:val="20"/>
        </w:rPr>
        <w:t>Tăng thêm 10% trong trường hợp giá trị khoản cho vay đối với một tổ chức, cá nhân và nhóm tổ chức, cá nhân liên quan (nếu có),chiếm từ 10 % tới 15% Vốn chủ sở hữu;</w:t>
      </w:r>
    </w:p>
    <w:p w:rsidR="001C2E0B" w:rsidRPr="00374801" w:rsidRDefault="001C2E0B" w:rsidP="001C2E0B">
      <w:pPr>
        <w:pStyle w:val="ListParagraph"/>
        <w:numPr>
          <w:ilvl w:val="0"/>
          <w:numId w:val="25"/>
        </w:numPr>
        <w:ind w:left="1080" w:right="18"/>
        <w:jc w:val="both"/>
        <w:rPr>
          <w:rFonts w:ascii="Times New Roman" w:hAnsi="Times New Roman"/>
          <w:sz w:val="20"/>
          <w:szCs w:val="20"/>
        </w:rPr>
      </w:pPr>
      <w:r w:rsidRPr="00374801">
        <w:rPr>
          <w:rFonts w:ascii="Times New Roman" w:hAnsi="Times New Roman"/>
          <w:sz w:val="20"/>
          <w:szCs w:val="20"/>
        </w:rPr>
        <w:t>Tăng thêm 20% trong trường hợp giá trị khoản cho vay đối với một tổ chức, cá nhân và nhóm tổ chức, cá nhân liên quan (nếu có),chiếm từ 15 % tới 25% Vốn chủ sở hữu;</w:t>
      </w:r>
    </w:p>
    <w:p w:rsidR="001C2E0B" w:rsidRPr="00374801" w:rsidRDefault="001C2E0B" w:rsidP="001C2E0B">
      <w:pPr>
        <w:pStyle w:val="ListParagraph"/>
        <w:numPr>
          <w:ilvl w:val="0"/>
          <w:numId w:val="25"/>
        </w:numPr>
        <w:ind w:left="1080" w:right="18"/>
        <w:jc w:val="both"/>
        <w:rPr>
          <w:rFonts w:ascii="Times New Roman" w:hAnsi="Times New Roman"/>
          <w:sz w:val="20"/>
          <w:szCs w:val="20"/>
        </w:rPr>
      </w:pPr>
      <w:r w:rsidRPr="00374801">
        <w:rPr>
          <w:rFonts w:ascii="Times New Roman" w:hAnsi="Times New Roman"/>
          <w:sz w:val="20"/>
          <w:szCs w:val="20"/>
        </w:rPr>
        <w:t>Tăng thêm 30% trong trường hợp giá trị khoản cho vay đối với một tổ chức, cá nhân và nhóm tổ chức, cá nhân liên quan (nếu có), hoặc một cá nhân và các bên liên quan tới cá nhân đó (nếu có),chiếm từ 25 %Vốn chủ sở hữu trở lên;</w:t>
      </w:r>
    </w:p>
    <w:p w:rsidR="001C2E0B" w:rsidRPr="00374801" w:rsidRDefault="001C2E0B" w:rsidP="001C2E0B">
      <w:pPr>
        <w:ind w:left="90" w:right="18"/>
        <w:jc w:val="both"/>
        <w:rPr>
          <w:rFonts w:ascii="Times New Roman" w:hAnsi="Times New Roman"/>
          <w:b/>
          <w:sz w:val="20"/>
          <w:szCs w:val="20"/>
        </w:rPr>
      </w:pPr>
      <w:r w:rsidRPr="00374801">
        <w:rPr>
          <w:rFonts w:ascii="Times New Roman" w:hAnsi="Times New Roman"/>
          <w:b/>
          <w:sz w:val="20"/>
          <w:szCs w:val="20"/>
        </w:rPr>
        <w:t>3.4.5</w:t>
      </w:r>
      <w:r w:rsidRPr="00374801">
        <w:rPr>
          <w:rFonts w:ascii="Times New Roman" w:hAnsi="Times New Roman"/>
          <w:b/>
          <w:sz w:val="20"/>
          <w:szCs w:val="20"/>
        </w:rPr>
        <w:tab/>
        <w:t xml:space="preserve">Bù trừ song phương giá trị tài sản tiềm ẩn rủi ro thanh toán </w:t>
      </w:r>
    </w:p>
    <w:p w:rsidR="001C2E0B" w:rsidRPr="00374801" w:rsidRDefault="001C2E0B" w:rsidP="001C2E0B">
      <w:pPr>
        <w:ind w:left="90" w:right="18"/>
        <w:jc w:val="both"/>
        <w:rPr>
          <w:rFonts w:ascii="Times New Roman" w:hAnsi="Times New Roman"/>
          <w:sz w:val="20"/>
          <w:szCs w:val="20"/>
        </w:rPr>
      </w:pPr>
      <w:r w:rsidRPr="00374801">
        <w:rPr>
          <w:rFonts w:ascii="Times New Roman" w:hAnsi="Times New Roman"/>
          <w:b/>
          <w:sz w:val="20"/>
          <w:szCs w:val="20"/>
        </w:rPr>
        <w:tab/>
      </w:r>
      <w:r w:rsidRPr="00374801">
        <w:rPr>
          <w:rFonts w:ascii="Times New Roman" w:hAnsi="Times New Roman"/>
          <w:sz w:val="20"/>
          <w:szCs w:val="20"/>
        </w:rPr>
        <w:t>Giá trị tài sản tiềm ẩn rủi ro thanh toán được bù trừ song phương khi:</w:t>
      </w:r>
    </w:p>
    <w:p w:rsidR="001C2E0B" w:rsidRPr="00374801" w:rsidRDefault="001C2E0B" w:rsidP="001C2E0B">
      <w:pPr>
        <w:pStyle w:val="ListParagraph"/>
        <w:numPr>
          <w:ilvl w:val="0"/>
          <w:numId w:val="26"/>
        </w:numPr>
        <w:ind w:left="1170" w:right="90" w:hanging="450"/>
        <w:rPr>
          <w:rFonts w:ascii="Times New Roman" w:hAnsi="Times New Roman"/>
          <w:sz w:val="20"/>
          <w:szCs w:val="20"/>
        </w:rPr>
      </w:pPr>
      <w:r w:rsidRPr="00374801">
        <w:rPr>
          <w:rFonts w:ascii="Times New Roman" w:hAnsi="Times New Roman"/>
          <w:sz w:val="20"/>
          <w:szCs w:val="20"/>
        </w:rPr>
        <w:t>Rủi ro thanh toán liên quan tới cùng một đối tác;</w:t>
      </w:r>
    </w:p>
    <w:p w:rsidR="001C2E0B" w:rsidRPr="00374801" w:rsidRDefault="001C2E0B" w:rsidP="001C2E0B">
      <w:pPr>
        <w:pStyle w:val="ListParagraph"/>
        <w:numPr>
          <w:ilvl w:val="0"/>
          <w:numId w:val="26"/>
        </w:numPr>
        <w:ind w:left="1170" w:right="90" w:hanging="450"/>
        <w:rPr>
          <w:rFonts w:ascii="Times New Roman" w:hAnsi="Times New Roman"/>
          <w:sz w:val="20"/>
          <w:szCs w:val="20"/>
        </w:rPr>
      </w:pPr>
      <w:r w:rsidRPr="00374801">
        <w:rPr>
          <w:rFonts w:ascii="Times New Roman" w:hAnsi="Times New Roman"/>
          <w:sz w:val="20"/>
          <w:szCs w:val="20"/>
        </w:rPr>
        <w:t>Rủi ro thanh toán phát sinh đối với cùng một loại hình giao dịch;</w:t>
      </w:r>
    </w:p>
    <w:p w:rsidR="001C2E0B" w:rsidRPr="00374801" w:rsidRDefault="001C2E0B" w:rsidP="001C2E0B">
      <w:pPr>
        <w:pStyle w:val="ListParagraph"/>
        <w:numPr>
          <w:ilvl w:val="0"/>
          <w:numId w:val="26"/>
        </w:numPr>
        <w:ind w:left="1170" w:right="90" w:hanging="450"/>
        <w:rPr>
          <w:rFonts w:ascii="Times New Roman" w:hAnsi="Times New Roman"/>
          <w:sz w:val="20"/>
          <w:szCs w:val="20"/>
        </w:rPr>
      </w:pPr>
      <w:r w:rsidRPr="00374801">
        <w:rPr>
          <w:rFonts w:ascii="Times New Roman" w:hAnsi="Times New Roman"/>
          <w:sz w:val="20"/>
          <w:szCs w:val="20"/>
        </w:rPr>
        <w:t>Việc bù trừ ròng song phương đã được các bên thống nhất trước bằng văn bản.</w:t>
      </w:r>
    </w:p>
    <w:p w:rsidR="001C2E0B" w:rsidRPr="00374801" w:rsidRDefault="001C2E0B" w:rsidP="00964AF9">
      <w:pPr>
        <w:ind w:left="720" w:right="18"/>
        <w:jc w:val="both"/>
        <w:rPr>
          <w:rFonts w:ascii="Times New Roman" w:hAnsi="Times New Roman"/>
          <w:sz w:val="20"/>
          <w:szCs w:val="20"/>
        </w:rPr>
      </w:pPr>
      <w:r w:rsidRPr="00374801">
        <w:rPr>
          <w:rFonts w:ascii="Times New Roman" w:hAnsi="Times New Roman"/>
          <w:sz w:val="20"/>
          <w:szCs w:val="20"/>
        </w:rPr>
        <w:t>Thời hạn thanh toán /nhận chuyển giao chứng từ là T +3 (đối với cổ phiếu niêm yết), T +1 (đối với trái phiếu niêm yết); hoặc T+n (đối với giao dịch thỏa thuận ngoài hệ thống giao dịch trong n ngày theo thỏa thuận của hai bên).</w:t>
      </w:r>
    </w:p>
    <w:p w:rsidR="001C2E0B" w:rsidRPr="00374801" w:rsidRDefault="00964AF9" w:rsidP="00964AF9">
      <w:pPr>
        <w:ind w:left="90" w:right="18"/>
        <w:jc w:val="both"/>
        <w:rPr>
          <w:rFonts w:ascii="Times New Roman" w:hAnsi="Times New Roman"/>
          <w:b/>
          <w:sz w:val="20"/>
          <w:szCs w:val="20"/>
        </w:rPr>
      </w:pPr>
      <w:r w:rsidRPr="00374801">
        <w:rPr>
          <w:rFonts w:ascii="Times New Roman" w:hAnsi="Times New Roman"/>
          <w:b/>
          <w:sz w:val="20"/>
          <w:szCs w:val="20"/>
        </w:rPr>
        <w:t>3.5</w:t>
      </w:r>
      <w:r w:rsidRPr="00374801">
        <w:rPr>
          <w:rFonts w:ascii="Times New Roman" w:hAnsi="Times New Roman"/>
          <w:b/>
          <w:sz w:val="20"/>
          <w:szCs w:val="20"/>
        </w:rPr>
        <w:tab/>
      </w:r>
      <w:r w:rsidR="001C2E0B" w:rsidRPr="00374801">
        <w:rPr>
          <w:rFonts w:ascii="Times New Roman" w:hAnsi="Times New Roman"/>
          <w:b/>
          <w:sz w:val="20"/>
          <w:szCs w:val="20"/>
        </w:rPr>
        <w:t>Giá trị rủi ro hoạt động</w:t>
      </w:r>
    </w:p>
    <w:p w:rsidR="001C2E0B" w:rsidRPr="00374801" w:rsidRDefault="001C2E0B" w:rsidP="00964AF9">
      <w:pPr>
        <w:ind w:left="720" w:right="18"/>
        <w:jc w:val="both"/>
        <w:rPr>
          <w:rFonts w:ascii="Times New Roman" w:hAnsi="Times New Roman"/>
          <w:sz w:val="20"/>
          <w:szCs w:val="20"/>
        </w:rPr>
      </w:pPr>
      <w:r w:rsidRPr="00374801">
        <w:rPr>
          <w:rFonts w:ascii="Times New Roman" w:hAnsi="Times New Roman"/>
          <w:sz w:val="20"/>
          <w:szCs w:val="20"/>
        </w:rPr>
        <w:t>Giá trị rủi ro hoạt động là giá trị tương ứng với các mức độ tổn thất có thể xảy ra lỗi kỹ thuật, lỗi hệ thống và quy trình nghiệp vụ, lỗi con người trong quá trình tác nghiệp, hoặc do thiếu vốn kinh doanh phát sinh từ các khoản chi phí, lỗ từ hoạt động đầu tư, hoặc do các nguyên nhân khách quan khác.</w:t>
      </w:r>
    </w:p>
    <w:p w:rsidR="001C2E0B" w:rsidRPr="00374801" w:rsidRDefault="001C2E0B" w:rsidP="00964AF9">
      <w:pPr>
        <w:ind w:left="720" w:right="18"/>
        <w:jc w:val="both"/>
        <w:rPr>
          <w:rFonts w:ascii="Times New Roman" w:hAnsi="Times New Roman"/>
          <w:sz w:val="20"/>
          <w:szCs w:val="20"/>
        </w:rPr>
      </w:pPr>
      <w:r w:rsidRPr="00374801">
        <w:rPr>
          <w:rFonts w:ascii="Times New Roman" w:hAnsi="Times New Roman"/>
          <w:sz w:val="20"/>
          <w:szCs w:val="20"/>
        </w:rPr>
        <w:t>Giá trị rủi ro hoạt động của Công ty được xác định bằng 25% chi phí duy trì hoạt động của Công ty trong vòng mười hai (12) tháng liền kề tính tới tháng gần nhất, hoặc 20% Vốn pháp định theo quy định của pháp luật,</w:t>
      </w:r>
      <w:r w:rsidR="00F0292A">
        <w:rPr>
          <w:rFonts w:ascii="Times New Roman" w:hAnsi="Times New Roman"/>
          <w:sz w:val="20"/>
          <w:szCs w:val="20"/>
        </w:rPr>
        <w:t xml:space="preserve"> </w:t>
      </w:r>
      <w:r w:rsidRPr="00374801">
        <w:rPr>
          <w:rFonts w:ascii="Times New Roman" w:hAnsi="Times New Roman"/>
          <w:sz w:val="20"/>
          <w:szCs w:val="20"/>
        </w:rPr>
        <w:t>tùy thuộc vào giá trị nào lớn hơn.</w:t>
      </w:r>
    </w:p>
    <w:p w:rsidR="001C2E0B" w:rsidRPr="00374801" w:rsidRDefault="001C2E0B" w:rsidP="00964AF9">
      <w:pPr>
        <w:ind w:left="720" w:right="18"/>
        <w:jc w:val="both"/>
        <w:rPr>
          <w:rFonts w:ascii="Times New Roman" w:hAnsi="Times New Roman"/>
          <w:sz w:val="20"/>
          <w:szCs w:val="20"/>
        </w:rPr>
      </w:pPr>
      <w:r w:rsidRPr="00374801">
        <w:rPr>
          <w:rFonts w:ascii="Times New Roman" w:hAnsi="Times New Roman"/>
          <w:sz w:val="20"/>
          <w:szCs w:val="20"/>
        </w:rPr>
        <w:t>Chi phí duy trì hoạt động của Công ty được xác định bằng tổng chi phí phát sinh trong năm, trừ đi: chi phí khấu hao; dự phòng giảm giá đầu tư ngắn hạn; dự phòng giảm giá đầu tư dài hạn; dự phòng phải thu khó đòi.</w:t>
      </w:r>
    </w:p>
    <w:p w:rsidR="001C2E0B" w:rsidRPr="00374801" w:rsidRDefault="001C2E0B" w:rsidP="004F2431">
      <w:pPr>
        <w:spacing w:after="0" w:line="240" w:lineRule="auto"/>
        <w:ind w:right="18"/>
        <w:jc w:val="both"/>
        <w:rPr>
          <w:rFonts w:ascii="Times New Roman" w:hAnsi="Times New Roman"/>
          <w:sz w:val="20"/>
          <w:szCs w:val="20"/>
        </w:rPr>
      </w:pPr>
    </w:p>
    <w:p w:rsidR="00964AF9" w:rsidRPr="00374801" w:rsidRDefault="00964AF9" w:rsidP="004F2431">
      <w:pPr>
        <w:spacing w:after="0" w:line="240" w:lineRule="auto"/>
        <w:ind w:right="18"/>
        <w:jc w:val="both"/>
        <w:rPr>
          <w:rFonts w:ascii="Times New Roman" w:hAnsi="Times New Roman"/>
          <w:sz w:val="20"/>
          <w:szCs w:val="20"/>
        </w:rPr>
      </w:pPr>
    </w:p>
    <w:p w:rsidR="00964AF9" w:rsidRPr="00374801" w:rsidRDefault="00964AF9" w:rsidP="004F2431">
      <w:pPr>
        <w:spacing w:after="0" w:line="240" w:lineRule="auto"/>
        <w:ind w:right="18"/>
        <w:jc w:val="both"/>
        <w:rPr>
          <w:rFonts w:ascii="Times New Roman" w:hAnsi="Times New Roman"/>
          <w:sz w:val="20"/>
          <w:szCs w:val="20"/>
        </w:rPr>
      </w:pPr>
    </w:p>
    <w:p w:rsidR="00964AF9" w:rsidRPr="00374801" w:rsidRDefault="00964AF9" w:rsidP="004F2431">
      <w:pPr>
        <w:spacing w:after="0" w:line="240" w:lineRule="auto"/>
        <w:ind w:right="18"/>
        <w:jc w:val="both"/>
        <w:rPr>
          <w:rFonts w:ascii="Times New Roman" w:hAnsi="Times New Roman"/>
          <w:sz w:val="20"/>
          <w:szCs w:val="20"/>
        </w:rPr>
      </w:pPr>
    </w:p>
    <w:p w:rsidR="00964AF9" w:rsidRPr="00374801" w:rsidRDefault="00964AF9"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hAnsi="Times New Roman"/>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Default="001C2E0B" w:rsidP="004F2431">
      <w:pPr>
        <w:spacing w:after="0" w:line="240" w:lineRule="auto"/>
        <w:ind w:right="18"/>
        <w:jc w:val="both"/>
        <w:rPr>
          <w:rFonts w:ascii="Times New Roman" w:eastAsia="Times New Roman" w:hAnsi="Times New Roman"/>
          <w:b/>
          <w:sz w:val="20"/>
          <w:szCs w:val="20"/>
        </w:rPr>
      </w:pPr>
    </w:p>
    <w:p w:rsidR="00650591" w:rsidRPr="00374801" w:rsidRDefault="00650591"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Pr="00374801" w:rsidRDefault="001C2E0B" w:rsidP="004F2431">
      <w:pPr>
        <w:spacing w:after="0" w:line="240" w:lineRule="auto"/>
        <w:ind w:right="18"/>
        <w:jc w:val="both"/>
        <w:rPr>
          <w:rFonts w:ascii="Times New Roman" w:eastAsia="Times New Roman" w:hAnsi="Times New Roman"/>
          <w:b/>
          <w:sz w:val="20"/>
          <w:szCs w:val="20"/>
        </w:rPr>
      </w:pPr>
    </w:p>
    <w:p w:rsidR="001C2E0B" w:rsidRDefault="001C2E0B" w:rsidP="004F2431">
      <w:pPr>
        <w:spacing w:after="0" w:line="240" w:lineRule="auto"/>
        <w:ind w:right="18"/>
        <w:jc w:val="both"/>
        <w:rPr>
          <w:rFonts w:ascii="Times New Roman" w:eastAsia="Times New Roman" w:hAnsi="Times New Roman"/>
          <w:b/>
          <w:sz w:val="20"/>
          <w:szCs w:val="20"/>
        </w:rPr>
      </w:pPr>
    </w:p>
    <w:p w:rsidR="00D85C28" w:rsidRDefault="00D85C28" w:rsidP="004F2431">
      <w:pPr>
        <w:spacing w:after="0" w:line="240" w:lineRule="auto"/>
        <w:ind w:right="18"/>
        <w:jc w:val="both"/>
        <w:rPr>
          <w:rFonts w:ascii="Times New Roman" w:eastAsia="Times New Roman" w:hAnsi="Times New Roman"/>
          <w:b/>
          <w:sz w:val="20"/>
          <w:szCs w:val="20"/>
        </w:rPr>
      </w:pPr>
    </w:p>
    <w:p w:rsidR="00D85C28" w:rsidRPr="00374801" w:rsidRDefault="00D85C28" w:rsidP="004F2431">
      <w:pPr>
        <w:spacing w:after="0" w:line="240" w:lineRule="auto"/>
        <w:ind w:right="18"/>
        <w:jc w:val="both"/>
        <w:rPr>
          <w:rFonts w:ascii="Times New Roman" w:eastAsia="Times New Roman" w:hAnsi="Times New Roman"/>
          <w:b/>
          <w:sz w:val="20"/>
          <w:szCs w:val="20"/>
        </w:rPr>
      </w:pPr>
    </w:p>
    <w:p w:rsidR="00986CAB" w:rsidRPr="00374801" w:rsidRDefault="00ED31CB" w:rsidP="00986CA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fldChar w:fldCharType="begin"/>
      </w:r>
      <w:r>
        <w:rPr>
          <w:rFonts w:ascii="Times New Roman" w:eastAsia="Times New Roman" w:hAnsi="Times New Roman"/>
          <w:b/>
          <w:sz w:val="20"/>
          <w:szCs w:val="20"/>
        </w:rPr>
        <w:instrText xml:space="preserve"> LINK Excel.Sheet.8 "E:\\AUDIT\\KT giua 2015\\Cty CK KIS\\Bao cao VKD 2014\\VKD 31122015.xls!RRTT 4!R4C1:R30C6" "" \a \p </w:instrText>
      </w:r>
      <w:r>
        <w:rPr>
          <w:rFonts w:ascii="Times New Roman" w:eastAsia="Times New Roman" w:hAnsi="Times New Roman"/>
          <w:b/>
          <w:sz w:val="20"/>
          <w:szCs w:val="20"/>
        </w:rPr>
        <w:fldChar w:fldCharType="separate"/>
      </w:r>
      <w:r w:rsidRPr="00ED31CB">
        <w:rPr>
          <w:rFonts w:ascii="Times New Roman" w:eastAsia="Times New Roman" w:hAnsi="Times New Roman"/>
          <w:b/>
          <w:sz w:val="20"/>
          <w:szCs w:val="20"/>
        </w:rPr>
        <w:object w:dxaOrig="9396" w:dyaOrig="13156">
          <v:shape id="_x0000_i1026" type="#_x0000_t75" style="width:443.5pt;height:657.8pt">
            <v:imagedata r:id="rId13" o:title=""/>
          </v:shape>
        </w:object>
      </w:r>
      <w:r>
        <w:rPr>
          <w:rFonts w:ascii="Times New Roman" w:eastAsia="Times New Roman" w:hAnsi="Times New Roman"/>
          <w:b/>
          <w:sz w:val="20"/>
          <w:szCs w:val="20"/>
        </w:rPr>
        <w:fldChar w:fldCharType="end"/>
      </w:r>
    </w:p>
    <w:p w:rsidR="00CE0746" w:rsidRDefault="00986CAB" w:rsidP="00986CAB">
      <w:pPr>
        <w:tabs>
          <w:tab w:val="left" w:pos="978"/>
        </w:tabs>
        <w:rPr>
          <w:rFonts w:ascii="Times New Roman" w:eastAsia="Times New Roman" w:hAnsi="Times New Roman"/>
          <w:sz w:val="20"/>
          <w:szCs w:val="20"/>
        </w:rPr>
      </w:pPr>
      <w:r w:rsidRPr="00374801">
        <w:rPr>
          <w:rFonts w:ascii="Times New Roman" w:eastAsia="Times New Roman" w:hAnsi="Times New Roman"/>
          <w:sz w:val="20"/>
          <w:szCs w:val="20"/>
        </w:rPr>
        <w:tab/>
      </w:r>
    </w:p>
    <w:p w:rsidR="00D85C28" w:rsidRDefault="00D85C28" w:rsidP="00986CAB">
      <w:pPr>
        <w:tabs>
          <w:tab w:val="left" w:pos="978"/>
        </w:tabs>
        <w:rPr>
          <w:rFonts w:ascii="Times New Roman" w:eastAsia="Times New Roman" w:hAnsi="Times New Roman"/>
          <w:sz w:val="20"/>
          <w:szCs w:val="20"/>
        </w:rPr>
      </w:pPr>
    </w:p>
    <w:p w:rsidR="00D85C28" w:rsidRPr="00374801" w:rsidRDefault="00D85C28" w:rsidP="00986CAB">
      <w:pPr>
        <w:tabs>
          <w:tab w:val="left" w:pos="978"/>
        </w:tabs>
        <w:rPr>
          <w:rFonts w:ascii="Times New Roman" w:eastAsia="Times New Roman" w:hAnsi="Times New Roman"/>
          <w:sz w:val="20"/>
          <w:szCs w:val="20"/>
        </w:rPr>
      </w:pPr>
    </w:p>
    <w:p w:rsidR="00986CAB" w:rsidRPr="00374801" w:rsidRDefault="00986CAB" w:rsidP="004C2EE8">
      <w:pPr>
        <w:tabs>
          <w:tab w:val="left" w:pos="978"/>
        </w:tabs>
        <w:spacing w:after="0"/>
        <w:rPr>
          <w:rFonts w:ascii="Times New Roman" w:eastAsia="Times New Roman" w:hAnsi="Times New Roman"/>
          <w:sz w:val="20"/>
          <w:szCs w:val="20"/>
        </w:rPr>
      </w:pPr>
    </w:p>
    <w:p w:rsidR="00691B15" w:rsidRDefault="00ED31CB" w:rsidP="00691B15">
      <w:pPr>
        <w:tabs>
          <w:tab w:val="left" w:pos="720"/>
        </w:tabs>
        <w:spacing w:after="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LINK Excel.Sheet.8 "E:\\AUDIT\\KT giua 2015\\Cty CK KIS\\Bao cao VKD 2014\\VKD 31122015.xls!RRTT 4!R34C1:R55C6" "" \a \p </w:instrText>
      </w:r>
      <w:r>
        <w:rPr>
          <w:rFonts w:ascii="Times New Roman" w:eastAsia="Times New Roman" w:hAnsi="Times New Roman"/>
          <w:sz w:val="20"/>
          <w:szCs w:val="20"/>
        </w:rPr>
        <w:fldChar w:fldCharType="separate"/>
      </w:r>
      <w:r w:rsidRPr="00ED31CB">
        <w:rPr>
          <w:rFonts w:ascii="Times New Roman" w:eastAsia="Times New Roman" w:hAnsi="Times New Roman"/>
          <w:sz w:val="20"/>
          <w:szCs w:val="20"/>
        </w:rPr>
        <w:object w:dxaOrig="9396" w:dyaOrig="7744">
          <v:shape id="_x0000_i1027" type="#_x0000_t75" style="width:442.95pt;height:387.05pt">
            <v:imagedata r:id="rId14" o:title=""/>
          </v:shape>
        </w:object>
      </w:r>
      <w:r>
        <w:rPr>
          <w:rFonts w:ascii="Times New Roman" w:eastAsia="Times New Roman" w:hAnsi="Times New Roman"/>
          <w:sz w:val="20"/>
          <w:szCs w:val="20"/>
        </w:rPr>
        <w:fldChar w:fldCharType="end"/>
      </w:r>
    </w:p>
    <w:p w:rsidR="007A7D4F" w:rsidRPr="00B76DE1" w:rsidRDefault="007A7D4F" w:rsidP="007A7D4F">
      <w:pPr>
        <w:tabs>
          <w:tab w:val="left" w:pos="720"/>
        </w:tabs>
        <w:rPr>
          <w:rFonts w:ascii="Times New Roman" w:eastAsia="Times New Roman" w:hAnsi="Times New Roman"/>
          <w:b/>
          <w:sz w:val="20"/>
          <w:szCs w:val="20"/>
        </w:rPr>
      </w:pPr>
      <w:r w:rsidRPr="00B76DE1">
        <w:rPr>
          <w:rFonts w:ascii="Times New Roman" w:eastAsia="Times New Roman" w:hAnsi="Times New Roman"/>
          <w:b/>
          <w:sz w:val="20"/>
          <w:szCs w:val="20"/>
        </w:rPr>
        <w:t xml:space="preserve">5. </w:t>
      </w:r>
      <w:r w:rsidRPr="00B76DE1">
        <w:rPr>
          <w:rFonts w:ascii="Times New Roman" w:eastAsia="Times New Roman" w:hAnsi="Times New Roman"/>
          <w:b/>
          <w:sz w:val="20"/>
          <w:szCs w:val="20"/>
        </w:rPr>
        <w:tab/>
        <w:t>GIÁ TRỊ RỦI RO THANH TOÁN</w:t>
      </w:r>
    </w:p>
    <w:p w:rsidR="007A7D4F" w:rsidRPr="00B76DE1" w:rsidRDefault="007A7D4F" w:rsidP="007A7D4F">
      <w:pPr>
        <w:tabs>
          <w:tab w:val="left" w:pos="720"/>
        </w:tabs>
        <w:spacing w:after="120"/>
        <w:rPr>
          <w:rFonts w:ascii="Times New Roman" w:hAnsi="Times New Roman"/>
          <w:sz w:val="20"/>
          <w:szCs w:val="20"/>
        </w:rPr>
      </w:pPr>
      <w:r w:rsidRPr="00B76DE1">
        <w:rPr>
          <w:rFonts w:ascii="Times New Roman" w:hAnsi="Times New Roman"/>
          <w:sz w:val="20"/>
          <w:szCs w:val="20"/>
        </w:rPr>
        <w:tab/>
        <w:t>Hệ số rủi ro thanh toán theo đối tác được Công ty xác định như sau:</w:t>
      </w:r>
    </w:p>
    <w:tbl>
      <w:tblPr>
        <w:tblW w:w="8122"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6300"/>
        <w:gridCol w:w="1260"/>
      </w:tblGrid>
      <w:tr w:rsidR="007A7D4F" w:rsidRPr="007A7D4F" w:rsidTr="007A7D4F">
        <w:trPr>
          <w:trHeight w:val="196"/>
        </w:trPr>
        <w:tc>
          <w:tcPr>
            <w:tcW w:w="562" w:type="dxa"/>
            <w:tcBorders>
              <w:bottom w:val="single" w:sz="4" w:space="0" w:color="auto"/>
            </w:tcBorders>
            <w:vAlign w:val="center"/>
          </w:tcPr>
          <w:p w:rsidR="007A7D4F" w:rsidRPr="007A7D4F" w:rsidRDefault="007A7D4F" w:rsidP="007A7D4F">
            <w:pPr>
              <w:pStyle w:val="ListParagraph"/>
              <w:tabs>
                <w:tab w:val="left" w:pos="1080"/>
              </w:tabs>
              <w:spacing w:after="120" w:line="240" w:lineRule="auto"/>
              <w:ind w:left="0" w:right="-108"/>
              <w:rPr>
                <w:rFonts w:ascii="Times New Roman" w:hAnsi="Times New Roman"/>
                <w:b/>
                <w:sz w:val="20"/>
                <w:szCs w:val="20"/>
              </w:rPr>
            </w:pPr>
            <w:r w:rsidRPr="007A7D4F">
              <w:rPr>
                <w:rFonts w:ascii="Times New Roman" w:hAnsi="Times New Roman"/>
                <w:b/>
                <w:sz w:val="20"/>
                <w:szCs w:val="20"/>
              </w:rPr>
              <w:t>STT</w:t>
            </w:r>
          </w:p>
        </w:tc>
        <w:tc>
          <w:tcPr>
            <w:tcW w:w="6300" w:type="dxa"/>
            <w:tcBorders>
              <w:bottom w:val="single" w:sz="4" w:space="0" w:color="auto"/>
            </w:tcBorders>
            <w:vAlign w:val="center"/>
          </w:tcPr>
          <w:p w:rsidR="007A7D4F" w:rsidRPr="007A7D4F" w:rsidRDefault="007A7D4F" w:rsidP="00A64F75">
            <w:pPr>
              <w:pStyle w:val="ListParagraph"/>
              <w:tabs>
                <w:tab w:val="left" w:pos="1080"/>
              </w:tabs>
              <w:spacing w:after="120" w:line="240" w:lineRule="auto"/>
              <w:ind w:left="0"/>
              <w:jc w:val="both"/>
              <w:rPr>
                <w:rFonts w:ascii="Times New Roman" w:hAnsi="Times New Roman"/>
                <w:sz w:val="20"/>
                <w:szCs w:val="20"/>
              </w:rPr>
            </w:pPr>
            <w:r w:rsidRPr="007A7D4F">
              <w:rPr>
                <w:rFonts w:ascii="Times New Roman" w:hAnsi="Times New Roman"/>
                <w:b/>
                <w:sz w:val="20"/>
                <w:szCs w:val="20"/>
              </w:rPr>
              <w:t>Đối tác thanh toán cho tổ chức kinh doanh chứng khoán</w:t>
            </w:r>
          </w:p>
        </w:tc>
        <w:tc>
          <w:tcPr>
            <w:tcW w:w="1260" w:type="dxa"/>
            <w:tcBorders>
              <w:bottom w:val="single" w:sz="4" w:space="0" w:color="auto"/>
            </w:tcBorders>
            <w:vAlign w:val="center"/>
          </w:tcPr>
          <w:p w:rsidR="007A7D4F" w:rsidRPr="007A7D4F" w:rsidRDefault="007A7D4F" w:rsidP="00A64F75">
            <w:pPr>
              <w:pStyle w:val="ListParagraph"/>
              <w:tabs>
                <w:tab w:val="left" w:pos="1080"/>
              </w:tabs>
              <w:spacing w:after="120" w:line="240" w:lineRule="auto"/>
              <w:ind w:left="0"/>
              <w:jc w:val="center"/>
              <w:rPr>
                <w:rFonts w:ascii="Times New Roman" w:hAnsi="Times New Roman"/>
                <w:sz w:val="20"/>
                <w:szCs w:val="20"/>
              </w:rPr>
            </w:pPr>
            <w:r w:rsidRPr="007A7D4F">
              <w:rPr>
                <w:rFonts w:ascii="Times New Roman" w:hAnsi="Times New Roman"/>
                <w:b/>
                <w:sz w:val="20"/>
                <w:szCs w:val="20"/>
              </w:rPr>
              <w:t>Hệ số rủi ro thanh toán</w:t>
            </w:r>
          </w:p>
        </w:tc>
      </w:tr>
      <w:tr w:rsidR="007A7D4F" w:rsidRPr="007A7D4F" w:rsidTr="007A7D4F">
        <w:trPr>
          <w:trHeight w:val="1071"/>
        </w:trPr>
        <w:tc>
          <w:tcPr>
            <w:tcW w:w="562" w:type="dxa"/>
            <w:tcBorders>
              <w:top w:val="single" w:sz="4" w:space="0" w:color="auto"/>
            </w:tcBorders>
            <w:vAlign w:val="center"/>
          </w:tcPr>
          <w:p w:rsidR="007A7D4F" w:rsidRPr="007A7D4F" w:rsidRDefault="007A7D4F" w:rsidP="00A64F75">
            <w:pPr>
              <w:pStyle w:val="ListParagraph"/>
              <w:numPr>
                <w:ilvl w:val="0"/>
                <w:numId w:val="28"/>
              </w:numPr>
              <w:tabs>
                <w:tab w:val="left" w:pos="1080"/>
              </w:tabs>
              <w:spacing w:after="120" w:line="240" w:lineRule="auto"/>
              <w:ind w:left="0" w:firstLine="0"/>
              <w:rPr>
                <w:rFonts w:ascii="Times New Roman" w:hAnsi="Times New Roman"/>
                <w:sz w:val="20"/>
                <w:szCs w:val="20"/>
              </w:rPr>
            </w:pPr>
          </w:p>
        </w:tc>
        <w:tc>
          <w:tcPr>
            <w:tcW w:w="6300" w:type="dxa"/>
            <w:tcBorders>
              <w:top w:val="single" w:sz="4" w:space="0" w:color="auto"/>
            </w:tcBorders>
            <w:vAlign w:val="center"/>
          </w:tcPr>
          <w:p w:rsidR="007A7D4F" w:rsidRPr="007A7D4F" w:rsidRDefault="007A7D4F" w:rsidP="00A64F75">
            <w:pPr>
              <w:pStyle w:val="ListParagraph"/>
              <w:tabs>
                <w:tab w:val="left" w:pos="1080"/>
              </w:tabs>
              <w:spacing w:after="120" w:line="240" w:lineRule="auto"/>
              <w:ind w:left="0"/>
              <w:jc w:val="both"/>
              <w:rPr>
                <w:rFonts w:ascii="Times New Roman" w:hAnsi="Times New Roman"/>
                <w:sz w:val="20"/>
                <w:szCs w:val="20"/>
              </w:rPr>
            </w:pPr>
            <w:r w:rsidRPr="007A7D4F">
              <w:rPr>
                <w:rFonts w:ascii="Times New Roman" w:hAnsi="Times New Roman"/>
                <w:sz w:val="20"/>
                <w:szCs w:val="20"/>
              </w:rPr>
              <w:t xml:space="preserve">Chính phủ, các tổ chức phát hành được Chính phủ bảo lãnh, Bộ Tài chính bảo lãnh, Ngân hàng Nhà nước, Chính phủ và Ngân hàng Trung ương các nước thuộc khối OECD; Ủy ban Nhân dân tỉnh, thành phố trực thuộc Trung ương; </w:t>
            </w:r>
          </w:p>
        </w:tc>
        <w:tc>
          <w:tcPr>
            <w:tcW w:w="1260" w:type="dxa"/>
            <w:tcBorders>
              <w:top w:val="single" w:sz="4" w:space="0" w:color="auto"/>
            </w:tcBorders>
            <w:vAlign w:val="center"/>
          </w:tcPr>
          <w:p w:rsidR="007A7D4F" w:rsidRPr="007A7D4F" w:rsidRDefault="007A7D4F" w:rsidP="00A64F75">
            <w:pPr>
              <w:pStyle w:val="ListParagraph"/>
              <w:tabs>
                <w:tab w:val="left" w:pos="1080"/>
              </w:tabs>
              <w:spacing w:after="120" w:line="240" w:lineRule="auto"/>
              <w:ind w:left="0"/>
              <w:jc w:val="center"/>
              <w:rPr>
                <w:rFonts w:ascii="Times New Roman" w:hAnsi="Times New Roman"/>
                <w:sz w:val="20"/>
                <w:szCs w:val="20"/>
              </w:rPr>
            </w:pPr>
            <w:r w:rsidRPr="007A7D4F">
              <w:rPr>
                <w:rFonts w:ascii="Times New Roman" w:hAnsi="Times New Roman"/>
                <w:sz w:val="20"/>
                <w:szCs w:val="20"/>
              </w:rPr>
              <w:t>0%</w:t>
            </w:r>
          </w:p>
        </w:tc>
      </w:tr>
      <w:tr w:rsidR="007A7D4F" w:rsidRPr="007A7D4F" w:rsidTr="007A7D4F">
        <w:trPr>
          <w:trHeight w:val="446"/>
        </w:trPr>
        <w:tc>
          <w:tcPr>
            <w:tcW w:w="562" w:type="dxa"/>
            <w:vAlign w:val="center"/>
          </w:tcPr>
          <w:p w:rsidR="007A7D4F" w:rsidRPr="007A7D4F" w:rsidRDefault="007A7D4F" w:rsidP="00A64F75">
            <w:pPr>
              <w:pStyle w:val="ListParagraph"/>
              <w:numPr>
                <w:ilvl w:val="0"/>
                <w:numId w:val="28"/>
              </w:numPr>
              <w:tabs>
                <w:tab w:val="left" w:pos="1080"/>
              </w:tabs>
              <w:spacing w:after="120" w:line="240" w:lineRule="auto"/>
              <w:ind w:left="0" w:firstLine="0"/>
              <w:rPr>
                <w:rFonts w:ascii="Times New Roman" w:hAnsi="Times New Roman"/>
                <w:sz w:val="20"/>
                <w:szCs w:val="20"/>
              </w:rPr>
            </w:pPr>
          </w:p>
        </w:tc>
        <w:tc>
          <w:tcPr>
            <w:tcW w:w="6300" w:type="dxa"/>
            <w:vAlign w:val="center"/>
          </w:tcPr>
          <w:p w:rsidR="007A7D4F" w:rsidRPr="007A7D4F" w:rsidRDefault="007A7D4F" w:rsidP="00A64F75">
            <w:pPr>
              <w:pStyle w:val="ListParagraph"/>
              <w:tabs>
                <w:tab w:val="left" w:pos="1080"/>
              </w:tabs>
              <w:spacing w:after="120" w:line="240" w:lineRule="auto"/>
              <w:ind w:left="0"/>
              <w:jc w:val="both"/>
              <w:rPr>
                <w:rFonts w:ascii="Times New Roman" w:hAnsi="Times New Roman"/>
                <w:sz w:val="20"/>
                <w:szCs w:val="20"/>
              </w:rPr>
            </w:pPr>
            <w:r w:rsidRPr="007A7D4F">
              <w:rPr>
                <w:rFonts w:ascii="Times New Roman" w:hAnsi="Times New Roman"/>
                <w:sz w:val="20"/>
                <w:szCs w:val="20"/>
              </w:rPr>
              <w:t xml:space="preserve"> Sở Giao dịch Chứng khoán, Trung tâm Lưu ký Chứng khoán</w:t>
            </w:r>
          </w:p>
        </w:tc>
        <w:tc>
          <w:tcPr>
            <w:tcW w:w="1260" w:type="dxa"/>
            <w:vAlign w:val="center"/>
          </w:tcPr>
          <w:p w:rsidR="007A7D4F" w:rsidRPr="007A7D4F" w:rsidRDefault="007A7D4F" w:rsidP="00A64F75">
            <w:pPr>
              <w:pStyle w:val="ListParagraph"/>
              <w:tabs>
                <w:tab w:val="left" w:pos="1080"/>
              </w:tabs>
              <w:spacing w:after="120" w:line="240" w:lineRule="auto"/>
              <w:ind w:left="0"/>
              <w:jc w:val="center"/>
              <w:rPr>
                <w:rFonts w:ascii="Times New Roman" w:hAnsi="Times New Roman"/>
                <w:sz w:val="20"/>
                <w:szCs w:val="20"/>
              </w:rPr>
            </w:pPr>
            <w:r w:rsidRPr="007A7D4F">
              <w:rPr>
                <w:rFonts w:ascii="Times New Roman" w:hAnsi="Times New Roman"/>
                <w:sz w:val="20"/>
                <w:szCs w:val="20"/>
              </w:rPr>
              <w:t>0,8%</w:t>
            </w:r>
          </w:p>
        </w:tc>
      </w:tr>
      <w:tr w:rsidR="007A7D4F" w:rsidRPr="007A7D4F" w:rsidTr="007A7D4F">
        <w:tc>
          <w:tcPr>
            <w:tcW w:w="562" w:type="dxa"/>
            <w:vAlign w:val="center"/>
          </w:tcPr>
          <w:p w:rsidR="007A7D4F" w:rsidRPr="007A7D4F" w:rsidRDefault="007A7D4F" w:rsidP="00A64F75">
            <w:pPr>
              <w:pStyle w:val="ListParagraph"/>
              <w:numPr>
                <w:ilvl w:val="0"/>
                <w:numId w:val="28"/>
              </w:numPr>
              <w:tabs>
                <w:tab w:val="left" w:pos="1080"/>
              </w:tabs>
              <w:spacing w:after="120" w:line="240" w:lineRule="auto"/>
              <w:ind w:left="0" w:firstLine="0"/>
              <w:rPr>
                <w:rFonts w:ascii="Times New Roman" w:hAnsi="Times New Roman"/>
                <w:sz w:val="20"/>
                <w:szCs w:val="20"/>
              </w:rPr>
            </w:pPr>
          </w:p>
        </w:tc>
        <w:tc>
          <w:tcPr>
            <w:tcW w:w="6300" w:type="dxa"/>
            <w:vAlign w:val="center"/>
          </w:tcPr>
          <w:p w:rsidR="007A7D4F" w:rsidRPr="007A7D4F" w:rsidRDefault="007A7D4F" w:rsidP="00A64F75">
            <w:pPr>
              <w:pStyle w:val="ListParagraph"/>
              <w:tabs>
                <w:tab w:val="left" w:pos="1080"/>
              </w:tabs>
              <w:spacing w:after="120" w:line="240" w:lineRule="auto"/>
              <w:ind w:left="0"/>
              <w:jc w:val="both"/>
              <w:rPr>
                <w:rFonts w:ascii="Times New Roman" w:hAnsi="Times New Roman"/>
                <w:sz w:val="20"/>
                <w:szCs w:val="20"/>
              </w:rPr>
            </w:pPr>
            <w:r w:rsidRPr="007A7D4F">
              <w:rPr>
                <w:rFonts w:ascii="Times New Roman" w:hAnsi="Times New Roman"/>
                <w:sz w:val="20"/>
                <w:szCs w:val="20"/>
              </w:rPr>
              <w:t>Tổ chức tín dụng, tổ chức tài chính, tổ chức kinh doanh chứng khoán thành lập ở các nước thuộc khối OECD và có hệ số tín nhiệm đáp ứng các điều kiện khác theo quy định nội bộ của tổ chức kinh doanh chứng khoán</w:t>
            </w:r>
          </w:p>
        </w:tc>
        <w:tc>
          <w:tcPr>
            <w:tcW w:w="1260" w:type="dxa"/>
            <w:vAlign w:val="center"/>
          </w:tcPr>
          <w:p w:rsidR="007A7D4F" w:rsidRPr="007A7D4F" w:rsidRDefault="007A7D4F" w:rsidP="00A64F75">
            <w:pPr>
              <w:pStyle w:val="ListParagraph"/>
              <w:tabs>
                <w:tab w:val="left" w:pos="1080"/>
              </w:tabs>
              <w:spacing w:after="120" w:line="240" w:lineRule="auto"/>
              <w:ind w:left="0"/>
              <w:jc w:val="center"/>
              <w:rPr>
                <w:rFonts w:ascii="Times New Roman" w:hAnsi="Times New Roman"/>
                <w:sz w:val="20"/>
                <w:szCs w:val="20"/>
              </w:rPr>
            </w:pPr>
            <w:r w:rsidRPr="007A7D4F">
              <w:rPr>
                <w:rFonts w:ascii="Times New Roman" w:hAnsi="Times New Roman"/>
                <w:sz w:val="20"/>
                <w:szCs w:val="20"/>
              </w:rPr>
              <w:t>3,2%</w:t>
            </w:r>
          </w:p>
        </w:tc>
      </w:tr>
      <w:tr w:rsidR="007A7D4F" w:rsidRPr="007A7D4F" w:rsidTr="007A7D4F">
        <w:tc>
          <w:tcPr>
            <w:tcW w:w="562" w:type="dxa"/>
            <w:vAlign w:val="center"/>
          </w:tcPr>
          <w:p w:rsidR="007A7D4F" w:rsidRPr="007A7D4F" w:rsidRDefault="007A7D4F" w:rsidP="00A64F75">
            <w:pPr>
              <w:pStyle w:val="ListParagraph"/>
              <w:numPr>
                <w:ilvl w:val="0"/>
                <w:numId w:val="28"/>
              </w:numPr>
              <w:tabs>
                <w:tab w:val="left" w:pos="1080"/>
              </w:tabs>
              <w:spacing w:after="120" w:line="240" w:lineRule="auto"/>
              <w:ind w:left="0" w:firstLine="0"/>
              <w:rPr>
                <w:rFonts w:ascii="Times New Roman" w:hAnsi="Times New Roman"/>
                <w:sz w:val="20"/>
                <w:szCs w:val="20"/>
              </w:rPr>
            </w:pPr>
          </w:p>
        </w:tc>
        <w:tc>
          <w:tcPr>
            <w:tcW w:w="6300" w:type="dxa"/>
            <w:vAlign w:val="center"/>
          </w:tcPr>
          <w:p w:rsidR="007A7D4F" w:rsidRPr="007A7D4F" w:rsidRDefault="007A7D4F" w:rsidP="00A64F75">
            <w:pPr>
              <w:pStyle w:val="ListParagraph"/>
              <w:tabs>
                <w:tab w:val="left" w:pos="1080"/>
              </w:tabs>
              <w:spacing w:after="120" w:line="240" w:lineRule="auto"/>
              <w:ind w:left="0"/>
              <w:jc w:val="both"/>
              <w:rPr>
                <w:rFonts w:ascii="Times New Roman" w:hAnsi="Times New Roman"/>
                <w:sz w:val="20"/>
                <w:szCs w:val="20"/>
              </w:rPr>
            </w:pPr>
            <w:r w:rsidRPr="007A7D4F">
              <w:rPr>
                <w:rFonts w:ascii="Times New Roman" w:hAnsi="Times New Roman"/>
                <w:sz w:val="20"/>
                <w:szCs w:val="20"/>
              </w:rPr>
              <w:t>Tổ chức tín dụng, tổ chức tài chính, tổ chức kinh doanh chứng khoán thành lập ngoài các nước OECD; hoặc thành lập tại các nước thuộc khối OECD và không đáp ứng các điều kiện khác theo quy định nội bộ của tổ chức kinh doanh chứng khoán</w:t>
            </w:r>
          </w:p>
        </w:tc>
        <w:tc>
          <w:tcPr>
            <w:tcW w:w="1260" w:type="dxa"/>
            <w:vAlign w:val="center"/>
          </w:tcPr>
          <w:p w:rsidR="007A7D4F" w:rsidRPr="007A7D4F" w:rsidRDefault="007A7D4F" w:rsidP="00A64F75">
            <w:pPr>
              <w:pStyle w:val="ListParagraph"/>
              <w:tabs>
                <w:tab w:val="left" w:pos="1080"/>
              </w:tabs>
              <w:spacing w:after="120" w:line="240" w:lineRule="auto"/>
              <w:ind w:left="0"/>
              <w:jc w:val="center"/>
              <w:rPr>
                <w:rFonts w:ascii="Times New Roman" w:hAnsi="Times New Roman"/>
                <w:sz w:val="20"/>
                <w:szCs w:val="20"/>
              </w:rPr>
            </w:pPr>
            <w:r w:rsidRPr="007A7D4F">
              <w:rPr>
                <w:rFonts w:ascii="Times New Roman" w:hAnsi="Times New Roman"/>
                <w:sz w:val="20"/>
                <w:szCs w:val="20"/>
              </w:rPr>
              <w:t>4,8%</w:t>
            </w:r>
          </w:p>
        </w:tc>
      </w:tr>
      <w:tr w:rsidR="007A7D4F" w:rsidRPr="007A7D4F" w:rsidTr="007A7D4F">
        <w:tc>
          <w:tcPr>
            <w:tcW w:w="562" w:type="dxa"/>
            <w:vAlign w:val="center"/>
          </w:tcPr>
          <w:p w:rsidR="007A7D4F" w:rsidRPr="007A7D4F" w:rsidRDefault="007A7D4F" w:rsidP="00A64F75">
            <w:pPr>
              <w:pStyle w:val="ListParagraph"/>
              <w:numPr>
                <w:ilvl w:val="0"/>
                <w:numId w:val="28"/>
              </w:numPr>
              <w:tabs>
                <w:tab w:val="left" w:pos="1080"/>
              </w:tabs>
              <w:spacing w:after="120" w:line="240" w:lineRule="auto"/>
              <w:ind w:left="0" w:firstLine="0"/>
              <w:rPr>
                <w:rFonts w:ascii="Times New Roman" w:hAnsi="Times New Roman"/>
                <w:sz w:val="20"/>
                <w:szCs w:val="20"/>
              </w:rPr>
            </w:pPr>
          </w:p>
        </w:tc>
        <w:tc>
          <w:tcPr>
            <w:tcW w:w="6300" w:type="dxa"/>
            <w:vAlign w:val="center"/>
          </w:tcPr>
          <w:p w:rsidR="007A7D4F" w:rsidRPr="007A7D4F" w:rsidRDefault="007A7D4F" w:rsidP="00A64F75">
            <w:pPr>
              <w:pStyle w:val="ListParagraph"/>
              <w:tabs>
                <w:tab w:val="left" w:pos="1080"/>
              </w:tabs>
              <w:spacing w:after="120" w:line="240" w:lineRule="auto"/>
              <w:ind w:left="0"/>
              <w:jc w:val="both"/>
              <w:rPr>
                <w:rFonts w:ascii="Times New Roman" w:hAnsi="Times New Roman"/>
                <w:sz w:val="20"/>
                <w:szCs w:val="20"/>
              </w:rPr>
            </w:pPr>
            <w:r w:rsidRPr="007A7D4F">
              <w:rPr>
                <w:rFonts w:ascii="Times New Roman" w:hAnsi="Times New Roman"/>
                <w:sz w:val="20"/>
                <w:szCs w:val="20"/>
              </w:rPr>
              <w:t xml:space="preserve">Tổ chức tín dụng, tổ chức tài chính, tổ chức kinh doanh chứng khoán thành lập và hoạt động tại Việt Nam </w:t>
            </w:r>
          </w:p>
        </w:tc>
        <w:tc>
          <w:tcPr>
            <w:tcW w:w="1260" w:type="dxa"/>
            <w:vAlign w:val="center"/>
          </w:tcPr>
          <w:p w:rsidR="007A7D4F" w:rsidRPr="007A7D4F" w:rsidRDefault="007A7D4F" w:rsidP="00A64F75">
            <w:pPr>
              <w:pStyle w:val="ListParagraph"/>
              <w:tabs>
                <w:tab w:val="left" w:pos="1080"/>
              </w:tabs>
              <w:spacing w:after="120" w:line="240" w:lineRule="auto"/>
              <w:ind w:left="0"/>
              <w:jc w:val="center"/>
              <w:rPr>
                <w:rFonts w:ascii="Times New Roman" w:hAnsi="Times New Roman"/>
                <w:sz w:val="20"/>
                <w:szCs w:val="20"/>
              </w:rPr>
            </w:pPr>
            <w:r w:rsidRPr="007A7D4F">
              <w:rPr>
                <w:rFonts w:ascii="Times New Roman" w:hAnsi="Times New Roman"/>
                <w:sz w:val="20"/>
                <w:szCs w:val="20"/>
              </w:rPr>
              <w:t>6%</w:t>
            </w:r>
          </w:p>
        </w:tc>
      </w:tr>
      <w:tr w:rsidR="007A7D4F" w:rsidRPr="007A7D4F" w:rsidTr="007A7D4F">
        <w:trPr>
          <w:trHeight w:val="413"/>
        </w:trPr>
        <w:tc>
          <w:tcPr>
            <w:tcW w:w="562" w:type="dxa"/>
            <w:vAlign w:val="center"/>
          </w:tcPr>
          <w:p w:rsidR="007A7D4F" w:rsidRPr="007A7D4F" w:rsidRDefault="007A7D4F" w:rsidP="00A64F75">
            <w:pPr>
              <w:pStyle w:val="ListParagraph"/>
              <w:numPr>
                <w:ilvl w:val="0"/>
                <w:numId w:val="28"/>
              </w:numPr>
              <w:tabs>
                <w:tab w:val="left" w:pos="1080"/>
              </w:tabs>
              <w:spacing w:after="120" w:line="240" w:lineRule="auto"/>
              <w:ind w:left="0" w:firstLine="0"/>
              <w:rPr>
                <w:rFonts w:ascii="Times New Roman" w:hAnsi="Times New Roman"/>
                <w:sz w:val="20"/>
                <w:szCs w:val="20"/>
              </w:rPr>
            </w:pPr>
          </w:p>
        </w:tc>
        <w:tc>
          <w:tcPr>
            <w:tcW w:w="6300" w:type="dxa"/>
            <w:vAlign w:val="center"/>
          </w:tcPr>
          <w:p w:rsidR="007A7D4F" w:rsidRPr="007A7D4F" w:rsidRDefault="007A7D4F" w:rsidP="00A64F75">
            <w:pPr>
              <w:pStyle w:val="ListParagraph"/>
              <w:tabs>
                <w:tab w:val="left" w:pos="1080"/>
              </w:tabs>
              <w:spacing w:after="120" w:line="240" w:lineRule="auto"/>
              <w:ind w:left="0"/>
              <w:jc w:val="both"/>
              <w:rPr>
                <w:rFonts w:ascii="Times New Roman" w:hAnsi="Times New Roman"/>
                <w:b/>
                <w:sz w:val="20"/>
                <w:szCs w:val="20"/>
              </w:rPr>
            </w:pPr>
            <w:r w:rsidRPr="007A7D4F">
              <w:rPr>
                <w:rFonts w:ascii="Times New Roman" w:hAnsi="Times New Roman"/>
                <w:sz w:val="20"/>
                <w:szCs w:val="20"/>
              </w:rPr>
              <w:t xml:space="preserve">Các tổ chức, cá nhân khác </w:t>
            </w:r>
          </w:p>
        </w:tc>
        <w:tc>
          <w:tcPr>
            <w:tcW w:w="1260" w:type="dxa"/>
            <w:vAlign w:val="center"/>
          </w:tcPr>
          <w:p w:rsidR="007A7D4F" w:rsidRPr="007A7D4F" w:rsidRDefault="007A7D4F" w:rsidP="00A64F75">
            <w:pPr>
              <w:pStyle w:val="ListParagraph"/>
              <w:tabs>
                <w:tab w:val="left" w:pos="1080"/>
              </w:tabs>
              <w:spacing w:after="120" w:line="240" w:lineRule="auto"/>
              <w:ind w:left="0"/>
              <w:jc w:val="center"/>
              <w:rPr>
                <w:rFonts w:ascii="Times New Roman" w:hAnsi="Times New Roman"/>
                <w:sz w:val="20"/>
                <w:szCs w:val="20"/>
              </w:rPr>
            </w:pPr>
            <w:r w:rsidRPr="007A7D4F">
              <w:rPr>
                <w:rFonts w:ascii="Times New Roman" w:hAnsi="Times New Roman"/>
                <w:sz w:val="20"/>
                <w:szCs w:val="20"/>
              </w:rPr>
              <w:t>8%</w:t>
            </w:r>
          </w:p>
        </w:tc>
      </w:tr>
    </w:tbl>
    <w:p w:rsidR="007C084A" w:rsidRDefault="007C084A" w:rsidP="00986CAB">
      <w:pPr>
        <w:tabs>
          <w:tab w:val="left" w:pos="978"/>
        </w:tabs>
        <w:rPr>
          <w:rFonts w:ascii="Times New Roman" w:eastAsia="Times New Roman" w:hAnsi="Times New Roman"/>
          <w:sz w:val="20"/>
          <w:szCs w:val="20"/>
        </w:rPr>
      </w:pPr>
    </w:p>
    <w:p w:rsidR="007C084A" w:rsidRPr="00374801" w:rsidRDefault="007C084A" w:rsidP="00986CAB">
      <w:pPr>
        <w:tabs>
          <w:tab w:val="left" w:pos="978"/>
        </w:tabs>
        <w:rPr>
          <w:rFonts w:ascii="Times New Roman" w:eastAsia="Times New Roman" w:hAnsi="Times New Roman"/>
          <w:sz w:val="20"/>
          <w:szCs w:val="20"/>
        </w:rPr>
        <w:sectPr w:rsidR="007C084A" w:rsidRPr="00374801" w:rsidSect="001F124F">
          <w:headerReference w:type="default" r:id="rId15"/>
          <w:footerReference w:type="default" r:id="rId16"/>
          <w:pgSz w:w="11907" w:h="16840" w:code="9"/>
          <w:pgMar w:top="332" w:right="1197" w:bottom="720" w:left="1872" w:header="533" w:footer="576" w:gutter="0"/>
          <w:pgNumType w:start="6"/>
          <w:cols w:space="720"/>
          <w:docGrid w:linePitch="360"/>
        </w:sectPr>
      </w:pPr>
    </w:p>
    <w:p w:rsidR="004C2EE8" w:rsidRDefault="00ED31CB" w:rsidP="00F95BEF">
      <w:pPr>
        <w:tabs>
          <w:tab w:val="left" w:pos="978"/>
        </w:tabs>
        <w:ind w:left="900" w:hanging="900"/>
        <w:jc w:val="both"/>
        <w:rPr>
          <w:rFonts w:ascii="Times New Roman" w:eastAsia="Times New Roman" w:hAnsi="Times New Roman"/>
          <w:sz w:val="20"/>
          <w:szCs w:val="20"/>
        </w:rPr>
      </w:pPr>
      <w:r>
        <w:rPr>
          <w:rFonts w:ascii="Times New Roman" w:eastAsia="Times New Roman" w:hAnsi="Times New Roman"/>
          <w:sz w:val="20"/>
          <w:szCs w:val="20"/>
        </w:rPr>
        <w:lastRenderedPageBreak/>
        <w:fldChar w:fldCharType="begin"/>
      </w:r>
      <w:r>
        <w:rPr>
          <w:rFonts w:ascii="Times New Roman" w:eastAsia="Times New Roman" w:hAnsi="Times New Roman"/>
          <w:sz w:val="20"/>
          <w:szCs w:val="20"/>
        </w:rPr>
        <w:instrText xml:space="preserve"> LINK Excel.Sheet.8 "E:\\AUDIT\\KT giua 2015\\Cty CK KIS\\Bao cao VKD 2014\\VKD 31122015.xls!RRTTO 5!R3C1:R28C10" "" \a \p </w:instrText>
      </w:r>
      <w:r>
        <w:rPr>
          <w:rFonts w:ascii="Times New Roman" w:eastAsia="Times New Roman" w:hAnsi="Times New Roman"/>
          <w:sz w:val="20"/>
          <w:szCs w:val="20"/>
        </w:rPr>
        <w:fldChar w:fldCharType="separate"/>
      </w:r>
      <w:r w:rsidRPr="00ED31CB">
        <w:rPr>
          <w:rFonts w:ascii="Times New Roman" w:eastAsia="Times New Roman" w:hAnsi="Times New Roman"/>
          <w:sz w:val="20"/>
          <w:szCs w:val="20"/>
        </w:rPr>
        <w:object w:dxaOrig="14906" w:dyaOrig="8142">
          <v:shape id="_x0000_i1028" type="#_x0000_t75" style="width:706.75pt;height:384.75pt">
            <v:imagedata r:id="rId17" o:title=""/>
          </v:shape>
        </w:object>
      </w:r>
      <w:r>
        <w:rPr>
          <w:rFonts w:ascii="Times New Roman" w:eastAsia="Times New Roman" w:hAnsi="Times New Roman"/>
          <w:sz w:val="20"/>
          <w:szCs w:val="20"/>
        </w:rPr>
        <w:fldChar w:fldCharType="end"/>
      </w:r>
    </w:p>
    <w:p w:rsidR="00F95BEF" w:rsidRDefault="007B14AC" w:rsidP="004C2EE8">
      <w:pPr>
        <w:ind w:left="90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F95BEF">
        <w:rPr>
          <w:rFonts w:ascii="Times New Roman" w:eastAsia="Times New Roman" w:hAnsi="Times New Roman"/>
          <w:sz w:val="20"/>
          <w:szCs w:val="20"/>
        </w:rPr>
        <w:t>Giá trị rủi ro thanh toán của khoản tiền gửi có kỳ hạn tại</w:t>
      </w:r>
      <w:r w:rsidR="00D47078">
        <w:rPr>
          <w:rFonts w:ascii="Times New Roman" w:eastAsia="Times New Roman" w:hAnsi="Times New Roman"/>
          <w:sz w:val="20"/>
          <w:szCs w:val="20"/>
        </w:rPr>
        <w:t xml:space="preserve"> các</w:t>
      </w:r>
      <w:r w:rsidR="00F95BEF">
        <w:rPr>
          <w:rFonts w:ascii="Times New Roman" w:eastAsia="Times New Roman" w:hAnsi="Times New Roman"/>
          <w:sz w:val="20"/>
          <w:szCs w:val="20"/>
        </w:rPr>
        <w:t xml:space="preserve"> </w:t>
      </w:r>
      <w:r w:rsidR="00D47078">
        <w:rPr>
          <w:rFonts w:ascii="Times New Roman" w:eastAsia="Times New Roman" w:hAnsi="Times New Roman"/>
          <w:sz w:val="20"/>
          <w:szCs w:val="20"/>
        </w:rPr>
        <w:t>n</w:t>
      </w:r>
      <w:r w:rsidR="00F95BEF">
        <w:rPr>
          <w:rFonts w:ascii="Times New Roman" w:eastAsia="Times New Roman" w:hAnsi="Times New Roman"/>
          <w:sz w:val="20"/>
          <w:szCs w:val="20"/>
        </w:rPr>
        <w:t xml:space="preserve">gân hàng </w:t>
      </w:r>
      <w:r w:rsidR="00D47078">
        <w:rPr>
          <w:rFonts w:ascii="Times New Roman" w:eastAsia="Times New Roman" w:hAnsi="Times New Roman"/>
          <w:sz w:val="20"/>
          <w:szCs w:val="20"/>
        </w:rPr>
        <w:t xml:space="preserve">này </w:t>
      </w:r>
      <w:r w:rsidR="00F95BEF">
        <w:rPr>
          <w:rFonts w:ascii="Times New Roman" w:eastAsia="Times New Roman" w:hAnsi="Times New Roman"/>
          <w:sz w:val="20"/>
          <w:szCs w:val="20"/>
        </w:rPr>
        <w:t xml:space="preserve">được điều chỉnh tăng thêm </w:t>
      </w:r>
      <w:r w:rsidR="00D47078">
        <w:rPr>
          <w:rFonts w:ascii="Times New Roman" w:eastAsia="Times New Roman" w:hAnsi="Times New Roman"/>
          <w:sz w:val="20"/>
          <w:szCs w:val="20"/>
        </w:rPr>
        <w:t>1</w:t>
      </w:r>
      <w:r w:rsidR="00F95BEF">
        <w:rPr>
          <w:rFonts w:ascii="Times New Roman" w:eastAsia="Times New Roman" w:hAnsi="Times New Roman"/>
          <w:sz w:val="20"/>
          <w:szCs w:val="20"/>
        </w:rPr>
        <w:t>0% do giá trị</w:t>
      </w:r>
      <w:r w:rsidR="00016615">
        <w:rPr>
          <w:rFonts w:ascii="Times New Roman" w:eastAsia="Times New Roman" w:hAnsi="Times New Roman"/>
          <w:sz w:val="20"/>
          <w:szCs w:val="20"/>
        </w:rPr>
        <w:t xml:space="preserve"> các</w:t>
      </w:r>
      <w:r w:rsidR="00F95BEF">
        <w:rPr>
          <w:rFonts w:ascii="Times New Roman" w:eastAsia="Times New Roman" w:hAnsi="Times New Roman"/>
          <w:sz w:val="20"/>
          <w:szCs w:val="20"/>
        </w:rPr>
        <w:t xml:space="preserve"> khoản tiền gửi có kỳ hạn này chiếm </w:t>
      </w:r>
      <w:r w:rsidR="00016615">
        <w:rPr>
          <w:rFonts w:ascii="Times New Roman" w:eastAsia="Times New Roman" w:hAnsi="Times New Roman"/>
          <w:sz w:val="20"/>
          <w:szCs w:val="20"/>
        </w:rPr>
        <w:t>từ 10% đến 15%</w:t>
      </w:r>
      <w:r w:rsidR="00F95BEF">
        <w:rPr>
          <w:rFonts w:ascii="Times New Roman" w:eastAsia="Times New Roman" w:hAnsi="Times New Roman"/>
          <w:sz w:val="20"/>
          <w:szCs w:val="20"/>
        </w:rPr>
        <w:t xml:space="preserve"> vốn chủ sở hữu của Công ty.</w:t>
      </w:r>
    </w:p>
    <w:p w:rsidR="00F95BEF" w:rsidRPr="00374801" w:rsidRDefault="00F95BEF" w:rsidP="00F95BEF">
      <w:pPr>
        <w:tabs>
          <w:tab w:val="left" w:pos="978"/>
        </w:tabs>
        <w:jc w:val="both"/>
        <w:rPr>
          <w:rFonts w:ascii="Times New Roman" w:eastAsia="Times New Roman" w:hAnsi="Times New Roman"/>
          <w:sz w:val="20"/>
          <w:szCs w:val="20"/>
        </w:rPr>
        <w:sectPr w:rsidR="00F95BEF" w:rsidRPr="00374801" w:rsidSect="00D85C28">
          <w:headerReference w:type="default" r:id="rId18"/>
          <w:footerReference w:type="default" r:id="rId19"/>
          <w:pgSz w:w="16840" w:h="11907" w:orient="landscape" w:code="9"/>
          <w:pgMar w:top="1350" w:right="1180" w:bottom="900" w:left="1530" w:header="990" w:footer="576" w:gutter="0"/>
          <w:pgNumType w:start="16"/>
          <w:cols w:space="720"/>
          <w:docGrid w:linePitch="360"/>
        </w:sectPr>
      </w:pPr>
    </w:p>
    <w:p w:rsidR="00D85C28" w:rsidRPr="00374801" w:rsidRDefault="00D85C28" w:rsidP="00D85C28">
      <w:pPr>
        <w:tabs>
          <w:tab w:val="left" w:pos="978"/>
        </w:tabs>
        <w:spacing w:after="0"/>
        <w:rPr>
          <w:rFonts w:ascii="Times New Roman" w:eastAsia="Times New Roman" w:hAnsi="Times New Roman"/>
          <w:sz w:val="20"/>
          <w:szCs w:val="20"/>
        </w:rPr>
      </w:pPr>
    </w:p>
    <w:p w:rsidR="00322FCB" w:rsidRPr="00374801" w:rsidRDefault="00ED31CB" w:rsidP="000703FA">
      <w:pPr>
        <w:tabs>
          <w:tab w:val="left" w:pos="978"/>
        </w:tabs>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LINK Excel.Sheet.8 "E:\\AUDIT\\KT giua 2015\\Cty CK KIS\\Bao cao VKD 2014\\VKD 31122015.xls!RRHD 6!R4C1:R16C4" "" \a \p </w:instrText>
      </w:r>
      <w:r>
        <w:rPr>
          <w:rFonts w:ascii="Times New Roman" w:eastAsia="Times New Roman" w:hAnsi="Times New Roman"/>
          <w:sz w:val="20"/>
          <w:szCs w:val="20"/>
        </w:rPr>
        <w:fldChar w:fldCharType="separate"/>
      </w:r>
      <w:r w:rsidRPr="00ED31CB">
        <w:rPr>
          <w:rFonts w:ascii="Times New Roman" w:eastAsia="Times New Roman" w:hAnsi="Times New Roman"/>
          <w:sz w:val="20"/>
          <w:szCs w:val="20"/>
        </w:rPr>
        <w:object w:dxaOrig="8675" w:dyaOrig="4238">
          <v:shape id="_x0000_i1029" type="#_x0000_t75" style="width:438.35pt;height:211.95pt">
            <v:imagedata r:id="rId20" o:title=""/>
          </v:shape>
        </w:object>
      </w:r>
      <w:r>
        <w:rPr>
          <w:rFonts w:ascii="Times New Roman" w:eastAsia="Times New Roman" w:hAnsi="Times New Roman"/>
          <w:sz w:val="20"/>
          <w:szCs w:val="20"/>
        </w:rPr>
        <w:fldChar w:fldCharType="end"/>
      </w:r>
    </w:p>
    <w:p w:rsidR="00E1486B" w:rsidRPr="00374801" w:rsidRDefault="00ED31CB" w:rsidP="00322FCB">
      <w:pPr>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LINK Excel.Sheet.8 "E:\\AUDIT\\KT giua 2015\\Cty CK KIS\\Bao cao VKD 2014\\VKD 31122015.xls!VKD 7!R2C1:R22C6" "" \a \p </w:instrText>
      </w:r>
      <w:r>
        <w:rPr>
          <w:rFonts w:ascii="Times New Roman" w:eastAsia="Times New Roman" w:hAnsi="Times New Roman"/>
          <w:sz w:val="20"/>
          <w:szCs w:val="20"/>
        </w:rPr>
        <w:fldChar w:fldCharType="separate"/>
      </w:r>
      <w:r w:rsidRPr="00ED31CB">
        <w:rPr>
          <w:rFonts w:ascii="Times New Roman" w:eastAsia="Times New Roman" w:hAnsi="Times New Roman"/>
          <w:sz w:val="20"/>
          <w:szCs w:val="20"/>
        </w:rPr>
        <w:object w:dxaOrig="9890" w:dyaOrig="7423">
          <v:shape id="_x0000_i1030" type="#_x0000_t75" style="width:445.8pt;height:371.5pt">
            <v:imagedata r:id="rId21" o:title=""/>
          </v:shape>
        </w:object>
      </w:r>
      <w:r>
        <w:rPr>
          <w:rFonts w:ascii="Times New Roman" w:eastAsia="Times New Roman" w:hAnsi="Times New Roman"/>
          <w:sz w:val="20"/>
          <w:szCs w:val="20"/>
        </w:rPr>
        <w:fldChar w:fldCharType="end"/>
      </w:r>
    </w:p>
    <w:p w:rsidR="00280FC2" w:rsidRDefault="00280FC2" w:rsidP="00851A56">
      <w:pPr>
        <w:spacing w:after="0" w:line="240" w:lineRule="auto"/>
        <w:jc w:val="both"/>
        <w:rPr>
          <w:rFonts w:ascii="Times New Roman" w:hAnsi="Times New Roman"/>
          <w:b/>
          <w:sz w:val="20"/>
          <w:szCs w:val="20"/>
        </w:rPr>
      </w:pPr>
    </w:p>
    <w:p w:rsidR="00DD171C" w:rsidRPr="00374801" w:rsidRDefault="00DD171C" w:rsidP="00851A56">
      <w:pPr>
        <w:spacing w:after="0" w:line="240" w:lineRule="auto"/>
        <w:jc w:val="both"/>
        <w:rPr>
          <w:rFonts w:ascii="Times New Roman" w:hAnsi="Times New Roman"/>
          <w:b/>
          <w:sz w:val="20"/>
          <w:szCs w:val="20"/>
        </w:rPr>
      </w:pPr>
    </w:p>
    <w:p w:rsidR="00427455" w:rsidRPr="00374801" w:rsidRDefault="00427455" w:rsidP="00851A56">
      <w:pPr>
        <w:spacing w:after="0" w:line="240" w:lineRule="auto"/>
        <w:jc w:val="both"/>
        <w:rPr>
          <w:rFonts w:ascii="Times New Roman" w:hAnsi="Times New Roman"/>
          <w:b/>
          <w:sz w:val="20"/>
          <w:szCs w:val="20"/>
        </w:rPr>
      </w:pPr>
    </w:p>
    <w:p w:rsidR="00427455" w:rsidRDefault="00427455" w:rsidP="00851A56">
      <w:pPr>
        <w:spacing w:after="0" w:line="240" w:lineRule="auto"/>
        <w:jc w:val="both"/>
        <w:rPr>
          <w:rFonts w:ascii="Times New Roman" w:hAnsi="Times New Roman"/>
          <w:b/>
          <w:sz w:val="20"/>
          <w:szCs w:val="20"/>
        </w:rPr>
      </w:pPr>
    </w:p>
    <w:p w:rsidR="00DD171C" w:rsidRDefault="00DD171C" w:rsidP="00851A56">
      <w:pPr>
        <w:spacing w:after="0" w:line="240" w:lineRule="auto"/>
        <w:jc w:val="both"/>
        <w:rPr>
          <w:rFonts w:ascii="Times New Roman" w:hAnsi="Times New Roman"/>
          <w:b/>
          <w:sz w:val="20"/>
          <w:szCs w:val="20"/>
        </w:rPr>
      </w:pPr>
    </w:p>
    <w:p w:rsidR="00FD5A5C" w:rsidRDefault="00FD5A5C" w:rsidP="00851A56">
      <w:pPr>
        <w:spacing w:after="0" w:line="240" w:lineRule="auto"/>
        <w:jc w:val="both"/>
        <w:rPr>
          <w:rFonts w:ascii="Times New Roman" w:hAnsi="Times New Roman"/>
          <w:b/>
          <w:sz w:val="20"/>
          <w:szCs w:val="20"/>
        </w:rPr>
      </w:pPr>
    </w:p>
    <w:p w:rsidR="00FD5A5C" w:rsidRDefault="00FD5A5C" w:rsidP="00851A56">
      <w:pPr>
        <w:spacing w:after="0" w:line="240" w:lineRule="auto"/>
        <w:jc w:val="both"/>
        <w:rPr>
          <w:rFonts w:ascii="Times New Roman" w:hAnsi="Times New Roman"/>
          <w:b/>
          <w:sz w:val="20"/>
          <w:szCs w:val="20"/>
        </w:rPr>
      </w:pPr>
    </w:p>
    <w:p w:rsidR="00851A56" w:rsidRPr="00374801" w:rsidRDefault="00851A56" w:rsidP="00851A56">
      <w:pPr>
        <w:spacing w:after="0" w:line="240" w:lineRule="auto"/>
        <w:jc w:val="both"/>
        <w:rPr>
          <w:rFonts w:ascii="Times New Roman" w:eastAsia="Times New Roman" w:hAnsi="Times New Roman"/>
          <w:b/>
          <w:sz w:val="20"/>
          <w:szCs w:val="20"/>
        </w:rPr>
      </w:pPr>
    </w:p>
    <w:p w:rsidR="00D85C28" w:rsidRDefault="00D85C28" w:rsidP="00851A56">
      <w:pPr>
        <w:rPr>
          <w:rFonts w:ascii="Times New Roman" w:eastAsia="Times New Roman" w:hAnsi="Times New Roman"/>
          <w:sz w:val="20"/>
          <w:szCs w:val="20"/>
        </w:rPr>
      </w:pPr>
    </w:p>
    <w:p w:rsidR="00D85C28" w:rsidRDefault="00D85C28" w:rsidP="00D85C28">
      <w:pPr>
        <w:spacing w:after="0"/>
        <w:rPr>
          <w:rFonts w:ascii="Times New Roman" w:eastAsia="Times New Roman" w:hAnsi="Times New Roman"/>
          <w:sz w:val="20"/>
          <w:szCs w:val="20"/>
        </w:rPr>
      </w:pPr>
    </w:p>
    <w:p w:rsidR="00280FC2" w:rsidRDefault="00ED31CB" w:rsidP="00E1486B">
      <w:pPr>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LINK Excel.Sheet.8 "E:\\AUDIT\\KT giua 2015\\Cty CK KIS\\Bao cao VKD 2014\\VKD 31122015.xls!VKD 7!R42C1:R80C6" "" \a \p </w:instrText>
      </w:r>
      <w:r>
        <w:rPr>
          <w:rFonts w:ascii="Times New Roman" w:eastAsia="Times New Roman" w:hAnsi="Times New Roman"/>
          <w:sz w:val="20"/>
          <w:szCs w:val="20"/>
        </w:rPr>
        <w:fldChar w:fldCharType="separate"/>
      </w:r>
      <w:r w:rsidRPr="00ED31CB">
        <w:rPr>
          <w:rFonts w:ascii="Times New Roman" w:eastAsia="Times New Roman" w:hAnsi="Times New Roman"/>
          <w:sz w:val="20"/>
          <w:szCs w:val="20"/>
        </w:rPr>
        <w:object w:dxaOrig="9890" w:dyaOrig="13022">
          <v:shape id="_x0000_i1031" type="#_x0000_t75" style="width:445.8pt;height:650.9pt">
            <v:imagedata r:id="rId22" o:title=""/>
          </v:shape>
        </w:object>
      </w:r>
      <w:r>
        <w:rPr>
          <w:rFonts w:ascii="Times New Roman" w:eastAsia="Times New Roman" w:hAnsi="Times New Roman"/>
          <w:sz w:val="20"/>
          <w:szCs w:val="20"/>
        </w:rPr>
        <w:fldChar w:fldCharType="end"/>
      </w:r>
    </w:p>
    <w:p w:rsidR="008014F3" w:rsidRDefault="008014F3" w:rsidP="00280FC2">
      <w:pPr>
        <w:rPr>
          <w:rFonts w:ascii="Times New Roman" w:eastAsia="Times New Roman" w:hAnsi="Times New Roman"/>
          <w:sz w:val="20"/>
          <w:szCs w:val="20"/>
        </w:rPr>
      </w:pPr>
    </w:p>
    <w:p w:rsidR="00D85C28" w:rsidRDefault="00D85C28" w:rsidP="00280FC2">
      <w:pPr>
        <w:rPr>
          <w:rFonts w:ascii="Times New Roman" w:eastAsia="Times New Roman" w:hAnsi="Times New Roman"/>
          <w:sz w:val="20"/>
          <w:szCs w:val="20"/>
        </w:rPr>
      </w:pPr>
    </w:p>
    <w:p w:rsidR="00D85C28" w:rsidRPr="00374801" w:rsidRDefault="00D85C28" w:rsidP="00D85C28">
      <w:pPr>
        <w:spacing w:after="0"/>
        <w:rPr>
          <w:rFonts w:ascii="Times New Roman" w:eastAsia="Times New Roman" w:hAnsi="Times New Roman"/>
          <w:sz w:val="20"/>
          <w:szCs w:val="20"/>
        </w:rPr>
      </w:pPr>
    </w:p>
    <w:p w:rsidR="00FF357E" w:rsidRPr="00374801" w:rsidRDefault="00ED31CB" w:rsidP="00FF357E">
      <w:pPr>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LINK Excel.Sheet.8 "E:\\AUDIT\\KT giua 2015\\Cty CK KIS\\Bao cao VKD 2014\\VKD 31122015.xls!VKD 7!R81C1:R114C6" "" \a \p </w:instrText>
      </w:r>
      <w:r>
        <w:rPr>
          <w:rFonts w:ascii="Times New Roman" w:eastAsia="Times New Roman" w:hAnsi="Times New Roman"/>
          <w:sz w:val="20"/>
          <w:szCs w:val="20"/>
        </w:rPr>
        <w:fldChar w:fldCharType="separate"/>
      </w:r>
      <w:r w:rsidRPr="00ED31CB">
        <w:rPr>
          <w:rFonts w:ascii="Times New Roman" w:eastAsia="Times New Roman" w:hAnsi="Times New Roman"/>
          <w:sz w:val="20"/>
          <w:szCs w:val="20"/>
        </w:rPr>
        <w:object w:dxaOrig="9890" w:dyaOrig="10981">
          <v:shape id="_x0000_i1032" type="#_x0000_t75" style="width:445.8pt;height:548.95pt">
            <v:imagedata r:id="rId23" o:title=""/>
          </v:shape>
        </w:object>
      </w:r>
      <w:r>
        <w:rPr>
          <w:rFonts w:ascii="Times New Roman" w:eastAsia="Times New Roman" w:hAnsi="Times New Roman"/>
          <w:sz w:val="20"/>
          <w:szCs w:val="20"/>
        </w:rPr>
        <w:fldChar w:fldCharType="end"/>
      </w:r>
    </w:p>
    <w:p w:rsidR="008014F3" w:rsidRPr="00374801" w:rsidRDefault="008014F3" w:rsidP="00AD4E8E">
      <w:pPr>
        <w:spacing w:after="0"/>
        <w:ind w:left="720"/>
        <w:jc w:val="both"/>
        <w:rPr>
          <w:rFonts w:ascii="Times New Roman" w:eastAsia="Times New Roman" w:hAnsi="Times New Roman"/>
          <w:sz w:val="20"/>
          <w:szCs w:val="20"/>
        </w:rPr>
      </w:pPr>
    </w:p>
    <w:p w:rsidR="007E3D93" w:rsidRPr="00374801" w:rsidRDefault="007E3D93" w:rsidP="007E3D93">
      <w:pPr>
        <w:tabs>
          <w:tab w:val="center" w:pos="1440"/>
          <w:tab w:val="center" w:pos="4680"/>
          <w:tab w:val="center" w:pos="774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Đã ký</w:t>
      </w:r>
      <w:r w:rsidRPr="007E3D93">
        <w:rPr>
          <w:rFonts w:ascii="Times New Roman" w:eastAsia="Times New Roman" w:hAnsi="Times New Roman"/>
          <w:sz w:val="20"/>
          <w:szCs w:val="20"/>
        </w:rPr>
        <w:t xml:space="preserve"> </w:t>
      </w:r>
      <w:r>
        <w:rPr>
          <w:rFonts w:ascii="Times New Roman" w:eastAsia="Times New Roman" w:hAnsi="Times New Roman"/>
          <w:sz w:val="20"/>
          <w:szCs w:val="20"/>
        </w:rPr>
        <w:tab/>
        <w:t>Đã ký</w:t>
      </w:r>
      <w:r w:rsidRPr="007E3D93">
        <w:rPr>
          <w:rFonts w:ascii="Times New Roman" w:eastAsia="Times New Roman" w:hAnsi="Times New Roman"/>
          <w:sz w:val="20"/>
          <w:szCs w:val="20"/>
        </w:rPr>
        <w:t xml:space="preserve"> </w:t>
      </w:r>
      <w:r>
        <w:rPr>
          <w:rFonts w:ascii="Times New Roman" w:eastAsia="Times New Roman" w:hAnsi="Times New Roman"/>
          <w:sz w:val="20"/>
          <w:szCs w:val="20"/>
        </w:rPr>
        <w:tab/>
        <w:t>Đã ký</w:t>
      </w:r>
    </w:p>
    <w:p w:rsidR="007E3D93" w:rsidRPr="00374801" w:rsidRDefault="007E3D93" w:rsidP="007E3D93">
      <w:pPr>
        <w:tabs>
          <w:tab w:val="center" w:pos="1440"/>
          <w:tab w:val="center" w:pos="4680"/>
          <w:tab w:val="center" w:pos="7740"/>
        </w:tabs>
        <w:spacing w:after="0" w:line="240" w:lineRule="auto"/>
        <w:jc w:val="both"/>
        <w:rPr>
          <w:rFonts w:ascii="Times New Roman" w:eastAsia="Times New Roman" w:hAnsi="Times New Roman"/>
          <w:sz w:val="20"/>
          <w:szCs w:val="20"/>
        </w:rPr>
      </w:pPr>
    </w:p>
    <w:p w:rsidR="00463729" w:rsidRPr="00463729" w:rsidRDefault="00463729" w:rsidP="008014F3">
      <w:pPr>
        <w:spacing w:after="0" w:line="240" w:lineRule="auto"/>
        <w:jc w:val="both"/>
        <w:rPr>
          <w:rFonts w:ascii="Times New Roman" w:eastAsia="Times New Roman" w:hAnsi="Times New Roman"/>
          <w:sz w:val="18"/>
          <w:szCs w:val="20"/>
        </w:rPr>
      </w:pPr>
    </w:p>
    <w:p w:rsidR="00FD5A5C" w:rsidRDefault="00FD5A5C" w:rsidP="008014F3">
      <w:pPr>
        <w:spacing w:after="0" w:line="240" w:lineRule="auto"/>
        <w:jc w:val="both"/>
        <w:rPr>
          <w:rFonts w:ascii="Times New Roman" w:eastAsia="Times New Roman" w:hAnsi="Times New Roman"/>
          <w:sz w:val="20"/>
          <w:szCs w:val="20"/>
        </w:rPr>
      </w:pPr>
    </w:p>
    <w:p w:rsidR="00FD5A5C" w:rsidRPr="002F28D2" w:rsidRDefault="00FD5A5C" w:rsidP="008014F3">
      <w:pPr>
        <w:spacing w:after="0" w:line="240" w:lineRule="auto"/>
        <w:jc w:val="both"/>
        <w:rPr>
          <w:rFonts w:ascii="Times New Roman" w:eastAsia="Times New Roman" w:hAnsi="Times New Roman"/>
          <w:sz w:val="10"/>
          <w:szCs w:val="20"/>
        </w:rPr>
      </w:pPr>
    </w:p>
    <w:p w:rsidR="008014F3" w:rsidRPr="00374801" w:rsidRDefault="008014F3" w:rsidP="008014F3">
      <w:pPr>
        <w:spacing w:after="0" w:line="240" w:lineRule="auto"/>
        <w:jc w:val="both"/>
        <w:rPr>
          <w:rFonts w:ascii="Times New Roman" w:eastAsia="Times New Roman" w:hAnsi="Times New Roman"/>
          <w:sz w:val="20"/>
          <w:szCs w:val="20"/>
        </w:rPr>
      </w:pPr>
    </w:p>
    <w:tbl>
      <w:tblPr>
        <w:tblW w:w="8910" w:type="dxa"/>
        <w:tblInd w:w="108" w:type="dxa"/>
        <w:tblBorders>
          <w:top w:val="single" w:sz="4" w:space="0" w:color="auto"/>
          <w:insideH w:val="single" w:sz="4" w:space="0" w:color="auto"/>
        </w:tblBorders>
        <w:tblLook w:val="04A0"/>
      </w:tblPr>
      <w:tblGrid>
        <w:gridCol w:w="2880"/>
        <w:gridCol w:w="270"/>
        <w:gridCol w:w="3330"/>
        <w:gridCol w:w="270"/>
        <w:gridCol w:w="2160"/>
      </w:tblGrid>
      <w:tr w:rsidR="008014F3" w:rsidRPr="00374801" w:rsidTr="00B20925">
        <w:tc>
          <w:tcPr>
            <w:tcW w:w="2880" w:type="dxa"/>
            <w:shd w:val="clear" w:color="auto" w:fill="auto"/>
          </w:tcPr>
          <w:p w:rsidR="008014F3" w:rsidRPr="00374801" w:rsidRDefault="00B20925" w:rsidP="00B20925">
            <w:pPr>
              <w:spacing w:after="0" w:line="240" w:lineRule="auto"/>
              <w:ind w:left="-108" w:right="-82"/>
              <w:jc w:val="both"/>
              <w:rPr>
                <w:rFonts w:ascii="Times New Roman" w:eastAsia="Times New Roman" w:hAnsi="Times New Roman"/>
                <w:b/>
                <w:sz w:val="20"/>
                <w:szCs w:val="20"/>
              </w:rPr>
            </w:pPr>
            <w:r w:rsidRPr="00374801">
              <w:rPr>
                <w:rFonts w:ascii="Times New Roman" w:eastAsia="Times New Roman" w:hAnsi="Times New Roman"/>
                <w:b/>
                <w:sz w:val="20"/>
                <w:szCs w:val="20"/>
              </w:rPr>
              <w:t>TRƯƠNG THỊ KIM DUNG</w:t>
            </w:r>
          </w:p>
          <w:p w:rsidR="008014F3" w:rsidRPr="00374801" w:rsidRDefault="008014F3" w:rsidP="00B20925">
            <w:pPr>
              <w:spacing w:after="0" w:line="240" w:lineRule="auto"/>
              <w:ind w:left="-108" w:right="-82"/>
              <w:jc w:val="both"/>
              <w:rPr>
                <w:rFonts w:ascii="Times New Roman" w:eastAsia="Times New Roman" w:hAnsi="Times New Roman"/>
                <w:b/>
                <w:sz w:val="20"/>
                <w:szCs w:val="20"/>
              </w:rPr>
            </w:pPr>
            <w:r w:rsidRPr="00374801">
              <w:rPr>
                <w:rFonts w:ascii="Times New Roman" w:eastAsia="Times New Roman" w:hAnsi="Times New Roman"/>
                <w:b/>
                <w:sz w:val="20"/>
                <w:szCs w:val="20"/>
              </w:rPr>
              <w:t>Kế toán trưởng</w:t>
            </w:r>
          </w:p>
          <w:p w:rsidR="008014F3" w:rsidRPr="00374801" w:rsidRDefault="008014F3" w:rsidP="00B76DE1">
            <w:pPr>
              <w:spacing w:after="0" w:line="240" w:lineRule="auto"/>
              <w:ind w:left="-108" w:right="-82"/>
              <w:jc w:val="both"/>
              <w:rPr>
                <w:rFonts w:ascii="Times New Roman" w:eastAsia="Times New Roman" w:hAnsi="Times New Roman"/>
                <w:sz w:val="20"/>
                <w:szCs w:val="20"/>
              </w:rPr>
            </w:pPr>
            <w:r w:rsidRPr="00374801">
              <w:rPr>
                <w:rFonts w:ascii="Times New Roman" w:eastAsia="Times New Roman" w:hAnsi="Times New Roman"/>
                <w:sz w:val="20"/>
                <w:szCs w:val="20"/>
              </w:rPr>
              <w:t xml:space="preserve">Ngày </w:t>
            </w:r>
            <w:r w:rsidR="003F581D">
              <w:rPr>
                <w:rFonts w:ascii="Times New Roman" w:eastAsia="Times New Roman" w:hAnsi="Times New Roman"/>
                <w:sz w:val="20"/>
                <w:szCs w:val="20"/>
              </w:rPr>
              <w:t>1</w:t>
            </w:r>
            <w:r w:rsidR="00B76DE1">
              <w:rPr>
                <w:rFonts w:ascii="Times New Roman" w:eastAsia="Times New Roman" w:hAnsi="Times New Roman"/>
                <w:sz w:val="20"/>
                <w:szCs w:val="20"/>
              </w:rPr>
              <w:t>0</w:t>
            </w:r>
            <w:r w:rsidRPr="00374801">
              <w:rPr>
                <w:rFonts w:ascii="Times New Roman" w:eastAsia="Times New Roman" w:hAnsi="Times New Roman"/>
                <w:sz w:val="20"/>
                <w:szCs w:val="20"/>
              </w:rPr>
              <w:t xml:space="preserve"> tháng </w:t>
            </w:r>
            <w:r w:rsidR="003F581D">
              <w:rPr>
                <w:rFonts w:ascii="Times New Roman" w:eastAsia="Times New Roman" w:hAnsi="Times New Roman"/>
                <w:sz w:val="20"/>
                <w:szCs w:val="20"/>
              </w:rPr>
              <w:t>8</w:t>
            </w:r>
            <w:r w:rsidR="00C75683">
              <w:rPr>
                <w:rFonts w:ascii="Times New Roman" w:eastAsia="Times New Roman" w:hAnsi="Times New Roman"/>
                <w:sz w:val="20"/>
                <w:szCs w:val="20"/>
              </w:rPr>
              <w:t xml:space="preserve"> năm 2015</w:t>
            </w:r>
          </w:p>
        </w:tc>
        <w:tc>
          <w:tcPr>
            <w:tcW w:w="270" w:type="dxa"/>
            <w:tcBorders>
              <w:top w:val="nil"/>
              <w:bottom w:val="nil"/>
            </w:tcBorders>
            <w:shd w:val="clear" w:color="auto" w:fill="auto"/>
          </w:tcPr>
          <w:p w:rsidR="008014F3" w:rsidRPr="00374801" w:rsidRDefault="008014F3" w:rsidP="00B20925">
            <w:pPr>
              <w:spacing w:after="0" w:line="240" w:lineRule="auto"/>
              <w:ind w:right="-82"/>
              <w:rPr>
                <w:rFonts w:ascii="Times New Roman" w:eastAsia="Times New Roman" w:hAnsi="Times New Roman"/>
                <w:b/>
                <w:sz w:val="20"/>
                <w:szCs w:val="20"/>
              </w:rPr>
            </w:pPr>
          </w:p>
          <w:p w:rsidR="008014F3" w:rsidRPr="00374801" w:rsidRDefault="008014F3" w:rsidP="00B20925">
            <w:pPr>
              <w:spacing w:after="0" w:line="240" w:lineRule="auto"/>
              <w:ind w:right="-82"/>
              <w:rPr>
                <w:rFonts w:ascii="Times New Roman" w:eastAsia="Times New Roman" w:hAnsi="Times New Roman"/>
                <w:b/>
                <w:sz w:val="20"/>
                <w:szCs w:val="20"/>
              </w:rPr>
            </w:pPr>
          </w:p>
          <w:p w:rsidR="008014F3" w:rsidRPr="00374801" w:rsidRDefault="008014F3" w:rsidP="00B20925">
            <w:pPr>
              <w:spacing w:after="0" w:line="240" w:lineRule="auto"/>
              <w:ind w:right="-82"/>
              <w:jc w:val="both"/>
              <w:rPr>
                <w:rFonts w:ascii="Times New Roman" w:eastAsia="Times New Roman" w:hAnsi="Times New Roman"/>
                <w:b/>
                <w:sz w:val="20"/>
                <w:szCs w:val="20"/>
              </w:rPr>
            </w:pPr>
          </w:p>
        </w:tc>
        <w:tc>
          <w:tcPr>
            <w:tcW w:w="3330" w:type="dxa"/>
            <w:shd w:val="clear" w:color="auto" w:fill="auto"/>
          </w:tcPr>
          <w:p w:rsidR="008014F3" w:rsidRPr="00374801" w:rsidRDefault="00013C38" w:rsidP="00B20925">
            <w:pPr>
              <w:spacing w:after="0" w:line="240" w:lineRule="auto"/>
              <w:ind w:left="-138" w:right="-82"/>
              <w:jc w:val="both"/>
              <w:rPr>
                <w:rFonts w:ascii="Times New Roman" w:eastAsia="Times New Roman" w:hAnsi="Times New Roman"/>
                <w:b/>
                <w:sz w:val="20"/>
                <w:szCs w:val="20"/>
              </w:rPr>
            </w:pPr>
            <w:r>
              <w:rPr>
                <w:rFonts w:ascii="Times New Roman" w:eastAsia="Times New Roman" w:hAnsi="Times New Roman"/>
                <w:b/>
                <w:sz w:val="20"/>
                <w:szCs w:val="20"/>
              </w:rPr>
              <w:t>NGUYỄN NGỌC ANH THƠ</w:t>
            </w:r>
          </w:p>
          <w:p w:rsidR="008014F3" w:rsidRPr="00374801" w:rsidRDefault="00EF35A9" w:rsidP="00B20925">
            <w:pPr>
              <w:spacing w:after="0" w:line="240" w:lineRule="auto"/>
              <w:ind w:left="-138" w:right="-82"/>
              <w:jc w:val="both"/>
              <w:rPr>
                <w:rFonts w:ascii="Times New Roman" w:eastAsia="Times New Roman" w:hAnsi="Times New Roman"/>
                <w:b/>
                <w:sz w:val="20"/>
                <w:szCs w:val="20"/>
              </w:rPr>
            </w:pPr>
            <w:r>
              <w:rPr>
                <w:rFonts w:ascii="Times New Roman" w:eastAsia="Times New Roman" w:hAnsi="Times New Roman"/>
                <w:b/>
                <w:sz w:val="20"/>
                <w:szCs w:val="20"/>
              </w:rPr>
              <w:t xml:space="preserve"> </w:t>
            </w:r>
            <w:r w:rsidR="008014F3" w:rsidRPr="00374801">
              <w:rPr>
                <w:rFonts w:ascii="Times New Roman" w:eastAsia="Times New Roman" w:hAnsi="Times New Roman"/>
                <w:b/>
                <w:sz w:val="20"/>
                <w:szCs w:val="20"/>
              </w:rPr>
              <w:t>Trưởng bộ phận Kiểm soát nội bộ</w:t>
            </w:r>
          </w:p>
        </w:tc>
        <w:tc>
          <w:tcPr>
            <w:tcW w:w="270" w:type="dxa"/>
            <w:tcBorders>
              <w:top w:val="nil"/>
              <w:bottom w:val="nil"/>
            </w:tcBorders>
            <w:shd w:val="clear" w:color="auto" w:fill="auto"/>
          </w:tcPr>
          <w:p w:rsidR="008014F3" w:rsidRPr="00374801" w:rsidRDefault="008014F3" w:rsidP="00B20925">
            <w:pPr>
              <w:spacing w:after="0" w:line="240" w:lineRule="auto"/>
              <w:ind w:right="-82"/>
              <w:jc w:val="both"/>
              <w:rPr>
                <w:rFonts w:ascii="Times New Roman" w:eastAsia="Times New Roman" w:hAnsi="Times New Roman"/>
                <w:b/>
                <w:sz w:val="20"/>
                <w:szCs w:val="20"/>
              </w:rPr>
            </w:pPr>
          </w:p>
        </w:tc>
        <w:tc>
          <w:tcPr>
            <w:tcW w:w="2160" w:type="dxa"/>
            <w:shd w:val="clear" w:color="auto" w:fill="auto"/>
          </w:tcPr>
          <w:p w:rsidR="008014F3" w:rsidRPr="00374801" w:rsidRDefault="00B20925" w:rsidP="00B20925">
            <w:pPr>
              <w:spacing w:after="0" w:line="240" w:lineRule="auto"/>
              <w:ind w:left="-85" w:right="-82"/>
              <w:jc w:val="both"/>
              <w:rPr>
                <w:rFonts w:ascii="Times New Roman" w:eastAsia="Times New Roman" w:hAnsi="Times New Roman"/>
                <w:b/>
                <w:sz w:val="20"/>
                <w:szCs w:val="20"/>
              </w:rPr>
            </w:pPr>
            <w:r w:rsidRPr="00374801">
              <w:rPr>
                <w:rFonts w:ascii="Times New Roman" w:eastAsia="Times New Roman" w:hAnsi="Times New Roman"/>
                <w:b/>
                <w:sz w:val="20"/>
                <w:szCs w:val="20"/>
              </w:rPr>
              <w:t>OH KYUNG HEE</w:t>
            </w:r>
          </w:p>
          <w:p w:rsidR="008014F3" w:rsidRPr="00374801" w:rsidRDefault="008014F3" w:rsidP="00B20925">
            <w:pPr>
              <w:spacing w:after="0" w:line="240" w:lineRule="auto"/>
              <w:ind w:left="-85" w:right="-82"/>
              <w:jc w:val="both"/>
              <w:rPr>
                <w:rFonts w:ascii="Times New Roman" w:eastAsia="Times New Roman" w:hAnsi="Times New Roman"/>
                <w:b/>
                <w:sz w:val="20"/>
                <w:szCs w:val="20"/>
              </w:rPr>
            </w:pPr>
            <w:r w:rsidRPr="00374801">
              <w:rPr>
                <w:rFonts w:ascii="Times New Roman" w:eastAsia="Times New Roman" w:hAnsi="Times New Roman"/>
                <w:b/>
                <w:sz w:val="20"/>
                <w:szCs w:val="20"/>
              </w:rPr>
              <w:t>Tổng Giám đốc</w:t>
            </w:r>
          </w:p>
        </w:tc>
      </w:tr>
    </w:tbl>
    <w:p w:rsidR="008014F3" w:rsidRPr="00FD5A5C" w:rsidRDefault="008014F3" w:rsidP="00E1486B">
      <w:pPr>
        <w:rPr>
          <w:rFonts w:ascii="Times New Roman" w:eastAsia="Times New Roman" w:hAnsi="Times New Roman"/>
          <w:sz w:val="10"/>
          <w:szCs w:val="20"/>
        </w:rPr>
      </w:pPr>
    </w:p>
    <w:sectPr w:rsidR="008014F3" w:rsidRPr="00FD5A5C" w:rsidSect="00FD5A5C">
      <w:headerReference w:type="default" r:id="rId24"/>
      <w:pgSz w:w="11907" w:h="16840" w:code="9"/>
      <w:pgMar w:top="900" w:right="1197" w:bottom="900" w:left="1890" w:header="533" w:footer="576"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9B" w:rsidRDefault="003C769B" w:rsidP="00303C2E">
      <w:pPr>
        <w:spacing w:after="0" w:line="240" w:lineRule="auto"/>
      </w:pPr>
      <w:r>
        <w:separator/>
      </w:r>
    </w:p>
  </w:endnote>
  <w:endnote w:type="continuationSeparator" w:id="0">
    <w:p w:rsidR="003C769B" w:rsidRDefault="003C769B" w:rsidP="0030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80" w:rsidRPr="00322C9B" w:rsidRDefault="00A66380" w:rsidP="00682D49">
    <w:pPr>
      <w:pStyle w:val="Footer"/>
      <w:jc w:val="right"/>
      <w:rPr>
        <w:sz w:val="22"/>
        <w:szCs w:val="22"/>
      </w:rPr>
    </w:pPr>
    <w:r w:rsidRPr="00303C2E">
      <w:rPr>
        <w:sz w:val="22"/>
        <w:szCs w:val="22"/>
      </w:rPr>
      <w:t xml:space="preserve">Trang </w:t>
    </w:r>
    <w:r w:rsidR="00ED31CB" w:rsidRPr="00303C2E">
      <w:rPr>
        <w:sz w:val="22"/>
        <w:szCs w:val="22"/>
      </w:rPr>
      <w:fldChar w:fldCharType="begin"/>
    </w:r>
    <w:r w:rsidRPr="00303C2E">
      <w:rPr>
        <w:sz w:val="22"/>
        <w:szCs w:val="22"/>
      </w:rPr>
      <w:instrText xml:space="preserve"> PAGE </w:instrText>
    </w:r>
    <w:r w:rsidR="00ED31CB" w:rsidRPr="00303C2E">
      <w:rPr>
        <w:sz w:val="22"/>
        <w:szCs w:val="22"/>
      </w:rPr>
      <w:fldChar w:fldCharType="separate"/>
    </w:r>
    <w:r w:rsidR="00013C38">
      <w:rPr>
        <w:noProof/>
        <w:sz w:val="22"/>
        <w:szCs w:val="22"/>
      </w:rPr>
      <w:t>1</w:t>
    </w:r>
    <w:r w:rsidR="00ED31CB" w:rsidRPr="00303C2E">
      <w:rPr>
        <w:sz w:val="22"/>
        <w:szCs w:val="22"/>
      </w:rPr>
      <w:fldChar w:fldCharType="end"/>
    </w:r>
    <w:r>
      <w:rPr>
        <w:sz w:val="22"/>
        <w:szCs w:val="22"/>
      </w:rPr>
      <w:t>/</w:t>
    </w:r>
    <w:r w:rsidR="00D55C3B">
      <w:rPr>
        <w:sz w:val="22"/>
        <w:szCs w:val="22"/>
      </w:rPr>
      <w:t>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80" w:rsidRPr="00322C9B" w:rsidRDefault="00A66380" w:rsidP="00682D49">
    <w:pPr>
      <w:pStyle w:val="Footer"/>
      <w:jc w:val="right"/>
      <w:rPr>
        <w:sz w:val="22"/>
        <w:szCs w:val="22"/>
      </w:rPr>
    </w:pPr>
    <w:r w:rsidRPr="00303C2E">
      <w:rPr>
        <w:sz w:val="22"/>
        <w:szCs w:val="22"/>
      </w:rPr>
      <w:t xml:space="preserve">Trang </w:t>
    </w:r>
    <w:r w:rsidR="00ED31CB" w:rsidRPr="00303C2E">
      <w:rPr>
        <w:sz w:val="22"/>
        <w:szCs w:val="22"/>
      </w:rPr>
      <w:fldChar w:fldCharType="begin"/>
    </w:r>
    <w:r w:rsidRPr="00303C2E">
      <w:rPr>
        <w:sz w:val="22"/>
        <w:szCs w:val="22"/>
      </w:rPr>
      <w:instrText xml:space="preserve"> PAGE </w:instrText>
    </w:r>
    <w:r w:rsidR="00ED31CB" w:rsidRPr="00303C2E">
      <w:rPr>
        <w:sz w:val="22"/>
        <w:szCs w:val="22"/>
      </w:rPr>
      <w:fldChar w:fldCharType="separate"/>
    </w:r>
    <w:r w:rsidR="00013C38">
      <w:rPr>
        <w:noProof/>
        <w:sz w:val="22"/>
        <w:szCs w:val="22"/>
      </w:rPr>
      <w:t>5</w:t>
    </w:r>
    <w:r w:rsidR="00ED31CB" w:rsidRPr="00303C2E">
      <w:rPr>
        <w:sz w:val="22"/>
        <w:szCs w:val="22"/>
      </w:rPr>
      <w:fldChar w:fldCharType="end"/>
    </w:r>
    <w:r>
      <w:rPr>
        <w:sz w:val="22"/>
        <w:szCs w:val="22"/>
      </w:rPr>
      <w:t>/</w:t>
    </w:r>
    <w:r w:rsidR="00D55C3B">
      <w:rPr>
        <w:sz w:val="22"/>
        <w:szCs w:val="22"/>
      </w:rPr>
      <w:t>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80" w:rsidRPr="00322C9B" w:rsidRDefault="00A66380" w:rsidP="00682D49">
    <w:pPr>
      <w:pStyle w:val="Footer"/>
      <w:jc w:val="right"/>
      <w:rPr>
        <w:sz w:val="22"/>
        <w:szCs w:val="22"/>
      </w:rPr>
    </w:pPr>
    <w:r w:rsidRPr="00303C2E">
      <w:rPr>
        <w:sz w:val="22"/>
        <w:szCs w:val="22"/>
      </w:rPr>
      <w:t xml:space="preserve">Trang </w:t>
    </w:r>
    <w:r w:rsidR="00ED31CB" w:rsidRPr="00303C2E">
      <w:rPr>
        <w:sz w:val="22"/>
        <w:szCs w:val="22"/>
      </w:rPr>
      <w:fldChar w:fldCharType="begin"/>
    </w:r>
    <w:r w:rsidRPr="00303C2E">
      <w:rPr>
        <w:sz w:val="22"/>
        <w:szCs w:val="22"/>
      </w:rPr>
      <w:instrText xml:space="preserve"> PAGE </w:instrText>
    </w:r>
    <w:r w:rsidR="00ED31CB" w:rsidRPr="00303C2E">
      <w:rPr>
        <w:sz w:val="22"/>
        <w:szCs w:val="22"/>
      </w:rPr>
      <w:fldChar w:fldCharType="separate"/>
    </w:r>
    <w:r w:rsidR="00013C38">
      <w:rPr>
        <w:noProof/>
        <w:sz w:val="22"/>
        <w:szCs w:val="22"/>
      </w:rPr>
      <w:t>6</w:t>
    </w:r>
    <w:r w:rsidR="00ED31CB" w:rsidRPr="00303C2E">
      <w:rPr>
        <w:sz w:val="22"/>
        <w:szCs w:val="22"/>
      </w:rPr>
      <w:fldChar w:fldCharType="end"/>
    </w:r>
    <w:r>
      <w:rPr>
        <w:sz w:val="22"/>
        <w:szCs w:val="22"/>
      </w:rPr>
      <w:t>/</w:t>
    </w:r>
    <w:r w:rsidR="00D55C3B">
      <w:rPr>
        <w:sz w:val="22"/>
        <w:szCs w:val="22"/>
      </w:rPr>
      <w:t>19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80" w:rsidRPr="00322C9B" w:rsidRDefault="00A66380" w:rsidP="00682D49">
    <w:pPr>
      <w:pStyle w:val="Footer"/>
      <w:jc w:val="right"/>
      <w:rPr>
        <w:sz w:val="22"/>
        <w:szCs w:val="22"/>
      </w:rPr>
    </w:pPr>
    <w:r w:rsidRPr="00303C2E">
      <w:rPr>
        <w:sz w:val="22"/>
        <w:szCs w:val="22"/>
      </w:rPr>
      <w:t xml:space="preserve">Trang </w:t>
    </w:r>
    <w:r w:rsidR="00ED31CB" w:rsidRPr="00303C2E">
      <w:rPr>
        <w:sz w:val="22"/>
        <w:szCs w:val="22"/>
      </w:rPr>
      <w:fldChar w:fldCharType="begin"/>
    </w:r>
    <w:r w:rsidRPr="00303C2E">
      <w:rPr>
        <w:sz w:val="22"/>
        <w:szCs w:val="22"/>
      </w:rPr>
      <w:instrText xml:space="preserve"> PAGE </w:instrText>
    </w:r>
    <w:r w:rsidR="00ED31CB" w:rsidRPr="00303C2E">
      <w:rPr>
        <w:sz w:val="22"/>
        <w:szCs w:val="22"/>
      </w:rPr>
      <w:fldChar w:fldCharType="separate"/>
    </w:r>
    <w:r w:rsidR="00013C38">
      <w:rPr>
        <w:noProof/>
        <w:sz w:val="22"/>
        <w:szCs w:val="22"/>
      </w:rPr>
      <w:t>16</w:t>
    </w:r>
    <w:r w:rsidR="00ED31CB" w:rsidRPr="00303C2E">
      <w:rPr>
        <w:sz w:val="22"/>
        <w:szCs w:val="22"/>
      </w:rPr>
      <w:fldChar w:fldCharType="end"/>
    </w:r>
    <w:r>
      <w:rPr>
        <w:sz w:val="22"/>
        <w:szCs w:val="22"/>
      </w:rPr>
      <w:t>/</w:t>
    </w:r>
    <w:r w:rsidR="00D55C3B">
      <w:rPr>
        <w:sz w:val="22"/>
        <w:szCs w:val="22"/>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9B" w:rsidRDefault="003C769B" w:rsidP="00303C2E">
      <w:pPr>
        <w:spacing w:after="0" w:line="240" w:lineRule="auto"/>
      </w:pPr>
      <w:r>
        <w:separator/>
      </w:r>
    </w:p>
  </w:footnote>
  <w:footnote w:type="continuationSeparator" w:id="0">
    <w:p w:rsidR="003C769B" w:rsidRDefault="003C769B" w:rsidP="0030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80" w:rsidRPr="00303C2E" w:rsidRDefault="00A66380" w:rsidP="00303C2E">
    <w:pPr>
      <w:spacing w:after="0"/>
      <w:rPr>
        <w:rFonts w:ascii="Times New Roman" w:hAnsi="Times New Roman"/>
        <w:b/>
      </w:rPr>
    </w:pPr>
    <w:r w:rsidRPr="00303C2E">
      <w:rPr>
        <w:rFonts w:ascii="Times New Roman" w:hAnsi="Times New Roman"/>
        <w:b/>
      </w:rPr>
      <w:t xml:space="preserve">CÔNG TY CỔ PHẦN </w:t>
    </w:r>
    <w:r>
      <w:rPr>
        <w:rFonts w:ascii="Times New Roman" w:hAnsi="Times New Roman"/>
        <w:b/>
      </w:rPr>
      <w:t>CHỨNG KHOÁN KIS VIỆT NAM</w:t>
    </w:r>
  </w:p>
  <w:p w:rsidR="00A66380" w:rsidRDefault="00ED31CB" w:rsidP="00682D49">
    <w:pPr>
      <w:pStyle w:val="Header"/>
    </w:pPr>
    <w:r>
      <w:rPr>
        <w:noProof/>
      </w:rPr>
      <w:pict>
        <v:line id="_x0000_s2050" style="position:absolute;z-index:251657728" from="0,7.95pt" to="453.6pt,8pt" strokecolor="#0d0d0d" strokeweight=".25pt">
          <v:stroke startarrowwidth="narrow" startarrowlength="short" endarrowwidth="narrow" endarrowlength="short"/>
        </v:line>
      </w:pict>
    </w:r>
  </w:p>
  <w:p w:rsidR="00A66380" w:rsidRPr="004275CE" w:rsidRDefault="00A66380" w:rsidP="00682D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80" w:rsidRPr="00986CAB" w:rsidRDefault="00A66380" w:rsidP="00682D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C28" w:rsidRPr="00374801" w:rsidRDefault="00D85C28" w:rsidP="00D85C28">
    <w:pPr>
      <w:spacing w:after="0" w:line="240" w:lineRule="auto"/>
      <w:jc w:val="both"/>
      <w:rPr>
        <w:rFonts w:ascii="Times New Roman" w:eastAsia="Times New Roman" w:hAnsi="Times New Roman"/>
        <w:b/>
        <w:sz w:val="20"/>
        <w:szCs w:val="20"/>
      </w:rPr>
    </w:pPr>
    <w:r w:rsidRPr="00374801">
      <w:rPr>
        <w:rFonts w:ascii="Times New Roman" w:hAnsi="Times New Roman"/>
        <w:b/>
        <w:sz w:val="20"/>
        <w:szCs w:val="20"/>
      </w:rPr>
      <w:t>CÔNG TY CỔ PHẦN CHỨNG KHOÁN KIS VIỆT NAM</w:t>
    </w:r>
  </w:p>
  <w:p w:rsidR="00D85C28" w:rsidRPr="00374801" w:rsidRDefault="00D85C28" w:rsidP="00D85C28">
    <w:pPr>
      <w:spacing w:after="0" w:line="240" w:lineRule="auto"/>
      <w:jc w:val="both"/>
      <w:rPr>
        <w:rFonts w:ascii="Times New Roman" w:eastAsia="Times New Roman" w:hAnsi="Times New Roman"/>
        <w:b/>
        <w:sz w:val="20"/>
        <w:szCs w:val="20"/>
      </w:rPr>
    </w:pPr>
    <w:r w:rsidRPr="00374801">
      <w:rPr>
        <w:rFonts w:ascii="Times New Roman" w:eastAsia="Times New Roman" w:hAnsi="Times New Roman"/>
        <w:b/>
        <w:sz w:val="20"/>
        <w:szCs w:val="20"/>
      </w:rPr>
      <w:t>THUYẾT MINH BÁO CÁO TỶ LỆ AN TOÀN TÀI CHÍNH</w:t>
    </w:r>
  </w:p>
  <w:p w:rsidR="00D85C28" w:rsidRPr="004C2EE8" w:rsidRDefault="00D85C28" w:rsidP="00D85C28">
    <w:pPr>
      <w:pStyle w:val="Header"/>
    </w:pPr>
    <w:r>
      <w:t>Tại ngày 30 tháng 6 năm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E8" w:rsidRPr="00374801" w:rsidRDefault="004C2EE8" w:rsidP="00D85C28">
    <w:pPr>
      <w:spacing w:after="0" w:line="240" w:lineRule="auto"/>
      <w:jc w:val="both"/>
      <w:rPr>
        <w:rFonts w:ascii="Times New Roman" w:eastAsia="Times New Roman" w:hAnsi="Times New Roman"/>
        <w:b/>
        <w:sz w:val="20"/>
        <w:szCs w:val="20"/>
      </w:rPr>
    </w:pPr>
    <w:r w:rsidRPr="00374801">
      <w:rPr>
        <w:rFonts w:ascii="Times New Roman" w:hAnsi="Times New Roman"/>
        <w:b/>
        <w:sz w:val="20"/>
        <w:szCs w:val="20"/>
      </w:rPr>
      <w:t>CÔNG TY CỔ PHẦN CHỨNG KHOÁN KIS VIỆT NAM</w:t>
    </w:r>
  </w:p>
  <w:p w:rsidR="004C2EE8" w:rsidRPr="00374801" w:rsidRDefault="004C2EE8" w:rsidP="00D85C28">
    <w:pPr>
      <w:spacing w:after="0" w:line="240" w:lineRule="auto"/>
      <w:jc w:val="both"/>
      <w:rPr>
        <w:rFonts w:ascii="Times New Roman" w:eastAsia="Times New Roman" w:hAnsi="Times New Roman"/>
        <w:b/>
        <w:sz w:val="20"/>
        <w:szCs w:val="20"/>
      </w:rPr>
    </w:pPr>
    <w:r w:rsidRPr="00374801">
      <w:rPr>
        <w:rFonts w:ascii="Times New Roman" w:eastAsia="Times New Roman" w:hAnsi="Times New Roman"/>
        <w:b/>
        <w:sz w:val="20"/>
        <w:szCs w:val="20"/>
      </w:rPr>
      <w:t>THUYẾT MINH BÁO CÁO TỶ LỆ AN TOÀN TÀI CHÍNH</w:t>
    </w:r>
  </w:p>
  <w:p w:rsidR="004C2EE8" w:rsidRDefault="004C2EE8" w:rsidP="00D85C28">
    <w:pPr>
      <w:pStyle w:val="Header"/>
    </w:pPr>
    <w:r>
      <w:t>Tại ngày 30 tháng 6 năm 2015</w:t>
    </w:r>
  </w:p>
  <w:p w:rsidR="004C2EE8" w:rsidRPr="004C2EE8" w:rsidRDefault="004C2EE8" w:rsidP="00D85C2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E8" w:rsidRPr="00374801" w:rsidRDefault="004C2EE8" w:rsidP="00D85C28">
    <w:pPr>
      <w:spacing w:after="0" w:line="240" w:lineRule="auto"/>
      <w:jc w:val="both"/>
      <w:rPr>
        <w:rFonts w:ascii="Times New Roman" w:eastAsia="Times New Roman" w:hAnsi="Times New Roman"/>
        <w:b/>
        <w:sz w:val="20"/>
        <w:szCs w:val="20"/>
      </w:rPr>
    </w:pPr>
    <w:r w:rsidRPr="00374801">
      <w:rPr>
        <w:rFonts w:ascii="Times New Roman" w:hAnsi="Times New Roman"/>
        <w:b/>
        <w:sz w:val="20"/>
        <w:szCs w:val="20"/>
      </w:rPr>
      <w:t>CÔNG TY CỔ PHẦN CHỨNG KHOÁN KIS VIỆT NAM</w:t>
    </w:r>
  </w:p>
  <w:p w:rsidR="004C2EE8" w:rsidRPr="00374801" w:rsidRDefault="004C2EE8" w:rsidP="00D85C28">
    <w:pPr>
      <w:spacing w:after="0" w:line="240" w:lineRule="auto"/>
      <w:jc w:val="both"/>
      <w:rPr>
        <w:rFonts w:ascii="Times New Roman" w:eastAsia="Times New Roman" w:hAnsi="Times New Roman"/>
        <w:b/>
        <w:sz w:val="20"/>
        <w:szCs w:val="20"/>
      </w:rPr>
    </w:pPr>
    <w:r w:rsidRPr="00374801">
      <w:rPr>
        <w:rFonts w:ascii="Times New Roman" w:eastAsia="Times New Roman" w:hAnsi="Times New Roman"/>
        <w:b/>
        <w:sz w:val="20"/>
        <w:szCs w:val="20"/>
      </w:rPr>
      <w:t>THUYẾT MINH BÁO CÁO TỶ LỆ AN TOÀN TÀI CHÍNH</w:t>
    </w:r>
  </w:p>
  <w:p w:rsidR="004C2EE8" w:rsidRPr="004C2EE8" w:rsidRDefault="004C2EE8" w:rsidP="00D85C28">
    <w:pPr>
      <w:pStyle w:val="Header"/>
    </w:pPr>
    <w:r>
      <w:t>Tại ngày 30 tháng 6 năm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627"/>
    <w:multiLevelType w:val="hybridMultilevel"/>
    <w:tmpl w:val="745C46E2"/>
    <w:lvl w:ilvl="0" w:tplc="7230FB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4CB2"/>
    <w:multiLevelType w:val="hybridMultilevel"/>
    <w:tmpl w:val="796463A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Times New Roman"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Times New Roman"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Times New Roman" w:hint="default"/>
      </w:rPr>
    </w:lvl>
    <w:lvl w:ilvl="8" w:tplc="04090005">
      <w:start w:val="1"/>
      <w:numFmt w:val="bullet"/>
      <w:lvlText w:val=""/>
      <w:lvlJc w:val="left"/>
      <w:pPr>
        <w:ind w:left="7290" w:hanging="360"/>
      </w:pPr>
      <w:rPr>
        <w:rFonts w:ascii="Wingdings" w:hAnsi="Wingdings" w:hint="default"/>
      </w:rPr>
    </w:lvl>
  </w:abstractNum>
  <w:abstractNum w:abstractNumId="2">
    <w:nsid w:val="0D467335"/>
    <w:multiLevelType w:val="hybridMultilevel"/>
    <w:tmpl w:val="809C80D6"/>
    <w:lvl w:ilvl="0" w:tplc="3ECA49F0">
      <w:start w:val="1"/>
      <w:numFmt w:val="decimal"/>
      <w:lvlText w:val="%1."/>
      <w:lvlJc w:val="right"/>
      <w:pPr>
        <w:tabs>
          <w:tab w:val="num" w:pos="547"/>
        </w:tabs>
        <w:ind w:left="547" w:hanging="547"/>
      </w:pPr>
      <w:rPr>
        <w:rFonts w:cs="Times New Roman" w:hint="default"/>
        <w:b/>
        <w:sz w:val="20"/>
        <w:szCs w:val="20"/>
      </w:rPr>
    </w:lvl>
    <w:lvl w:ilvl="1" w:tplc="044888A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1C7809"/>
    <w:multiLevelType w:val="singleLevel"/>
    <w:tmpl w:val="B23E840C"/>
    <w:lvl w:ilvl="0">
      <w:start w:val="1"/>
      <w:numFmt w:val="decimal"/>
      <w:lvlText w:val="%1."/>
      <w:lvlJc w:val="left"/>
      <w:pPr>
        <w:tabs>
          <w:tab w:val="num" w:pos="360"/>
        </w:tabs>
        <w:ind w:left="360" w:hanging="360"/>
      </w:pPr>
      <w:rPr>
        <w:b/>
      </w:rPr>
    </w:lvl>
  </w:abstractNum>
  <w:abstractNum w:abstractNumId="4">
    <w:nsid w:val="1D6F6458"/>
    <w:multiLevelType w:val="hybridMultilevel"/>
    <w:tmpl w:val="CBDE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217023B"/>
    <w:multiLevelType w:val="hybridMultilevel"/>
    <w:tmpl w:val="8CA63CD2"/>
    <w:lvl w:ilvl="0" w:tplc="0409000F">
      <w:start w:val="1"/>
      <w:numFmt w:val="decimal"/>
      <w:lvlText w:val="%1."/>
      <w:lvlJc w:val="left"/>
      <w:pPr>
        <w:ind w:left="1260" w:hanging="360"/>
      </w:pPr>
    </w:lvl>
    <w:lvl w:ilvl="1" w:tplc="3ECA49F0">
      <w:start w:val="1"/>
      <w:numFmt w:val="decimal"/>
      <w:lvlText w:val="%2."/>
      <w:lvlJc w:val="right"/>
      <w:pPr>
        <w:ind w:left="1980" w:hanging="360"/>
      </w:pPr>
      <w:rPr>
        <w:rFonts w:cs="Times New Roman" w:hint="default"/>
        <w:b/>
        <w:sz w:val="20"/>
        <w:szCs w:val="2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5283969"/>
    <w:multiLevelType w:val="hybridMultilevel"/>
    <w:tmpl w:val="495CA38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7">
    <w:nsid w:val="2B476E33"/>
    <w:multiLevelType w:val="multilevel"/>
    <w:tmpl w:val="B0D43A92"/>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abstractNum w:abstractNumId="8">
    <w:nsid w:val="2D804D90"/>
    <w:multiLevelType w:val="hybridMultilevel"/>
    <w:tmpl w:val="E384CFCE"/>
    <w:lvl w:ilvl="0" w:tplc="BBC03E7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03F24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nsid w:val="33AD2E1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nsid w:val="34BA7327"/>
    <w:multiLevelType w:val="singleLevel"/>
    <w:tmpl w:val="0409000F"/>
    <w:lvl w:ilvl="0">
      <w:start w:val="1"/>
      <w:numFmt w:val="decimal"/>
      <w:lvlText w:val="%1."/>
      <w:lvlJc w:val="left"/>
      <w:pPr>
        <w:tabs>
          <w:tab w:val="num" w:pos="360"/>
        </w:tabs>
        <w:ind w:left="360" w:hanging="360"/>
      </w:pPr>
    </w:lvl>
  </w:abstractNum>
  <w:abstractNum w:abstractNumId="12">
    <w:nsid w:val="3DE25AF5"/>
    <w:multiLevelType w:val="hybridMultilevel"/>
    <w:tmpl w:val="D2AC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D6335"/>
    <w:multiLevelType w:val="hybridMultilevel"/>
    <w:tmpl w:val="769469CC"/>
    <w:lvl w:ilvl="0" w:tplc="04090001">
      <w:start w:val="1"/>
      <w:numFmt w:val="bullet"/>
      <w:lvlText w:val=""/>
      <w:lvlJc w:val="left"/>
      <w:pPr>
        <w:tabs>
          <w:tab w:val="num" w:pos="1260"/>
        </w:tabs>
        <w:ind w:left="1260" w:hanging="360"/>
      </w:pPr>
      <w:rPr>
        <w:rFonts w:ascii="Times New Roman" w:hAnsi="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Times New Roman" w:hAnsi="Times New Roman" w:hint="default"/>
      </w:rPr>
    </w:lvl>
    <w:lvl w:ilvl="3" w:tplc="04090001" w:tentative="1">
      <w:start w:val="1"/>
      <w:numFmt w:val="bullet"/>
      <w:lvlText w:val=""/>
      <w:lvlJc w:val="left"/>
      <w:pPr>
        <w:tabs>
          <w:tab w:val="num" w:pos="3420"/>
        </w:tabs>
        <w:ind w:left="3420" w:hanging="360"/>
      </w:pPr>
      <w:rPr>
        <w:rFonts w:ascii="Times New Roman" w:hAnsi="Times New Roman"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Times New Roman" w:hAnsi="Times New Roman" w:hint="default"/>
      </w:rPr>
    </w:lvl>
    <w:lvl w:ilvl="6" w:tplc="04090001" w:tentative="1">
      <w:start w:val="1"/>
      <w:numFmt w:val="bullet"/>
      <w:lvlText w:val=""/>
      <w:lvlJc w:val="left"/>
      <w:pPr>
        <w:tabs>
          <w:tab w:val="num" w:pos="5580"/>
        </w:tabs>
        <w:ind w:left="5580" w:hanging="360"/>
      </w:pPr>
      <w:rPr>
        <w:rFonts w:ascii="Times New Roman" w:hAnsi="Times New Roman"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Times New Roman" w:hAnsi="Times New Roman" w:hint="default"/>
      </w:rPr>
    </w:lvl>
  </w:abstractNum>
  <w:abstractNum w:abstractNumId="14">
    <w:nsid w:val="4EA132B2"/>
    <w:multiLevelType w:val="hybridMultilevel"/>
    <w:tmpl w:val="F10E4922"/>
    <w:lvl w:ilvl="0" w:tplc="9D1E13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C0771"/>
    <w:multiLevelType w:val="hybridMultilevel"/>
    <w:tmpl w:val="74427F66"/>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6">
    <w:nsid w:val="5BA34160"/>
    <w:multiLevelType w:val="hybridMultilevel"/>
    <w:tmpl w:val="F112F852"/>
    <w:lvl w:ilvl="0" w:tplc="E3A02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003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12175D2"/>
    <w:multiLevelType w:val="hybridMultilevel"/>
    <w:tmpl w:val="72440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nsid w:val="614D0C09"/>
    <w:multiLevelType w:val="hybridMultilevel"/>
    <w:tmpl w:val="86AE6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nsid w:val="6F695BF2"/>
    <w:multiLevelType w:val="hybridMultilevel"/>
    <w:tmpl w:val="C7C69E22"/>
    <w:lvl w:ilvl="0" w:tplc="435210C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602FA9"/>
    <w:multiLevelType w:val="hybridMultilevel"/>
    <w:tmpl w:val="5F281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2">
    <w:nsid w:val="73CD45E7"/>
    <w:multiLevelType w:val="hybridMultilevel"/>
    <w:tmpl w:val="EB9EA9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76586251"/>
    <w:multiLevelType w:val="hybridMultilevel"/>
    <w:tmpl w:val="FB6277A0"/>
    <w:lvl w:ilvl="0" w:tplc="04090001">
      <w:start w:val="1"/>
      <w:numFmt w:val="bullet"/>
      <w:lvlText w:val=""/>
      <w:lvlJc w:val="left"/>
      <w:pPr>
        <w:ind w:left="990" w:hanging="360"/>
      </w:pPr>
      <w:rPr>
        <w:rFonts w:ascii="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Times New Roman" w:hAnsi="Times New Roman" w:hint="default"/>
      </w:rPr>
    </w:lvl>
    <w:lvl w:ilvl="3" w:tplc="04090001" w:tentative="1">
      <w:start w:val="1"/>
      <w:numFmt w:val="bullet"/>
      <w:lvlText w:val=""/>
      <w:lvlJc w:val="left"/>
      <w:pPr>
        <w:ind w:left="3150" w:hanging="360"/>
      </w:pPr>
      <w:rPr>
        <w:rFonts w:ascii="Times New Roman" w:hAnsi="Times New Roman"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Times New Roman" w:hAnsi="Times New Roman" w:hint="default"/>
      </w:rPr>
    </w:lvl>
    <w:lvl w:ilvl="6" w:tplc="04090001" w:tentative="1">
      <w:start w:val="1"/>
      <w:numFmt w:val="bullet"/>
      <w:lvlText w:val=""/>
      <w:lvlJc w:val="left"/>
      <w:pPr>
        <w:ind w:left="5310" w:hanging="360"/>
      </w:pPr>
      <w:rPr>
        <w:rFonts w:ascii="Times New Roman" w:hAnsi="Times New Roman"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Times New Roman" w:hAnsi="Times New Roman" w:hint="default"/>
      </w:rPr>
    </w:lvl>
  </w:abstractNum>
  <w:abstractNum w:abstractNumId="24">
    <w:nsid w:val="79591A57"/>
    <w:multiLevelType w:val="hybridMultilevel"/>
    <w:tmpl w:val="ECA6507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Times New Roman"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Times New Roman"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Times New Roman" w:hint="default"/>
      </w:rPr>
    </w:lvl>
    <w:lvl w:ilvl="8" w:tplc="04090005">
      <w:start w:val="1"/>
      <w:numFmt w:val="bullet"/>
      <w:lvlText w:val=""/>
      <w:lvlJc w:val="left"/>
      <w:pPr>
        <w:ind w:left="7290" w:hanging="360"/>
      </w:pPr>
      <w:rPr>
        <w:rFonts w:ascii="Wingdings" w:hAnsi="Wingdings" w:hint="default"/>
      </w:rPr>
    </w:lvl>
  </w:abstractNum>
  <w:abstractNum w:abstractNumId="25">
    <w:nsid w:val="7B525547"/>
    <w:multiLevelType w:val="hybridMultilevel"/>
    <w:tmpl w:val="C076FA50"/>
    <w:lvl w:ilvl="0" w:tplc="A4C6B00E">
      <w:numFmt w:val="bullet"/>
      <w:lvlText w:val="-"/>
      <w:lvlJc w:val="left"/>
      <w:pPr>
        <w:ind w:left="907" w:hanging="360"/>
      </w:pPr>
      <w:rPr>
        <w:rFonts w:ascii="Times New Roman" w:eastAsia="Times New Roman" w:hAnsi="Times New Roman"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Times New Roman" w:hAnsi="Times New Roman" w:hint="default"/>
      </w:rPr>
    </w:lvl>
    <w:lvl w:ilvl="3" w:tplc="04090001" w:tentative="1">
      <w:start w:val="1"/>
      <w:numFmt w:val="bullet"/>
      <w:lvlText w:val=""/>
      <w:lvlJc w:val="left"/>
      <w:pPr>
        <w:ind w:left="3067" w:hanging="360"/>
      </w:pPr>
      <w:rPr>
        <w:rFonts w:ascii="Times New Roman" w:hAnsi="Times New Roman"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Times New Roman" w:hAnsi="Times New Roman" w:hint="default"/>
      </w:rPr>
    </w:lvl>
    <w:lvl w:ilvl="6" w:tplc="04090001" w:tentative="1">
      <w:start w:val="1"/>
      <w:numFmt w:val="bullet"/>
      <w:lvlText w:val=""/>
      <w:lvlJc w:val="left"/>
      <w:pPr>
        <w:ind w:left="5227" w:hanging="360"/>
      </w:pPr>
      <w:rPr>
        <w:rFonts w:ascii="Times New Roman" w:hAnsi="Times New Roman"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Times New Roman" w:hAnsi="Times New Roman" w:hint="default"/>
      </w:rPr>
    </w:lvl>
  </w:abstractNum>
  <w:abstractNum w:abstractNumId="26">
    <w:nsid w:val="7EC63E94"/>
    <w:multiLevelType w:val="hybridMultilevel"/>
    <w:tmpl w:val="178C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5"/>
  </w:num>
  <w:num w:numId="4">
    <w:abstractNumId w:val="23"/>
  </w:num>
  <w:num w:numId="5">
    <w:abstractNumId w:val="22"/>
  </w:num>
  <w:num w:numId="6">
    <w:abstractNumId w:val="15"/>
  </w:num>
  <w:num w:numId="7">
    <w:abstractNumId w:val="6"/>
  </w:num>
  <w:num w:numId="8">
    <w:abstractNumId w:val="8"/>
  </w:num>
  <w:num w:numId="9">
    <w:abstractNumId w:val="5"/>
  </w:num>
  <w:num w:numId="10">
    <w:abstractNumId w:val="3"/>
  </w:num>
  <w:num w:numId="11">
    <w:abstractNumId w:val="11"/>
  </w:num>
  <w:num w:numId="12">
    <w:abstractNumId w:val="14"/>
  </w:num>
  <w:num w:numId="13">
    <w:abstractNumId w:val="16"/>
  </w:num>
  <w:num w:numId="14">
    <w:abstractNumId w:val="7"/>
  </w:num>
  <w:num w:numId="15">
    <w:abstractNumId w:val="0"/>
  </w:num>
  <w:num w:numId="16">
    <w:abstractNumId w:val="26"/>
  </w:num>
  <w:num w:numId="17">
    <w:abstractNumId w:val="4"/>
  </w:num>
  <w:num w:numId="18">
    <w:abstractNumId w:val="9"/>
  </w:num>
  <w:num w:numId="19">
    <w:abstractNumId w:val="21"/>
  </w:num>
  <w:num w:numId="20">
    <w:abstractNumId w:val="10"/>
  </w:num>
  <w:num w:numId="21">
    <w:abstractNumId w:val="17"/>
  </w:num>
  <w:num w:numId="22">
    <w:abstractNumId w:val="19"/>
  </w:num>
  <w:num w:numId="23">
    <w:abstractNumId w:val="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03C2E"/>
    <w:rsid w:val="000137AB"/>
    <w:rsid w:val="00013C38"/>
    <w:rsid w:val="000157E2"/>
    <w:rsid w:val="00016615"/>
    <w:rsid w:val="00016D78"/>
    <w:rsid w:val="000171DB"/>
    <w:rsid w:val="00025ABF"/>
    <w:rsid w:val="00027266"/>
    <w:rsid w:val="00032569"/>
    <w:rsid w:val="000331EE"/>
    <w:rsid w:val="00035C00"/>
    <w:rsid w:val="00046733"/>
    <w:rsid w:val="000505CD"/>
    <w:rsid w:val="000532C2"/>
    <w:rsid w:val="00060124"/>
    <w:rsid w:val="00066AC5"/>
    <w:rsid w:val="000703FA"/>
    <w:rsid w:val="00071EEF"/>
    <w:rsid w:val="00080ED8"/>
    <w:rsid w:val="00083492"/>
    <w:rsid w:val="00083E86"/>
    <w:rsid w:val="00093D51"/>
    <w:rsid w:val="000A0843"/>
    <w:rsid w:val="000A40AC"/>
    <w:rsid w:val="000A6127"/>
    <w:rsid w:val="000B6B61"/>
    <w:rsid w:val="000E12ED"/>
    <w:rsid w:val="000E6FDA"/>
    <w:rsid w:val="000F1C33"/>
    <w:rsid w:val="000F4BDF"/>
    <w:rsid w:val="000F7A98"/>
    <w:rsid w:val="0010066D"/>
    <w:rsid w:val="00105D3B"/>
    <w:rsid w:val="00165787"/>
    <w:rsid w:val="00166545"/>
    <w:rsid w:val="00167537"/>
    <w:rsid w:val="00167605"/>
    <w:rsid w:val="001676F9"/>
    <w:rsid w:val="00167712"/>
    <w:rsid w:val="0017224E"/>
    <w:rsid w:val="00180EF6"/>
    <w:rsid w:val="001816D3"/>
    <w:rsid w:val="00196CA0"/>
    <w:rsid w:val="001A271C"/>
    <w:rsid w:val="001B2636"/>
    <w:rsid w:val="001B2C0C"/>
    <w:rsid w:val="001B4F39"/>
    <w:rsid w:val="001C1DA1"/>
    <w:rsid w:val="001C2E0B"/>
    <w:rsid w:val="001C5015"/>
    <w:rsid w:val="001D547B"/>
    <w:rsid w:val="001E0EC6"/>
    <w:rsid w:val="001F124F"/>
    <w:rsid w:val="001F3BC4"/>
    <w:rsid w:val="001F4FB6"/>
    <w:rsid w:val="00201358"/>
    <w:rsid w:val="00204946"/>
    <w:rsid w:val="00212C9E"/>
    <w:rsid w:val="00220C9D"/>
    <w:rsid w:val="00231BD3"/>
    <w:rsid w:val="00241761"/>
    <w:rsid w:val="0024485E"/>
    <w:rsid w:val="00252FEA"/>
    <w:rsid w:val="00254B47"/>
    <w:rsid w:val="00265347"/>
    <w:rsid w:val="00272128"/>
    <w:rsid w:val="0027227B"/>
    <w:rsid w:val="00272A45"/>
    <w:rsid w:val="00277A29"/>
    <w:rsid w:val="00280FC2"/>
    <w:rsid w:val="0028669A"/>
    <w:rsid w:val="00291FEB"/>
    <w:rsid w:val="0029598C"/>
    <w:rsid w:val="002B1CD3"/>
    <w:rsid w:val="002B304F"/>
    <w:rsid w:val="002B3053"/>
    <w:rsid w:val="002B5B0E"/>
    <w:rsid w:val="002C5DEA"/>
    <w:rsid w:val="002D0220"/>
    <w:rsid w:val="002D167F"/>
    <w:rsid w:val="002D596C"/>
    <w:rsid w:val="002E2261"/>
    <w:rsid w:val="002F28D2"/>
    <w:rsid w:val="002F4B24"/>
    <w:rsid w:val="00303C2E"/>
    <w:rsid w:val="00305052"/>
    <w:rsid w:val="00313903"/>
    <w:rsid w:val="003223E7"/>
    <w:rsid w:val="00322C9B"/>
    <w:rsid w:val="00322FCB"/>
    <w:rsid w:val="00326B1D"/>
    <w:rsid w:val="00341187"/>
    <w:rsid w:val="00344E6E"/>
    <w:rsid w:val="003460FC"/>
    <w:rsid w:val="003538D6"/>
    <w:rsid w:val="00374801"/>
    <w:rsid w:val="00375D5C"/>
    <w:rsid w:val="00383217"/>
    <w:rsid w:val="00383BDD"/>
    <w:rsid w:val="00384A2E"/>
    <w:rsid w:val="0038618B"/>
    <w:rsid w:val="003914BE"/>
    <w:rsid w:val="003A0802"/>
    <w:rsid w:val="003B1762"/>
    <w:rsid w:val="003B1E4C"/>
    <w:rsid w:val="003B3CAC"/>
    <w:rsid w:val="003C37AE"/>
    <w:rsid w:val="003C41C5"/>
    <w:rsid w:val="003C769B"/>
    <w:rsid w:val="003D36AA"/>
    <w:rsid w:val="003D5BC4"/>
    <w:rsid w:val="003D682E"/>
    <w:rsid w:val="003D6BC0"/>
    <w:rsid w:val="003E3B0B"/>
    <w:rsid w:val="003E4FC0"/>
    <w:rsid w:val="003F1885"/>
    <w:rsid w:val="003F505E"/>
    <w:rsid w:val="003F581D"/>
    <w:rsid w:val="00402939"/>
    <w:rsid w:val="00425EAF"/>
    <w:rsid w:val="00426D60"/>
    <w:rsid w:val="00427455"/>
    <w:rsid w:val="00437ECC"/>
    <w:rsid w:val="00446883"/>
    <w:rsid w:val="00450C53"/>
    <w:rsid w:val="00450FD2"/>
    <w:rsid w:val="00456C75"/>
    <w:rsid w:val="00463729"/>
    <w:rsid w:val="004665F9"/>
    <w:rsid w:val="004672F1"/>
    <w:rsid w:val="004704A0"/>
    <w:rsid w:val="00472E60"/>
    <w:rsid w:val="00476DA8"/>
    <w:rsid w:val="00491E71"/>
    <w:rsid w:val="00495E31"/>
    <w:rsid w:val="004B03AF"/>
    <w:rsid w:val="004C0A10"/>
    <w:rsid w:val="004C0DBB"/>
    <w:rsid w:val="004C0E4B"/>
    <w:rsid w:val="004C10E3"/>
    <w:rsid w:val="004C2EE8"/>
    <w:rsid w:val="004D32C1"/>
    <w:rsid w:val="004D7BE0"/>
    <w:rsid w:val="004D7FCE"/>
    <w:rsid w:val="004E027A"/>
    <w:rsid w:val="004E2DA5"/>
    <w:rsid w:val="004F2431"/>
    <w:rsid w:val="0050386A"/>
    <w:rsid w:val="00504AEF"/>
    <w:rsid w:val="005215A9"/>
    <w:rsid w:val="00530B6B"/>
    <w:rsid w:val="0053391C"/>
    <w:rsid w:val="005414E5"/>
    <w:rsid w:val="00544DBB"/>
    <w:rsid w:val="00546F57"/>
    <w:rsid w:val="00550995"/>
    <w:rsid w:val="00563311"/>
    <w:rsid w:val="00567DB2"/>
    <w:rsid w:val="00573BAF"/>
    <w:rsid w:val="005862EA"/>
    <w:rsid w:val="005877AD"/>
    <w:rsid w:val="005A436F"/>
    <w:rsid w:val="005B063C"/>
    <w:rsid w:val="005B1E7F"/>
    <w:rsid w:val="005B2A53"/>
    <w:rsid w:val="005B33D9"/>
    <w:rsid w:val="005B3431"/>
    <w:rsid w:val="005B7665"/>
    <w:rsid w:val="005E11CD"/>
    <w:rsid w:val="005E614A"/>
    <w:rsid w:val="005F7C76"/>
    <w:rsid w:val="006033F4"/>
    <w:rsid w:val="00605B0B"/>
    <w:rsid w:val="00605F5C"/>
    <w:rsid w:val="00607712"/>
    <w:rsid w:val="006221E7"/>
    <w:rsid w:val="0062450A"/>
    <w:rsid w:val="00635752"/>
    <w:rsid w:val="006376D4"/>
    <w:rsid w:val="00644961"/>
    <w:rsid w:val="00644EDE"/>
    <w:rsid w:val="00645B80"/>
    <w:rsid w:val="00647B5B"/>
    <w:rsid w:val="00650591"/>
    <w:rsid w:val="00651A79"/>
    <w:rsid w:val="00656CE7"/>
    <w:rsid w:val="00663330"/>
    <w:rsid w:val="0066746A"/>
    <w:rsid w:val="006812E9"/>
    <w:rsid w:val="00682D49"/>
    <w:rsid w:val="0068750C"/>
    <w:rsid w:val="00691B15"/>
    <w:rsid w:val="006A485C"/>
    <w:rsid w:val="006A5F5A"/>
    <w:rsid w:val="006E3406"/>
    <w:rsid w:val="006F1246"/>
    <w:rsid w:val="006F41BE"/>
    <w:rsid w:val="006F5466"/>
    <w:rsid w:val="006F65BB"/>
    <w:rsid w:val="00712CEA"/>
    <w:rsid w:val="00720A9C"/>
    <w:rsid w:val="00723D12"/>
    <w:rsid w:val="00724C8E"/>
    <w:rsid w:val="007360DD"/>
    <w:rsid w:val="00736EED"/>
    <w:rsid w:val="00746463"/>
    <w:rsid w:val="007525B3"/>
    <w:rsid w:val="00762B51"/>
    <w:rsid w:val="0076388D"/>
    <w:rsid w:val="00767004"/>
    <w:rsid w:val="00770958"/>
    <w:rsid w:val="00771459"/>
    <w:rsid w:val="00772AC5"/>
    <w:rsid w:val="0077305A"/>
    <w:rsid w:val="00773281"/>
    <w:rsid w:val="00793979"/>
    <w:rsid w:val="007945EE"/>
    <w:rsid w:val="00795D12"/>
    <w:rsid w:val="007A58D6"/>
    <w:rsid w:val="007A7D4F"/>
    <w:rsid w:val="007B14AC"/>
    <w:rsid w:val="007B45A0"/>
    <w:rsid w:val="007B53E4"/>
    <w:rsid w:val="007C084A"/>
    <w:rsid w:val="007C2162"/>
    <w:rsid w:val="007D4894"/>
    <w:rsid w:val="007D4C3D"/>
    <w:rsid w:val="007D4C87"/>
    <w:rsid w:val="007D53EE"/>
    <w:rsid w:val="007D7218"/>
    <w:rsid w:val="007E3D93"/>
    <w:rsid w:val="007F0F0B"/>
    <w:rsid w:val="008014F3"/>
    <w:rsid w:val="008046FC"/>
    <w:rsid w:val="00804954"/>
    <w:rsid w:val="0081122E"/>
    <w:rsid w:val="00812590"/>
    <w:rsid w:val="00833E7E"/>
    <w:rsid w:val="00836D2E"/>
    <w:rsid w:val="008505CD"/>
    <w:rsid w:val="00850C7F"/>
    <w:rsid w:val="00851A56"/>
    <w:rsid w:val="00853829"/>
    <w:rsid w:val="00856D78"/>
    <w:rsid w:val="008622E4"/>
    <w:rsid w:val="00882A73"/>
    <w:rsid w:val="00882B83"/>
    <w:rsid w:val="008A5739"/>
    <w:rsid w:val="008B2839"/>
    <w:rsid w:val="008D660B"/>
    <w:rsid w:val="008E1DD4"/>
    <w:rsid w:val="008E2BDE"/>
    <w:rsid w:val="008F5D46"/>
    <w:rsid w:val="0090146A"/>
    <w:rsid w:val="00906AA8"/>
    <w:rsid w:val="00923A85"/>
    <w:rsid w:val="00947E7C"/>
    <w:rsid w:val="00953AD9"/>
    <w:rsid w:val="00961D08"/>
    <w:rsid w:val="009634CB"/>
    <w:rsid w:val="00964AF9"/>
    <w:rsid w:val="00976D33"/>
    <w:rsid w:val="00984223"/>
    <w:rsid w:val="00986CAB"/>
    <w:rsid w:val="0098736F"/>
    <w:rsid w:val="00992DCF"/>
    <w:rsid w:val="009936CD"/>
    <w:rsid w:val="00994B04"/>
    <w:rsid w:val="009A3A05"/>
    <w:rsid w:val="009A5216"/>
    <w:rsid w:val="009A5476"/>
    <w:rsid w:val="009B339A"/>
    <w:rsid w:val="009B636B"/>
    <w:rsid w:val="009B74B4"/>
    <w:rsid w:val="009C030E"/>
    <w:rsid w:val="009C4071"/>
    <w:rsid w:val="009C643B"/>
    <w:rsid w:val="009D21CF"/>
    <w:rsid w:val="009E49A8"/>
    <w:rsid w:val="009E5766"/>
    <w:rsid w:val="00A02F16"/>
    <w:rsid w:val="00A04F30"/>
    <w:rsid w:val="00A06F54"/>
    <w:rsid w:val="00A1391B"/>
    <w:rsid w:val="00A13D43"/>
    <w:rsid w:val="00A141AE"/>
    <w:rsid w:val="00A14595"/>
    <w:rsid w:val="00A222A6"/>
    <w:rsid w:val="00A324CC"/>
    <w:rsid w:val="00A3250B"/>
    <w:rsid w:val="00A41102"/>
    <w:rsid w:val="00A6163B"/>
    <w:rsid w:val="00A62C4E"/>
    <w:rsid w:val="00A64F75"/>
    <w:rsid w:val="00A6547D"/>
    <w:rsid w:val="00A66380"/>
    <w:rsid w:val="00A759C7"/>
    <w:rsid w:val="00A76A13"/>
    <w:rsid w:val="00A8198A"/>
    <w:rsid w:val="00AA0825"/>
    <w:rsid w:val="00AA0B52"/>
    <w:rsid w:val="00AA3313"/>
    <w:rsid w:val="00AA74F9"/>
    <w:rsid w:val="00AB094E"/>
    <w:rsid w:val="00AB3722"/>
    <w:rsid w:val="00AB542F"/>
    <w:rsid w:val="00AD1A44"/>
    <w:rsid w:val="00AD3826"/>
    <w:rsid w:val="00AD4E8E"/>
    <w:rsid w:val="00AD54C3"/>
    <w:rsid w:val="00AE1ABD"/>
    <w:rsid w:val="00AE497B"/>
    <w:rsid w:val="00AE61FA"/>
    <w:rsid w:val="00AF7127"/>
    <w:rsid w:val="00B01877"/>
    <w:rsid w:val="00B018D9"/>
    <w:rsid w:val="00B12BE0"/>
    <w:rsid w:val="00B20925"/>
    <w:rsid w:val="00B2200F"/>
    <w:rsid w:val="00B221AF"/>
    <w:rsid w:val="00B22726"/>
    <w:rsid w:val="00B27DB8"/>
    <w:rsid w:val="00B31449"/>
    <w:rsid w:val="00B32FDF"/>
    <w:rsid w:val="00B35DF3"/>
    <w:rsid w:val="00B412F3"/>
    <w:rsid w:val="00B67D07"/>
    <w:rsid w:val="00B76DE1"/>
    <w:rsid w:val="00B80902"/>
    <w:rsid w:val="00B96E6F"/>
    <w:rsid w:val="00BA167C"/>
    <w:rsid w:val="00BB1781"/>
    <w:rsid w:val="00BD4213"/>
    <w:rsid w:val="00BD7C2B"/>
    <w:rsid w:val="00BE0F61"/>
    <w:rsid w:val="00BE3FAB"/>
    <w:rsid w:val="00BE656E"/>
    <w:rsid w:val="00BE7113"/>
    <w:rsid w:val="00C04302"/>
    <w:rsid w:val="00C067ED"/>
    <w:rsid w:val="00C26067"/>
    <w:rsid w:val="00C36313"/>
    <w:rsid w:val="00C470DD"/>
    <w:rsid w:val="00C5079E"/>
    <w:rsid w:val="00C5563D"/>
    <w:rsid w:val="00C6560C"/>
    <w:rsid w:val="00C65D54"/>
    <w:rsid w:val="00C6641A"/>
    <w:rsid w:val="00C67F83"/>
    <w:rsid w:val="00C708B8"/>
    <w:rsid w:val="00C75683"/>
    <w:rsid w:val="00C77081"/>
    <w:rsid w:val="00C829A4"/>
    <w:rsid w:val="00C8477A"/>
    <w:rsid w:val="00CA0C29"/>
    <w:rsid w:val="00CA30C1"/>
    <w:rsid w:val="00CB13E6"/>
    <w:rsid w:val="00CB2353"/>
    <w:rsid w:val="00CD002A"/>
    <w:rsid w:val="00CE0746"/>
    <w:rsid w:val="00CE2A56"/>
    <w:rsid w:val="00D129DF"/>
    <w:rsid w:val="00D12B70"/>
    <w:rsid w:val="00D21943"/>
    <w:rsid w:val="00D32AF8"/>
    <w:rsid w:val="00D377E1"/>
    <w:rsid w:val="00D4351B"/>
    <w:rsid w:val="00D47078"/>
    <w:rsid w:val="00D535B8"/>
    <w:rsid w:val="00D55C3B"/>
    <w:rsid w:val="00D63A67"/>
    <w:rsid w:val="00D64183"/>
    <w:rsid w:val="00D65CD1"/>
    <w:rsid w:val="00D70E70"/>
    <w:rsid w:val="00D77D6B"/>
    <w:rsid w:val="00D84A36"/>
    <w:rsid w:val="00D85C28"/>
    <w:rsid w:val="00D90E97"/>
    <w:rsid w:val="00DA1942"/>
    <w:rsid w:val="00DA3BDA"/>
    <w:rsid w:val="00DA6AE2"/>
    <w:rsid w:val="00DA7101"/>
    <w:rsid w:val="00DC018A"/>
    <w:rsid w:val="00DC100C"/>
    <w:rsid w:val="00DC21D1"/>
    <w:rsid w:val="00DC2D63"/>
    <w:rsid w:val="00DC38BE"/>
    <w:rsid w:val="00DD064F"/>
    <w:rsid w:val="00DD171C"/>
    <w:rsid w:val="00DD3F80"/>
    <w:rsid w:val="00DD5F99"/>
    <w:rsid w:val="00DD7043"/>
    <w:rsid w:val="00DE0C81"/>
    <w:rsid w:val="00DE21BE"/>
    <w:rsid w:val="00DE4FCC"/>
    <w:rsid w:val="00DE733D"/>
    <w:rsid w:val="00DF07AD"/>
    <w:rsid w:val="00DF104D"/>
    <w:rsid w:val="00DF3DBB"/>
    <w:rsid w:val="00DF45AF"/>
    <w:rsid w:val="00DF488B"/>
    <w:rsid w:val="00E00821"/>
    <w:rsid w:val="00E06C35"/>
    <w:rsid w:val="00E102E2"/>
    <w:rsid w:val="00E12194"/>
    <w:rsid w:val="00E13243"/>
    <w:rsid w:val="00E1486B"/>
    <w:rsid w:val="00E15275"/>
    <w:rsid w:val="00E27BB2"/>
    <w:rsid w:val="00E33A8A"/>
    <w:rsid w:val="00E54B5F"/>
    <w:rsid w:val="00E54CED"/>
    <w:rsid w:val="00E567E8"/>
    <w:rsid w:val="00E66CCE"/>
    <w:rsid w:val="00E836D5"/>
    <w:rsid w:val="00E871C0"/>
    <w:rsid w:val="00E87B8A"/>
    <w:rsid w:val="00E92806"/>
    <w:rsid w:val="00E93E7D"/>
    <w:rsid w:val="00EA089A"/>
    <w:rsid w:val="00EA529D"/>
    <w:rsid w:val="00EA623C"/>
    <w:rsid w:val="00EA6451"/>
    <w:rsid w:val="00EB0EFC"/>
    <w:rsid w:val="00EB110A"/>
    <w:rsid w:val="00EB7543"/>
    <w:rsid w:val="00EB7BA8"/>
    <w:rsid w:val="00EC049E"/>
    <w:rsid w:val="00EC2BDA"/>
    <w:rsid w:val="00EC339C"/>
    <w:rsid w:val="00EC3FB7"/>
    <w:rsid w:val="00ED03D8"/>
    <w:rsid w:val="00ED31CB"/>
    <w:rsid w:val="00ED3619"/>
    <w:rsid w:val="00EE24ED"/>
    <w:rsid w:val="00EE4536"/>
    <w:rsid w:val="00EF2FCB"/>
    <w:rsid w:val="00EF335D"/>
    <w:rsid w:val="00EF35A9"/>
    <w:rsid w:val="00EF5525"/>
    <w:rsid w:val="00F00F81"/>
    <w:rsid w:val="00F0292A"/>
    <w:rsid w:val="00F042FC"/>
    <w:rsid w:val="00F17CBB"/>
    <w:rsid w:val="00F204B5"/>
    <w:rsid w:val="00F21864"/>
    <w:rsid w:val="00F30C8C"/>
    <w:rsid w:val="00F363BB"/>
    <w:rsid w:val="00F369BE"/>
    <w:rsid w:val="00F4032F"/>
    <w:rsid w:val="00F50FE3"/>
    <w:rsid w:val="00F53B4C"/>
    <w:rsid w:val="00F63C39"/>
    <w:rsid w:val="00F64989"/>
    <w:rsid w:val="00F65A74"/>
    <w:rsid w:val="00F8230B"/>
    <w:rsid w:val="00F836D2"/>
    <w:rsid w:val="00F838DC"/>
    <w:rsid w:val="00F91398"/>
    <w:rsid w:val="00F93F4C"/>
    <w:rsid w:val="00F948EE"/>
    <w:rsid w:val="00F95BEF"/>
    <w:rsid w:val="00FA2C61"/>
    <w:rsid w:val="00FB1EB8"/>
    <w:rsid w:val="00FB2022"/>
    <w:rsid w:val="00FC0386"/>
    <w:rsid w:val="00FC282E"/>
    <w:rsid w:val="00FC4C86"/>
    <w:rsid w:val="00FD0244"/>
    <w:rsid w:val="00FD53FD"/>
    <w:rsid w:val="00FD5A5C"/>
    <w:rsid w:val="00FD5CF6"/>
    <w:rsid w:val="00FE6622"/>
    <w:rsid w:val="00FE76E6"/>
    <w:rsid w:val="00FF2025"/>
    <w:rsid w:val="00FF357E"/>
    <w:rsid w:val="00FF77C6"/>
    <w:rsid w:val="00FF7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CD"/>
    <w:pPr>
      <w:spacing w:after="200" w:line="276" w:lineRule="auto"/>
    </w:pPr>
    <w:rPr>
      <w:sz w:val="22"/>
      <w:szCs w:val="22"/>
    </w:rPr>
  </w:style>
  <w:style w:type="paragraph" w:styleId="Heading1">
    <w:name w:val="heading 1"/>
    <w:basedOn w:val="Normal"/>
    <w:next w:val="Normal"/>
    <w:link w:val="Heading1Char"/>
    <w:qFormat/>
    <w:rsid w:val="00303C2E"/>
    <w:pPr>
      <w:keepNext/>
      <w:tabs>
        <w:tab w:val="left" w:pos="540"/>
      </w:tabs>
      <w:spacing w:after="0" w:line="240" w:lineRule="auto"/>
      <w:ind w:firstLine="720"/>
      <w:jc w:val="both"/>
      <w:outlineLvl w:val="0"/>
    </w:pPr>
    <w:rPr>
      <w:rFonts w:ascii="Times New Roman" w:eastAsia="Times New Roman" w:hAnsi="Times New Roman"/>
      <w:b/>
      <w:sz w:val="20"/>
      <w:szCs w:val="20"/>
    </w:rPr>
  </w:style>
  <w:style w:type="paragraph" w:styleId="Heading3">
    <w:name w:val="heading 3"/>
    <w:basedOn w:val="Normal"/>
    <w:next w:val="Normal"/>
    <w:link w:val="Heading3Char"/>
    <w:qFormat/>
    <w:rsid w:val="00303C2E"/>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3C2E"/>
    <w:rPr>
      <w:rFonts w:ascii="Times New Roman" w:eastAsia="Times New Roman" w:hAnsi="Times New Roman" w:cs="Times New Roman"/>
      <w:b/>
      <w:sz w:val="20"/>
      <w:szCs w:val="20"/>
    </w:rPr>
  </w:style>
  <w:style w:type="character" w:customStyle="1" w:styleId="Heading3Char">
    <w:name w:val="Heading 3 Char"/>
    <w:link w:val="Heading3"/>
    <w:rsid w:val="00303C2E"/>
    <w:rPr>
      <w:rFonts w:ascii="Arial" w:eastAsia="Times New Roman" w:hAnsi="Arial" w:cs="Arial"/>
      <w:b/>
      <w:bCs/>
      <w:sz w:val="26"/>
      <w:szCs w:val="26"/>
    </w:rPr>
  </w:style>
  <w:style w:type="paragraph" w:styleId="Header">
    <w:name w:val="header"/>
    <w:basedOn w:val="Normal"/>
    <w:link w:val="HeaderChar"/>
    <w:rsid w:val="00303C2E"/>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303C2E"/>
    <w:rPr>
      <w:rFonts w:ascii="Times New Roman" w:eastAsia="Times New Roman" w:hAnsi="Times New Roman" w:cs="Times New Roman"/>
      <w:sz w:val="20"/>
      <w:szCs w:val="20"/>
    </w:rPr>
  </w:style>
  <w:style w:type="paragraph" w:styleId="BodyText">
    <w:name w:val="Body Text"/>
    <w:basedOn w:val="Normal"/>
    <w:link w:val="BodyTextChar"/>
    <w:rsid w:val="00303C2E"/>
    <w:pPr>
      <w:tabs>
        <w:tab w:val="left" w:pos="540"/>
        <w:tab w:val="left" w:pos="4320"/>
        <w:tab w:val="left" w:pos="5400"/>
        <w:tab w:val="center" w:pos="6480"/>
      </w:tabs>
      <w:spacing w:after="0" w:line="240" w:lineRule="auto"/>
      <w:jc w:val="both"/>
    </w:pPr>
    <w:rPr>
      <w:rFonts w:ascii="Times New Roman" w:eastAsia="Times New Roman" w:hAnsi="Times New Roman"/>
      <w:sz w:val="20"/>
      <w:szCs w:val="20"/>
    </w:rPr>
  </w:style>
  <w:style w:type="character" w:customStyle="1" w:styleId="BodyTextChar">
    <w:name w:val="Body Text Char"/>
    <w:link w:val="BodyText"/>
    <w:rsid w:val="00303C2E"/>
    <w:rPr>
      <w:rFonts w:ascii="Times New Roman" w:eastAsia="Times New Roman" w:hAnsi="Times New Roman" w:cs="Times New Roman"/>
      <w:sz w:val="20"/>
      <w:szCs w:val="20"/>
    </w:rPr>
  </w:style>
  <w:style w:type="paragraph" w:styleId="Footer">
    <w:name w:val="footer"/>
    <w:basedOn w:val="Normal"/>
    <w:link w:val="FooterChar"/>
    <w:rsid w:val="00303C2E"/>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303C2E"/>
    <w:rPr>
      <w:rFonts w:ascii="Times New Roman" w:eastAsia="Times New Roman" w:hAnsi="Times New Roman" w:cs="Times New Roman"/>
      <w:sz w:val="24"/>
      <w:szCs w:val="20"/>
    </w:rPr>
  </w:style>
  <w:style w:type="paragraph" w:styleId="ListParagraph">
    <w:name w:val="List Paragraph"/>
    <w:basedOn w:val="Normal"/>
    <w:qFormat/>
    <w:rsid w:val="00093D51"/>
    <w:pPr>
      <w:ind w:left="720"/>
      <w:contextualSpacing/>
    </w:pPr>
  </w:style>
  <w:style w:type="paragraph" w:customStyle="1" w:styleId="response">
    <w:name w:val="response"/>
    <w:basedOn w:val="Normal"/>
    <w:rsid w:val="00167605"/>
    <w:pPr>
      <w:spacing w:before="120" w:after="120" w:line="240" w:lineRule="auto"/>
    </w:pPr>
    <w:rPr>
      <w:rFonts w:ascii="Times New Roman" w:eastAsia="Times New Roman" w:hAnsi="Times New Roman"/>
      <w:sz w:val="20"/>
      <w:szCs w:val="20"/>
    </w:rPr>
  </w:style>
  <w:style w:type="table" w:styleId="TableGrid">
    <w:name w:val="Table Grid"/>
    <w:basedOn w:val="TableNormal"/>
    <w:uiPriority w:val="59"/>
    <w:rsid w:val="00AD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1D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03249">
      <w:bodyDiv w:val="1"/>
      <w:marLeft w:val="0"/>
      <w:marRight w:val="0"/>
      <w:marTop w:val="0"/>
      <w:marBottom w:val="0"/>
      <w:divBdr>
        <w:top w:val="none" w:sz="0" w:space="0" w:color="auto"/>
        <w:left w:val="none" w:sz="0" w:space="0" w:color="auto"/>
        <w:bottom w:val="none" w:sz="0" w:space="0" w:color="auto"/>
        <w:right w:val="none" w:sz="0" w:space="0" w:color="auto"/>
      </w:divBdr>
    </w:div>
    <w:div w:id="137042423">
      <w:bodyDiv w:val="1"/>
      <w:marLeft w:val="0"/>
      <w:marRight w:val="0"/>
      <w:marTop w:val="0"/>
      <w:marBottom w:val="0"/>
      <w:divBdr>
        <w:top w:val="none" w:sz="0" w:space="0" w:color="auto"/>
        <w:left w:val="none" w:sz="0" w:space="0" w:color="auto"/>
        <w:bottom w:val="none" w:sz="0" w:space="0" w:color="auto"/>
        <w:right w:val="none" w:sz="0" w:space="0" w:color="auto"/>
      </w:divBdr>
    </w:div>
    <w:div w:id="270623683">
      <w:bodyDiv w:val="1"/>
      <w:marLeft w:val="0"/>
      <w:marRight w:val="0"/>
      <w:marTop w:val="0"/>
      <w:marBottom w:val="0"/>
      <w:divBdr>
        <w:top w:val="none" w:sz="0" w:space="0" w:color="auto"/>
        <w:left w:val="none" w:sz="0" w:space="0" w:color="auto"/>
        <w:bottom w:val="none" w:sz="0" w:space="0" w:color="auto"/>
        <w:right w:val="none" w:sz="0" w:space="0" w:color="auto"/>
      </w:divBdr>
    </w:div>
    <w:div w:id="357580848">
      <w:bodyDiv w:val="1"/>
      <w:marLeft w:val="0"/>
      <w:marRight w:val="0"/>
      <w:marTop w:val="0"/>
      <w:marBottom w:val="0"/>
      <w:divBdr>
        <w:top w:val="none" w:sz="0" w:space="0" w:color="auto"/>
        <w:left w:val="none" w:sz="0" w:space="0" w:color="auto"/>
        <w:bottom w:val="none" w:sz="0" w:space="0" w:color="auto"/>
        <w:right w:val="none" w:sz="0" w:space="0" w:color="auto"/>
      </w:divBdr>
    </w:div>
    <w:div w:id="501509799">
      <w:bodyDiv w:val="1"/>
      <w:marLeft w:val="0"/>
      <w:marRight w:val="0"/>
      <w:marTop w:val="0"/>
      <w:marBottom w:val="0"/>
      <w:divBdr>
        <w:top w:val="none" w:sz="0" w:space="0" w:color="auto"/>
        <w:left w:val="none" w:sz="0" w:space="0" w:color="auto"/>
        <w:bottom w:val="none" w:sz="0" w:space="0" w:color="auto"/>
        <w:right w:val="none" w:sz="0" w:space="0" w:color="auto"/>
      </w:divBdr>
    </w:div>
    <w:div w:id="521212778">
      <w:bodyDiv w:val="1"/>
      <w:marLeft w:val="0"/>
      <w:marRight w:val="0"/>
      <w:marTop w:val="0"/>
      <w:marBottom w:val="0"/>
      <w:divBdr>
        <w:top w:val="none" w:sz="0" w:space="0" w:color="auto"/>
        <w:left w:val="none" w:sz="0" w:space="0" w:color="auto"/>
        <w:bottom w:val="none" w:sz="0" w:space="0" w:color="auto"/>
        <w:right w:val="none" w:sz="0" w:space="0" w:color="auto"/>
      </w:divBdr>
    </w:div>
    <w:div w:id="553858676">
      <w:bodyDiv w:val="1"/>
      <w:marLeft w:val="0"/>
      <w:marRight w:val="0"/>
      <w:marTop w:val="0"/>
      <w:marBottom w:val="0"/>
      <w:divBdr>
        <w:top w:val="none" w:sz="0" w:space="0" w:color="auto"/>
        <w:left w:val="none" w:sz="0" w:space="0" w:color="auto"/>
        <w:bottom w:val="none" w:sz="0" w:space="0" w:color="auto"/>
        <w:right w:val="none" w:sz="0" w:space="0" w:color="auto"/>
      </w:divBdr>
    </w:div>
    <w:div w:id="650794118">
      <w:bodyDiv w:val="1"/>
      <w:marLeft w:val="0"/>
      <w:marRight w:val="0"/>
      <w:marTop w:val="0"/>
      <w:marBottom w:val="0"/>
      <w:divBdr>
        <w:top w:val="none" w:sz="0" w:space="0" w:color="auto"/>
        <w:left w:val="none" w:sz="0" w:space="0" w:color="auto"/>
        <w:bottom w:val="none" w:sz="0" w:space="0" w:color="auto"/>
        <w:right w:val="none" w:sz="0" w:space="0" w:color="auto"/>
      </w:divBdr>
    </w:div>
    <w:div w:id="697511405">
      <w:bodyDiv w:val="1"/>
      <w:marLeft w:val="0"/>
      <w:marRight w:val="0"/>
      <w:marTop w:val="0"/>
      <w:marBottom w:val="0"/>
      <w:divBdr>
        <w:top w:val="none" w:sz="0" w:space="0" w:color="auto"/>
        <w:left w:val="none" w:sz="0" w:space="0" w:color="auto"/>
        <w:bottom w:val="none" w:sz="0" w:space="0" w:color="auto"/>
        <w:right w:val="none" w:sz="0" w:space="0" w:color="auto"/>
      </w:divBdr>
    </w:div>
    <w:div w:id="885410484">
      <w:bodyDiv w:val="1"/>
      <w:marLeft w:val="0"/>
      <w:marRight w:val="0"/>
      <w:marTop w:val="0"/>
      <w:marBottom w:val="0"/>
      <w:divBdr>
        <w:top w:val="none" w:sz="0" w:space="0" w:color="auto"/>
        <w:left w:val="none" w:sz="0" w:space="0" w:color="auto"/>
        <w:bottom w:val="none" w:sz="0" w:space="0" w:color="auto"/>
        <w:right w:val="none" w:sz="0" w:space="0" w:color="auto"/>
      </w:divBdr>
    </w:div>
    <w:div w:id="1103497277">
      <w:bodyDiv w:val="1"/>
      <w:marLeft w:val="0"/>
      <w:marRight w:val="0"/>
      <w:marTop w:val="0"/>
      <w:marBottom w:val="0"/>
      <w:divBdr>
        <w:top w:val="none" w:sz="0" w:space="0" w:color="auto"/>
        <w:left w:val="none" w:sz="0" w:space="0" w:color="auto"/>
        <w:bottom w:val="none" w:sz="0" w:space="0" w:color="auto"/>
        <w:right w:val="none" w:sz="0" w:space="0" w:color="auto"/>
      </w:divBdr>
    </w:div>
    <w:div w:id="1265184212">
      <w:bodyDiv w:val="1"/>
      <w:marLeft w:val="0"/>
      <w:marRight w:val="0"/>
      <w:marTop w:val="0"/>
      <w:marBottom w:val="0"/>
      <w:divBdr>
        <w:top w:val="none" w:sz="0" w:space="0" w:color="auto"/>
        <w:left w:val="none" w:sz="0" w:space="0" w:color="auto"/>
        <w:bottom w:val="none" w:sz="0" w:space="0" w:color="auto"/>
        <w:right w:val="none" w:sz="0" w:space="0" w:color="auto"/>
      </w:divBdr>
    </w:div>
    <w:div w:id="1338655420">
      <w:bodyDiv w:val="1"/>
      <w:marLeft w:val="0"/>
      <w:marRight w:val="0"/>
      <w:marTop w:val="0"/>
      <w:marBottom w:val="0"/>
      <w:divBdr>
        <w:top w:val="none" w:sz="0" w:space="0" w:color="auto"/>
        <w:left w:val="none" w:sz="0" w:space="0" w:color="auto"/>
        <w:bottom w:val="none" w:sz="0" w:space="0" w:color="auto"/>
        <w:right w:val="none" w:sz="0" w:space="0" w:color="auto"/>
      </w:divBdr>
    </w:div>
    <w:div w:id="1484083504">
      <w:bodyDiv w:val="1"/>
      <w:marLeft w:val="0"/>
      <w:marRight w:val="0"/>
      <w:marTop w:val="0"/>
      <w:marBottom w:val="0"/>
      <w:divBdr>
        <w:top w:val="none" w:sz="0" w:space="0" w:color="auto"/>
        <w:left w:val="none" w:sz="0" w:space="0" w:color="auto"/>
        <w:bottom w:val="none" w:sz="0" w:space="0" w:color="auto"/>
        <w:right w:val="none" w:sz="0" w:space="0" w:color="auto"/>
      </w:divBdr>
    </w:div>
    <w:div w:id="1607880092">
      <w:bodyDiv w:val="1"/>
      <w:marLeft w:val="0"/>
      <w:marRight w:val="0"/>
      <w:marTop w:val="0"/>
      <w:marBottom w:val="0"/>
      <w:divBdr>
        <w:top w:val="none" w:sz="0" w:space="0" w:color="auto"/>
        <w:left w:val="none" w:sz="0" w:space="0" w:color="auto"/>
        <w:bottom w:val="none" w:sz="0" w:space="0" w:color="auto"/>
        <w:right w:val="none" w:sz="0" w:space="0" w:color="auto"/>
      </w:divBdr>
    </w:div>
    <w:div w:id="1612667430">
      <w:bodyDiv w:val="1"/>
      <w:marLeft w:val="0"/>
      <w:marRight w:val="0"/>
      <w:marTop w:val="0"/>
      <w:marBottom w:val="0"/>
      <w:divBdr>
        <w:top w:val="none" w:sz="0" w:space="0" w:color="auto"/>
        <w:left w:val="none" w:sz="0" w:space="0" w:color="auto"/>
        <w:bottom w:val="none" w:sz="0" w:space="0" w:color="auto"/>
        <w:right w:val="none" w:sz="0" w:space="0" w:color="auto"/>
      </w:divBdr>
    </w:div>
    <w:div w:id="1692100653">
      <w:bodyDiv w:val="1"/>
      <w:marLeft w:val="0"/>
      <w:marRight w:val="0"/>
      <w:marTop w:val="0"/>
      <w:marBottom w:val="0"/>
      <w:divBdr>
        <w:top w:val="none" w:sz="0" w:space="0" w:color="auto"/>
        <w:left w:val="none" w:sz="0" w:space="0" w:color="auto"/>
        <w:bottom w:val="none" w:sz="0" w:space="0" w:color="auto"/>
        <w:right w:val="none" w:sz="0" w:space="0" w:color="auto"/>
      </w:divBdr>
    </w:div>
    <w:div w:id="1765035573">
      <w:bodyDiv w:val="1"/>
      <w:marLeft w:val="0"/>
      <w:marRight w:val="0"/>
      <w:marTop w:val="0"/>
      <w:marBottom w:val="0"/>
      <w:divBdr>
        <w:top w:val="none" w:sz="0" w:space="0" w:color="auto"/>
        <w:left w:val="none" w:sz="0" w:space="0" w:color="auto"/>
        <w:bottom w:val="none" w:sz="0" w:space="0" w:color="auto"/>
        <w:right w:val="none" w:sz="0" w:space="0" w:color="auto"/>
      </w:divBdr>
    </w:div>
    <w:div w:id="19501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LxlE9umc6S2SSNTuveDoM7mrOa8=</DigestValue>
    </Reference>
    <Reference URI="#idOfficeObject" Type="http://www.w3.org/2000/09/xmldsig#Object">
      <DigestMethod Algorithm="http://www.w3.org/2000/09/xmldsig#sha1"/>
      <DigestValue>J98+JPGa3W5jrFyzroQ1kzqhQek=</DigestValue>
    </Reference>
  </SignedInfo>
  <SignatureValue>
    R1Zn03GYi5yZdnqjEXMLUZ7B5pkVKNGByD7Tcfpfz5K/vgfSvWWD/b68QmHMmsOcYkD/Zx0x
    bhWoqMPVI1hqQ5Wais+Bn5c2rhoQY6GKl7bVHeeL6Oj446FQAAexKrEhPGU3F+qgSbPlG7YX
    2Q5LYNPUt9jOgqsD5IQoDPKwhVI=
  </SignatureValue>
  <KeyInfo>
    <KeyValue>
      <RSAKeyValue>
        <Modulus>
            sbb6yv7/QM21tlwMDO3vaF3EFMAvOJFVNqnX3Y+ZXw7TPf4+E6LWIHR7JjL2W6idZxf5+SQb
            ip+mUE7djH1j8+JLsv2bU/esaR2Ofcqq54U38/nZDS3KuHl3EZtkAMJaoqMG6BDMb4ANPYMU
            /ZbdfWFZzPoEuqbYv56TbOfoFxk=
          </Modulus>
        <Exponent>AQAB</Exponent>
      </RSAKeyValue>
    </KeyValue>
    <X509Data>
      <X509Certificate>
          MIIFzTCCA7WgAwIBAgIQVAF8FEnrGROSox99Ji+/TjANBgkqhkiG9w0BAQUFADBpMQswCQYD
          VQQGEwJWTjETMBEGA1UEChMKVk5QVCBHcm91cDEeMBwGA1UECxMVVk5QVC1DQSBUcnVzdCBO
          ZXR3b3JrMSUwIwYDVQQDExxWTlBUIENlcnRpZmljYXRpb24gQXV0aG9yaXR5MB4XDTE1MDMy
          NjAyMzIwMFoXDTE2MDgxMTAyNTEwMFowgZYxCzAJBgNVBAYTAlZOMRcwFQYDVQQIDA5I4buT
          IENow60gTWluaDERMA8GA1UEBwwIUXXhuq1uIDExOzA5BgNVBAMMMkPDlE5HIFRZIEPhu5Qg
          UEjhuqZOIENI4buoTkcgS0hPw4FOIEtJUyBWSeG7hlQgTkFNMR4wHAYKCZImiZPyLGQBAQwO
          TVNUOjAzMDUwNjYxMjUwgZ8wDQYJKoZIhvcNAQEBBQADgY0AMIGJAoGBALG2+sr+/0DNtbZc
          DAzt72hdxBTALziRVTap192PmV8O0z3+PhOi1iB0eyYy9luonWcX+fkkG4qfplBO3Yx9Y/Pi
          S7L9m1P3rGkdjn3KqueFN/P52Q0tyrh5dxGbZADCWqKjBugQzG+ADT2DFP2W3X1hWcz6BLqm
          2L+ek2zn6BcZAgMBAAGjggHFMIIBwTBwBggrBgEFBQcBAQRkMGIwMgYIKwYBBQUHMAKGJmh0
          dHA6Ly9wdWIudm5wdC1jYS52bi9jZXJ0cy92bnB0Y2EuY2VyMCwGCCsGAQUFBzABhiBodHRw
          Oi8vb2NzcC52bnB0LWNhLnZuL3Jlc3BvbmRlcjAdBgNVHQ4EFgQUTyVwxd1mGIXOFh6wyiHj
          s7yVrMowDAYDVR0TAQH/BAIwADAfBgNVHSMEGDAWgBQGacDV1QKKFY1Gfel84mgKVaxqrzBo
          BgNVHSAEYTBfMF0GDisGAQQBge0DAQEDAQECMEswIgYIKwYBBQUHAgIwFh4UAE8ASQBEAC0A
          UAByAC0AMQAuADAwJQYIKwYBBQUHAgEWGWh0dHA6Ly9wdWIudm5wdC1jYS52bi9ycGEwMQYD
          VR0fBCowKDAmoCSgIoYgaHR0cDovL2NybC52bnB0LWNhLnZuL3ZucHRjYS5jcmwwDgYDVR0P
          AQH/BAQDAgTwMDQGA1UdJQQtMCsGCCsGAQUFBwMCBggrBgEFBQcDBAYKKwYBBAGCNwoDDAYJ
          KoZIhvcvAQEFMBwGA1UdEQQVMBOBEWRpc3BhdGNoQGtpc3ZuLnZuMA0GCSqGSIb3DQEBBQUA
          A4ICAQCMtlsjG9QGa93TF765OnN/2+SLwD3H3bK/Hz8y0BvYEshCiDH2IjfVtFBaHc6ISBBe
          r2qRWGbhW+DGzt8lVS3Qx9vWxNbsu10WTnLoNFDrjJxX0NjBVbwBlzG3RnedpAuSM7lMp/i4
          DfdoEJT2jrKeusDEVo0ELMon2dwclEZBzIgMPCz/KxrANv2rEcVeEXNFUyZXdzkDLuxnXEhg
          y8Dd4/xr/qRMYod6UwnaSCsuXyJ+vglZhs3EKXg3fI3epbKjIG1sRCaUjK8ONWo3W1DXDW+3
          CacIfbRagk1tXFweJ+Gc6eBlvRM53XIkftV4wvoIS5JQhwadM65jB4+BoW4VanIHtnjkVZOD
          j4rtQNxQtHMSzTPsaxAqIW7mAKIhPyMtmEcuL16Agf5PKJPtJEClwU2o7H4XuyUWBKWahmgG
          hOsR8CtIcRiwSWuKTYiPsyb6foZjSaaGLX46DvM7FJKhgZY9jl0QYjNUg81Q1+ssg7q6uVbr
          yWb+tY0hwIDpRZVaNMYX67Lk8ftEsVSBZP2ElUTS04HVQ5jU4923xrKe561C3WeLGGdgcdg+
          7Jzwi8fOleza0QhFLYzPf+/zMxAxhd+Zm/PXkioHDvoCpFSlSIwPXqhH37q1BbkQ4y3sktUw
          NRUY8nWRymQsnTtk+sshHRhW20SX2xbg2yWRQoHKeg==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A8XGvZXfZVByHlNMGCvSJ6YG5u0=</DigestValue>
      </Reference>
      <Reference URI="/word/document.xml?ContentType=application/vnd.openxmlformats-officedocument.wordprocessingml.document.main+xml">
        <DigestMethod Algorithm="http://www.w3.org/2000/09/xmldsig#sha1"/>
        <DigestValue>SEDqoV/3aLBCVH+hr+0qxFCye40=</DigestValue>
      </Reference>
      <Reference URI="/word/endnotes.xml?ContentType=application/vnd.openxmlformats-officedocument.wordprocessingml.endnotes+xml">
        <DigestMethod Algorithm="http://www.w3.org/2000/09/xmldsig#sha1"/>
        <DigestValue>DwoxUo6f7B/uFUBcovtGrSXfa2Q=</DigestValue>
      </Reference>
      <Reference URI="/word/fontTable.xml?ContentType=application/vnd.openxmlformats-officedocument.wordprocessingml.fontTable+xml">
        <DigestMethod Algorithm="http://www.w3.org/2000/09/xmldsig#sha1"/>
        <DigestValue>pB34A167rhS5+bbwpcHMO6T1oZo=</DigestValue>
      </Reference>
      <Reference URI="/word/footer1.xml?ContentType=application/vnd.openxmlformats-officedocument.wordprocessingml.footer+xml">
        <DigestMethod Algorithm="http://www.w3.org/2000/09/xmldsig#sha1"/>
        <DigestValue>+rVHox3Cl2Il+B9Nxsz6r1yEySI=</DigestValue>
      </Reference>
      <Reference URI="/word/footer2.xml?ContentType=application/vnd.openxmlformats-officedocument.wordprocessingml.footer+xml">
        <DigestMethod Algorithm="http://www.w3.org/2000/09/xmldsig#sha1"/>
        <DigestValue>rU/DLhNKbFG4+QOAKrnRF26qI3o=</DigestValue>
      </Reference>
      <Reference URI="/word/footer3.xml?ContentType=application/vnd.openxmlformats-officedocument.wordprocessingml.footer+xml">
        <DigestMethod Algorithm="http://www.w3.org/2000/09/xmldsig#sha1"/>
        <DigestValue>uOHkip+vvEpi6zlOiSbexkNumzU=</DigestValue>
      </Reference>
      <Reference URI="/word/footer4.xml?ContentType=application/vnd.openxmlformats-officedocument.wordprocessingml.footer+xml">
        <DigestMethod Algorithm="http://www.w3.org/2000/09/xmldsig#sha1"/>
        <DigestValue>xt47mdyqPDP6soopsIliSL+LISo=</DigestValue>
      </Reference>
      <Reference URI="/word/footnotes.xml?ContentType=application/vnd.openxmlformats-officedocument.wordprocessingml.footnotes+xml">
        <DigestMethod Algorithm="http://www.w3.org/2000/09/xmldsig#sha1"/>
        <DigestValue>yhXVOIcMp3l1Te6ixZT0UikaoE8=</DigestValue>
      </Reference>
      <Reference URI="/word/header1.xml?ContentType=application/vnd.openxmlformats-officedocument.wordprocessingml.header+xml">
        <DigestMethod Algorithm="http://www.w3.org/2000/09/xmldsig#sha1"/>
        <DigestValue>vADibVxkVJnG1QygtnNUXCH4oUM=</DigestValue>
      </Reference>
      <Reference URI="/word/header2.xml?ContentType=application/vnd.openxmlformats-officedocument.wordprocessingml.header+xml">
        <DigestMethod Algorithm="http://www.w3.org/2000/09/xmldsig#sha1"/>
        <DigestValue>SiktuAi7U4Qs5Q5uJYnt/3DKvUo=</DigestValue>
      </Reference>
      <Reference URI="/word/header3.xml?ContentType=application/vnd.openxmlformats-officedocument.wordprocessingml.header+xml">
        <DigestMethod Algorithm="http://www.w3.org/2000/09/xmldsig#sha1"/>
        <DigestValue>tgaZHHrQIfoXByIz76nT2Sesjdk=</DigestValue>
      </Reference>
      <Reference URI="/word/header4.xml?ContentType=application/vnd.openxmlformats-officedocument.wordprocessingml.header+xml">
        <DigestMethod Algorithm="http://www.w3.org/2000/09/xmldsig#sha1"/>
        <DigestValue>tV1TnXZ5xXXMWsjohvXPf0G3XjU=</DigestValue>
      </Reference>
      <Reference URI="/word/header5.xml?ContentType=application/vnd.openxmlformats-officedocument.wordprocessingml.header+xml">
        <DigestMethod Algorithm="http://www.w3.org/2000/09/xmldsig#sha1"/>
        <DigestValue>n/kmofQO3xJ1jWRpkjMxxzr91UI=</DigestValue>
      </Reference>
      <Reference URI="/word/media/image1.emf?ContentType=image/x-emf">
        <DigestMethod Algorithm="http://www.w3.org/2000/09/xmldsig#sha1"/>
        <DigestValue>RtA4MQKXvG2fgYe8RWlTaOZaoC4=</DigestValue>
      </Reference>
      <Reference URI="/word/media/image2.emf?ContentType=image/x-emf">
        <DigestMethod Algorithm="http://www.w3.org/2000/09/xmldsig#sha1"/>
        <DigestValue>K63XUCYfw1gHKrrT4eOgcdSoDuQ=</DigestValue>
      </Reference>
      <Reference URI="/word/media/image3.emf?ContentType=image/x-emf">
        <DigestMethod Algorithm="http://www.w3.org/2000/09/xmldsig#sha1"/>
        <DigestValue>jwLsZ5t5z1J9j+U96uWj0DEryBY=</DigestValue>
      </Reference>
      <Reference URI="/word/media/image4.emf?ContentType=image/x-emf">
        <DigestMethod Algorithm="http://www.w3.org/2000/09/xmldsig#sha1"/>
        <DigestValue>w/y4KXjD9k1XJbMZ9MGHx+rsL4c=</DigestValue>
      </Reference>
      <Reference URI="/word/media/image5.emf?ContentType=image/x-emf">
        <DigestMethod Algorithm="http://www.w3.org/2000/09/xmldsig#sha1"/>
        <DigestValue>IHRVXmb+NPkWmw2avgbVRvmApf4=</DigestValue>
      </Reference>
      <Reference URI="/word/media/image6.emf?ContentType=image/x-emf">
        <DigestMethod Algorithm="http://www.w3.org/2000/09/xmldsig#sha1"/>
        <DigestValue>a29OfUcS47G1mBFdGUjlC94zcIk=</DigestValue>
      </Reference>
      <Reference URI="/word/media/image7.emf?ContentType=image/x-emf">
        <DigestMethod Algorithm="http://www.w3.org/2000/09/xmldsig#sha1"/>
        <DigestValue>BY5Mv41Q5iNPabxhv5Kk1IjAP+4=</DigestValue>
      </Reference>
      <Reference URI="/word/media/image8.emf?ContentType=image/x-emf">
        <DigestMethod Algorithm="http://www.w3.org/2000/09/xmldsig#sha1"/>
        <DigestValue>Gux6in/sPV0VRo/Mz4DKnua26g4=</DigestValue>
      </Reference>
      <Reference URI="/word/numbering.xml?ContentType=application/vnd.openxmlformats-officedocument.wordprocessingml.numbering+xml">
        <DigestMethod Algorithm="http://www.w3.org/2000/09/xmldsig#sha1"/>
        <DigestValue>aS7jiLgJ3tF16uDazSwPZgiziMU=</DigestValue>
      </Reference>
      <Reference URI="/word/settings.xml?ContentType=application/vnd.openxmlformats-officedocument.wordprocessingml.settings+xml">
        <DigestMethod Algorithm="http://www.w3.org/2000/09/xmldsig#sha1"/>
        <DigestValue>Bwy7uqtA+OVX+Oqypj5Ig4U5e7I=</DigestValue>
      </Reference>
      <Reference URI="/word/styles.xml?ContentType=application/vnd.openxmlformats-officedocument.wordprocessingml.styles+xml">
        <DigestMethod Algorithm="http://www.w3.org/2000/09/xmldsig#sha1"/>
        <DigestValue>dR4uNGGIGOBPol8HDYxkVmB5uBY=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iCDym/3Di+BPnXM28gSk+uGQZnk=</DigestValue>
      </Reference>
    </Manifest>
    <SignatureProperties>
      <SignatureProperty Id="idSignatureTime" Target="#idPackageSignature">
        <mdssi:SignatureTime>
          <mdssi:Format>YYYY-MM-DDThh:mm:ssTZD</mdssi:Format>
          <mdssi:Value>2015-08-18T02:44:15Z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793A-EB00-4165-9FCC-5E176664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DFK</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DuyHung</dc:creator>
  <cp:lastModifiedBy>thien.np</cp:lastModifiedBy>
  <cp:revision>5</cp:revision>
  <cp:lastPrinted>2015-08-08T03:47:00Z</cp:lastPrinted>
  <dcterms:created xsi:type="dcterms:W3CDTF">2015-08-18T02:39:00Z</dcterms:created>
  <dcterms:modified xsi:type="dcterms:W3CDTF">2015-08-18T02:43:00Z</dcterms:modified>
</cp:coreProperties>
</file>