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499" w:rsidRPr="006C48AE" w:rsidRDefault="002F6499">
      <w:pPr>
        <w:rPr>
          <w:b/>
        </w:rPr>
      </w:pPr>
      <w:r w:rsidRPr="006C48AE">
        <w:rPr>
          <w:b/>
        </w:rPr>
        <w:t xml:space="preserve">ACB: </w:t>
      </w:r>
      <w:r w:rsidR="00CA6FBC">
        <w:rPr>
          <w:b/>
        </w:rPr>
        <w:t xml:space="preserve">Annual </w:t>
      </w:r>
      <w:r w:rsidRPr="006C48AE">
        <w:rPr>
          <w:b/>
        </w:rPr>
        <w:t xml:space="preserve">General Mandate </w:t>
      </w:r>
      <w:r w:rsidR="00CA6FBC">
        <w:rPr>
          <w:b/>
        </w:rPr>
        <w:t>2017</w:t>
      </w:r>
    </w:p>
    <w:p w:rsidR="002F6499" w:rsidRDefault="002F6499">
      <w:r>
        <w:t xml:space="preserve">On </w:t>
      </w:r>
      <w:r w:rsidR="00EB36A1">
        <w:t>08</w:t>
      </w:r>
      <w:r>
        <w:t>/04/</w:t>
      </w:r>
      <w:r w:rsidR="00CA6FBC">
        <w:t>2017</w:t>
      </w:r>
      <w:r>
        <w:t xml:space="preserve">, A </w:t>
      </w:r>
      <w:proofErr w:type="spellStart"/>
      <w:r>
        <w:t>Chau</w:t>
      </w:r>
      <w:proofErr w:type="spellEnd"/>
      <w:r>
        <w:t xml:space="preserve"> Joint Stock Commercial Bank announced General Mandate </w:t>
      </w:r>
      <w:r w:rsidR="00CA6FBC">
        <w:t>2016</w:t>
      </w:r>
      <w:r>
        <w:t xml:space="preserve"> as follows:</w:t>
      </w:r>
    </w:p>
    <w:p w:rsidR="002F6499" w:rsidRPr="006F6A48" w:rsidRDefault="007871F9">
      <w:pPr>
        <w:rPr>
          <w:b/>
        </w:rPr>
      </w:pPr>
      <w:r>
        <w:rPr>
          <w:b/>
        </w:rPr>
        <w:t>I</w:t>
      </w:r>
      <w:r w:rsidR="006F6A48" w:rsidRPr="006F6A48">
        <w:rPr>
          <w:b/>
        </w:rPr>
        <w:t xml:space="preserve">. </w:t>
      </w:r>
      <w:r w:rsidR="002F6499" w:rsidRPr="006F6A48">
        <w:rPr>
          <w:b/>
        </w:rPr>
        <w:t xml:space="preserve"> Approve </w:t>
      </w:r>
      <w:r w:rsidR="00414FB0" w:rsidRPr="006F6A48">
        <w:rPr>
          <w:b/>
        </w:rPr>
        <w:t xml:space="preserve">the reports of Board of Directors and Executive Board on the operation result in </w:t>
      </w:r>
      <w:r w:rsidR="00CA6FBC" w:rsidRPr="006F6A48">
        <w:rPr>
          <w:b/>
        </w:rPr>
        <w:t>2016</w:t>
      </w:r>
      <w:r w:rsidR="00414FB0" w:rsidRPr="006F6A48">
        <w:rPr>
          <w:b/>
        </w:rPr>
        <w:t xml:space="preserve"> </w:t>
      </w:r>
      <w:r w:rsidR="002F6499" w:rsidRPr="006F6A48">
        <w:rPr>
          <w:b/>
        </w:rPr>
        <w:t xml:space="preserve">and plan </w:t>
      </w:r>
      <w:r w:rsidR="00414FB0" w:rsidRPr="006F6A48">
        <w:rPr>
          <w:b/>
        </w:rPr>
        <w:t xml:space="preserve">for </w:t>
      </w:r>
      <w:r w:rsidR="00CA6FBC" w:rsidRPr="006F6A48">
        <w:rPr>
          <w:b/>
        </w:rPr>
        <w:t>2017</w:t>
      </w:r>
    </w:p>
    <w:p w:rsidR="00414FB0" w:rsidRDefault="00414FB0">
      <w:r>
        <w:t xml:space="preserve">Approve the operation plan for </w:t>
      </w:r>
      <w:r w:rsidR="00CA6FBC">
        <w:t>2017</w:t>
      </w:r>
      <w:r>
        <w:t>, the main targets as follows:</w:t>
      </w:r>
    </w:p>
    <w:p w:rsidR="006F6A48" w:rsidRDefault="006F6A48">
      <w:r>
        <w:t>- Total assets increased by 16%</w:t>
      </w:r>
      <w:r w:rsidR="00060B67">
        <w:tab/>
      </w:r>
      <w:r w:rsidR="002F6499">
        <w:tab/>
      </w:r>
      <w:r w:rsidR="002F6499">
        <w:tab/>
      </w:r>
    </w:p>
    <w:p w:rsidR="002F6499" w:rsidRDefault="006F6A48">
      <w:r>
        <w:t>- Deposit from customers increased</w:t>
      </w:r>
      <w:r w:rsidR="005124A2">
        <w:t xml:space="preserve"> by 16%</w:t>
      </w:r>
      <w:r w:rsidR="002F6499">
        <w:tab/>
      </w:r>
      <w:r w:rsidR="00060B67">
        <w:tab/>
      </w:r>
    </w:p>
    <w:p w:rsidR="002F6499" w:rsidRDefault="002F6499">
      <w:r>
        <w:t>- Cr</w:t>
      </w:r>
      <w:r w:rsidR="00060B67">
        <w:t>edit</w:t>
      </w:r>
      <w:r w:rsidR="005124A2">
        <w:t xml:space="preserve"> increased by 16%</w:t>
      </w:r>
      <w:r w:rsidR="00060B67">
        <w:tab/>
      </w:r>
      <w:r w:rsidR="00060B67">
        <w:tab/>
      </w:r>
      <w:r w:rsidR="00060B67">
        <w:tab/>
      </w:r>
      <w:r w:rsidR="00060B67">
        <w:tab/>
      </w:r>
    </w:p>
    <w:p w:rsidR="002F6499" w:rsidRDefault="002F6499" w:rsidP="005124A2">
      <w:r>
        <w:t xml:space="preserve">- Rate of bad debts </w:t>
      </w:r>
      <w:r w:rsidR="005124A2">
        <w:t>was lower than 2%</w:t>
      </w:r>
      <w:r>
        <w:tab/>
      </w:r>
    </w:p>
    <w:p w:rsidR="002F6499" w:rsidRDefault="005124A2" w:rsidP="00E759E8">
      <w:r>
        <w:t>- Profit before tax of the Group was about VND 2,205 billion</w:t>
      </w:r>
      <w:r w:rsidR="002F6499">
        <w:tab/>
      </w:r>
      <w:r w:rsidR="002F6499">
        <w:tab/>
      </w:r>
      <w:r w:rsidR="002F6499">
        <w:tab/>
      </w:r>
    </w:p>
    <w:p w:rsidR="005124A2" w:rsidRDefault="007871F9">
      <w:pPr>
        <w:rPr>
          <w:b/>
        </w:rPr>
      </w:pPr>
      <w:r>
        <w:rPr>
          <w:b/>
        </w:rPr>
        <w:t>II</w:t>
      </w:r>
      <w:r w:rsidR="005124A2" w:rsidRPr="005124A2">
        <w:rPr>
          <w:b/>
        </w:rPr>
        <w:t>.</w:t>
      </w:r>
      <w:r w:rsidR="002F6499" w:rsidRPr="005124A2">
        <w:rPr>
          <w:b/>
        </w:rPr>
        <w:t xml:space="preserve"> </w:t>
      </w:r>
      <w:r w:rsidR="005124A2">
        <w:rPr>
          <w:b/>
        </w:rPr>
        <w:t>Approve the report</w:t>
      </w:r>
      <w:r w:rsidR="001E4783">
        <w:rPr>
          <w:b/>
        </w:rPr>
        <w:t xml:space="preserve"> of Supervisory Board dated 10/03/2017 on the operation of Supervisory Board and the result of reviewing the financial statement 2016 of Asia Commercial Bank</w:t>
      </w:r>
    </w:p>
    <w:p w:rsidR="002F6499" w:rsidRDefault="007871F9">
      <w:pPr>
        <w:rPr>
          <w:b/>
        </w:rPr>
      </w:pPr>
      <w:r>
        <w:rPr>
          <w:b/>
        </w:rPr>
        <w:t>III</w:t>
      </w:r>
      <w:r w:rsidR="001E4783" w:rsidRPr="008A33E7">
        <w:rPr>
          <w:b/>
        </w:rPr>
        <w:t xml:space="preserve">. </w:t>
      </w:r>
      <w:r w:rsidR="002F6499" w:rsidRPr="008A33E7">
        <w:rPr>
          <w:b/>
        </w:rPr>
        <w:t>Approve financial statement of the Holding company and consolidated financial statement of ACB audited by KPMG Vietnam Co., ltd as follows:</w:t>
      </w:r>
    </w:p>
    <w:p w:rsidR="008A33E7" w:rsidRPr="008A33E7" w:rsidRDefault="008A33E7">
      <w:pPr>
        <w:rPr>
          <w:b/>
          <w:i/>
        </w:rPr>
      </w:pPr>
      <w:r w:rsidRPr="008A33E7">
        <w:rPr>
          <w:b/>
          <w:i/>
        </w:rPr>
        <w:t xml:space="preserve">A. CONSOLIDATED FINANCIAL STATEMENT </w:t>
      </w:r>
    </w:p>
    <w:p w:rsidR="002F6499" w:rsidRDefault="002F6499" w:rsidP="00E759E8">
      <w:pPr>
        <w:numPr>
          <w:ilvl w:val="0"/>
          <w:numId w:val="1"/>
        </w:numPr>
        <w:rPr>
          <w:b/>
        </w:rPr>
      </w:pPr>
      <w:r w:rsidRPr="00E759E8">
        <w:rPr>
          <w:b/>
        </w:rPr>
        <w:t>Consolidated balance sheet</w:t>
      </w:r>
    </w:p>
    <w:p w:rsidR="00620403" w:rsidRPr="00620403" w:rsidRDefault="00620403" w:rsidP="00620403">
      <w:pPr>
        <w:ind w:left="360"/>
        <w:jc w:val="right"/>
        <w:rPr>
          <w:i/>
        </w:rPr>
      </w:pPr>
      <w:r w:rsidRPr="00620403">
        <w:rPr>
          <w:i/>
        </w:rPr>
        <w:t>Unit: VND</w:t>
      </w:r>
    </w:p>
    <w:tbl>
      <w:tblPr>
        <w:tblW w:w="964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5"/>
        <w:gridCol w:w="2160"/>
        <w:gridCol w:w="1980"/>
      </w:tblGrid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center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31/12/2016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31/12/2015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A.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I. Cash and cash equivalents on hand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3,541,388,000,000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2,806,088,000,000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II. Balances with the State Bank of Vietnam (“the SBV”)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5,119,306,000,000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4,608,680,000,000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III. Placements with and loans to other banks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8,152,027,000,000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10,122,200,000,000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1. Current accounts with other banks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6,443,182,000,000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5,971,691,000,000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2. Term deposits with and loans to other banks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1,880,725,000,000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4,350,650,000,000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3. Less: Provision for credit losses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-171,880,000,000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-200,141,000,000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 xml:space="preserve">IV. Trading securities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1,183,306,000,000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100,457,000,000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1. Trading securities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1,211,314,000,000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103,034,000,000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2. Less: provision for impairment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-28,008,000,000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-2,577,000,000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V. Derivative financial instruments and other financial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16,065,000,000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47,603,000,000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VI. Loans and advances to customers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161,604,426,000,000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133,807,454,000,000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1. Loans and advances to customers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163,401,221,000,000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135,348,271,000,000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2. Less: provision for credit losses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-1,796,795,000,000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-1,540,817,000,000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VII. Investment securities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42,801,465,000,000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38,679,144,000,000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1. Securities - available-for-sale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10,962,613,000,000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11,941,248,000,000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2. Securities - held-to-maturity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34,824,159,000,000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28,821,509,000,000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3. Provision for impairment of investment securities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-2,985,307,000,000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-2,083,613,000,000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VIII. Long-term investments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190,194,000,000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208,219,000,000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1. Investment in Subsidiaries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lastRenderedPageBreak/>
              <w:t xml:space="preserve">2. Investments in joint-ventures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1,280,000,000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1,278,000,000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3. Investment in associates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346,000,000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315,000,000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4. Other long-term investments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199,537,000,000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217,204,000,000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5. Provision for impairment of long-term investments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-10,969,000,000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-10,578,000,000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IX. Fixed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2,850,558,000,000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2,479,567,000,000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IX. Fixed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2,338,722,000,000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2,054,258,000,000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a. Historical cost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3,682,372,000,000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3,219,139,000,000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b. Accumulated Depreciation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-1,343,650,000,000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-1,164,881,000,000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2. Finance lease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a. Historical cost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b. Accumulated Depreciation of Finance lease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3. Intangible fixed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511,836,000,000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425,309,000,000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a. Historical cost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722,821,000,000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597,295,000,000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b. Accumulated Amortization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-210,985,000,000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-171,986,000,000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X. Investment property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211,872,000,000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61,921,000,000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a. Historical cost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212,954,000,000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62,643,000,000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b. Accumulated Depreciation of Investment property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-1,082,000,000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-722,000,000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XI. Other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8,010,270,000,000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8,535,652,000,000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1. Receivables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4,620,331,000,000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5,640,657,000,000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 xml:space="preserve">2. Interests and fees Receivables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3,241,224,000,000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2,798,476,000,000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3. Delay Tax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2,800,000,000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4. Other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666,881,000,000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657,011,000,000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of which: Goodwill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5. Allowance for uncollectible receivables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-518,166,000,000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-563,292,000,000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TOTAL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233,680,877,000,000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201,456,985,000,000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B. RESOURCES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I. Borrowings from the Ministry of Finance (“MOF”) and the SBV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5,178,981,000,000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II. Deposits and borrowings from other banks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2,235,115,000,000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2,433,330,000,000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1. Current accounts held by other banks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1,735,365,000,000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2,097,789,000,000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2. Deposits and borrowings from other banks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499,750,000,000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335,541,000,000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III. Customer deposits and other amounts due to customers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207,051,269,000,000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174,918,997,000,000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 xml:space="preserve">IV. Derivative financial instruments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V. Debts issued and other borrowed funds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122,697,000,000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161,678,000,000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VI. Valuable papers issued by the Bank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6,615,000,000,000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3,075,000,000,000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VII. Other liabilities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3,594,080,000,000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2,901,457,000,000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 xml:space="preserve">1. Accrued interest expenses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2,281,452,000,000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1,741,689,000,000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2. Deferred income tax payables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462,000,000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3. Other payables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1,312,166,000,000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1,159,768,000,000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4. Other allowance (for Commitments and Contingencies)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TOTAL LIABILITIES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219,618,161,000,000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188,669,443,000,000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VIII. OWNER’S EQUITY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14,062,716,000,000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12,787,542,000,000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1. Capital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8,711,240,000,000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8,711,240,000,000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a. Chartered capital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9,376,965,000,000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9,376,965,000,000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b. Basic Construction Capital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c. Share premium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d. Treasury stock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-665,725,000,000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-665,725,000,000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e. Preferred stock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g. Other capital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 xml:space="preserve">2. Reserves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2,590,181,000,000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2,374,178,000,000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3. Foreign exchange translation reserve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4. Revaluation differences on Assets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lastRenderedPageBreak/>
              <w:t>5. Retained earnings/ Accumulated loss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2,761,295,000,000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1,702,124,000,000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IX. Minority Interest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TOTAL LIABILITIES, OWNER’S EQUITY AND MINORITY INTEREST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233,680,877,000,000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201,456,985,000,000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OFF-BALANCE SHEET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 xml:space="preserve"> I. Contingencies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10,057,434,000,000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8,597,478,000,000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 xml:space="preserve">1. Credit guarantees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60,862,000,000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51,670,000,000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 xml:space="preserve">2. Letters of credit commitments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4,443,845,000,000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3,857,488,000,000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 xml:space="preserve">3. Other guarantees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5,552,727,000,000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4,688,320,000,000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 xml:space="preserve">II. Commitments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15,210,577,000,000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5303EA">
              <w:rPr>
                <w:rFonts w:eastAsia="Times New Roman" w:cs="Arial"/>
                <w:b/>
                <w:bCs/>
                <w:sz w:val="18"/>
                <w:szCs w:val="18"/>
              </w:rPr>
              <w:t>10,187,960,000,000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 xml:space="preserve">1. Credit commitments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5303EA" w:rsidRPr="005303EA" w:rsidTr="005303EA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 xml:space="preserve">2. Other commitments 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15,210,577,000,000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5303EA" w:rsidRPr="005303EA" w:rsidRDefault="005303EA" w:rsidP="005303EA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5303EA">
              <w:rPr>
                <w:rFonts w:eastAsia="Times New Roman" w:cs="Arial"/>
                <w:sz w:val="18"/>
                <w:szCs w:val="18"/>
              </w:rPr>
              <w:t>10,187,960,000,000</w:t>
            </w:r>
          </w:p>
        </w:tc>
      </w:tr>
    </w:tbl>
    <w:p w:rsidR="005303EA" w:rsidRDefault="005303EA" w:rsidP="00EC63CF">
      <w:pPr>
        <w:numPr>
          <w:ilvl w:val="0"/>
          <w:numId w:val="1"/>
        </w:numPr>
        <w:rPr>
          <w:b/>
        </w:rPr>
      </w:pPr>
      <w:r w:rsidRPr="00C646E1">
        <w:rPr>
          <w:b/>
        </w:rPr>
        <w:t>Consolidated Income Statement</w:t>
      </w:r>
    </w:p>
    <w:p w:rsidR="00620403" w:rsidRPr="00620403" w:rsidRDefault="00620403" w:rsidP="00620403">
      <w:pPr>
        <w:ind w:left="720"/>
        <w:jc w:val="right"/>
        <w:rPr>
          <w:i/>
        </w:rPr>
      </w:pPr>
      <w:r w:rsidRPr="00620403">
        <w:rPr>
          <w:i/>
        </w:rPr>
        <w:t>Unit: VND</w:t>
      </w:r>
    </w:p>
    <w:tbl>
      <w:tblPr>
        <w:tblW w:w="964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05"/>
        <w:gridCol w:w="2160"/>
        <w:gridCol w:w="1980"/>
      </w:tblGrid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center"/>
            <w:hideMark/>
          </w:tcPr>
          <w:p w:rsidR="00EC63CF" w:rsidRPr="00EC63CF" w:rsidRDefault="00620403" w:rsidP="00EC63C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2160" w:type="dxa"/>
            <w:shd w:val="clear" w:color="auto" w:fill="auto"/>
            <w:noWrap/>
            <w:vAlign w:val="center"/>
            <w:hideMark/>
          </w:tcPr>
          <w:p w:rsidR="00EC63CF" w:rsidRPr="00EC63CF" w:rsidRDefault="00620403" w:rsidP="00EC63C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EC63CF" w:rsidRPr="00EC63CF" w:rsidRDefault="00620403" w:rsidP="00EC63CF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2016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1. Interest and similar income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14,081,792,000,000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16,448,249,000,000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2. Interest and similar expenses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8,198,265,000,000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9,556,360,000,000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I. NET INTEREST AND SIMILAR INCOME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5,883,527,000,000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6,891,889,000,000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3. Fees and commission income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1,020,989,000,000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1,274,131,000,000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4. Fees and commission expenses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275,763,000,000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329,749,000,000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II. NET GAIN (LOSS) FROM FEES AND COMMISSION INCOME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745,226,000,000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944,382,000,000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III. Net gain/loss from dealing in foreign currencies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120,624,000,000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230,096,000,000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IV. Net gain/loss from trading securities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14,544,000,000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72,083,000,000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V. Net gain (loss) from securities investment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-807,600,000,000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-885,963,000,000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5. Other operating income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275,511,000,000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296,285,000,000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6. Other operating expenses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33,028,000,000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11,081,000,000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VI. NET OTHER OPERATING INCOME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242,483,000,000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285,204,000,000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VII. NET SHARE OF PROFIT IN ASSOCIATES JOINT-VENTURES AND DIVIDEND INCOME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21,485,000,000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24,811,000,000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VIII. OPERATING EXPENSE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4,021,683,000,000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4,677,889,000,000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IX. NET PROFIT BEFORE PROVISION FOR CREDIT LOSSES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2,198,606,000,000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2,884,613,000,000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X. PROVISION OF CREDIT LOSSES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884,455,000,000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1,217,587,000,000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XI. PROFIT BEFORE TAX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1,314,151,000,000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1,667,026,000,000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7. Current enterprise income tax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283,828,000,000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338,590,000,000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8. Deferred enterprise income tax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2,091,000,000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3,262,000,000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XII. INCOME TAX PAYABLES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285,919,000,000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341,852,000,000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XIII. PROFIT AFTER TAX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1,028,232,000,000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C63CF">
              <w:rPr>
                <w:rFonts w:eastAsia="Times New Roman" w:cs="Arial"/>
                <w:b/>
                <w:bCs/>
                <w:sz w:val="18"/>
                <w:szCs w:val="18"/>
              </w:rPr>
              <w:t>1,325,174,000,000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XIV. MINORITY INTEREST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EC63CF" w:rsidRPr="00EC63CF" w:rsidTr="00620403">
        <w:trPr>
          <w:trHeight w:val="240"/>
        </w:trPr>
        <w:tc>
          <w:tcPr>
            <w:tcW w:w="5505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XV. EARNING PER SHARE</w:t>
            </w:r>
          </w:p>
        </w:tc>
        <w:tc>
          <w:tcPr>
            <w:tcW w:w="216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1,033,000,000</w:t>
            </w:r>
          </w:p>
        </w:tc>
        <w:tc>
          <w:tcPr>
            <w:tcW w:w="1980" w:type="dxa"/>
            <w:shd w:val="clear" w:color="auto" w:fill="auto"/>
            <w:noWrap/>
            <w:vAlign w:val="bottom"/>
            <w:hideMark/>
          </w:tcPr>
          <w:p w:rsidR="00EC63CF" w:rsidRPr="00EC63CF" w:rsidRDefault="00EC63CF" w:rsidP="00EC63CF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EC63CF">
              <w:rPr>
                <w:rFonts w:eastAsia="Times New Roman" w:cs="Arial"/>
                <w:sz w:val="18"/>
                <w:szCs w:val="18"/>
              </w:rPr>
              <w:t>1,293,000,000</w:t>
            </w:r>
          </w:p>
        </w:tc>
      </w:tr>
    </w:tbl>
    <w:p w:rsidR="00DB058B" w:rsidRPr="00C646E1" w:rsidRDefault="00DB058B" w:rsidP="00DB058B">
      <w:pPr>
        <w:numPr>
          <w:ilvl w:val="0"/>
          <w:numId w:val="1"/>
        </w:numPr>
        <w:rPr>
          <w:b/>
        </w:rPr>
      </w:pPr>
      <w:r w:rsidRPr="00C646E1">
        <w:rPr>
          <w:b/>
        </w:rPr>
        <w:t>Consolidated Cash Flow</w:t>
      </w:r>
    </w:p>
    <w:p w:rsidR="005303EA" w:rsidRPr="00DB058B" w:rsidRDefault="00DB058B" w:rsidP="00DB058B">
      <w:pPr>
        <w:jc w:val="right"/>
        <w:rPr>
          <w:i/>
        </w:rPr>
      </w:pPr>
      <w:r w:rsidRPr="00DB058B">
        <w:rPr>
          <w:i/>
        </w:rPr>
        <w:t>Unit: VND</w:t>
      </w:r>
    </w:p>
    <w:tbl>
      <w:tblPr>
        <w:tblW w:w="9915" w:type="dxa"/>
        <w:tblInd w:w="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25"/>
        <w:gridCol w:w="1890"/>
        <w:gridCol w:w="1818"/>
      </w:tblGrid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center"/>
            <w:hideMark/>
          </w:tcPr>
          <w:p w:rsidR="002E4B95" w:rsidRPr="002E4B95" w:rsidRDefault="00DB058B" w:rsidP="002E4B95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Items</w:t>
            </w:r>
          </w:p>
        </w:tc>
        <w:tc>
          <w:tcPr>
            <w:tcW w:w="1890" w:type="dxa"/>
            <w:shd w:val="clear" w:color="auto" w:fill="auto"/>
            <w:noWrap/>
            <w:vAlign w:val="center"/>
            <w:hideMark/>
          </w:tcPr>
          <w:p w:rsidR="002E4B95" w:rsidRPr="002E4B95" w:rsidRDefault="00DB058B" w:rsidP="002E4B95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1800" w:type="dxa"/>
            <w:shd w:val="clear" w:color="auto" w:fill="auto"/>
            <w:noWrap/>
            <w:vAlign w:val="center"/>
            <w:hideMark/>
          </w:tcPr>
          <w:p w:rsidR="002E4B95" w:rsidRPr="002E4B95" w:rsidRDefault="00DB058B" w:rsidP="002E4B95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2015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Cash flows from operating activities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Interest and similar income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16,096,594,000,000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14,537,367,000,000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Interest and similar expenses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-8,961,266,000,000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-8,193,322,000,000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Fees and commission income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944,382,000,000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745,226,000,000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Differences from realized income/realized expenses from operating activities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524,755,000,000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656,029,000,000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lastRenderedPageBreak/>
              <w:t>Other operating income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200,509,000,000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38,792,000,000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Bad debts written-off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79,185,000,000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147,890,000,000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Payment to employees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-4,297,586,000,000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-3,742,720,000,000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Income tax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-360,194,000,000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-288,162,000,000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Net cash from operating activities before changes in operating assets and working capital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4,226,379,000,000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3,901,100,000,000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Changes in operating assets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placements with and loans to other banks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3,141,004,000,000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-2,274,920,000,000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investment securities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-6,132,295,000,000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-959,524,000,000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 xml:space="preserve">Increase/Decrease in derivative financial instruments and other financial assets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31,538,000,000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-33,200,000,000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loans and advances to customers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-28,052,950,000,000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-17,707,749,000,000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Provisions for losses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-1,329,800,000,000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-1,145,022,000,000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other operating assets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624,073,000,000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-139,575,000,000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Changes in operating liabilities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borrowings from MOF and the SBV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-5,178,981,000,000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5,178,981,000,000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term deposits and borrowings from other bank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-198,215,000,000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-3,711,908,000,000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customer deposits and other amounts due to customers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32,132,272,000,000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20,305,409,000,000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valuable papers issued by the Bank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486,000,000,000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-3,000,000,000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debts issued and other borrowed funds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-38,981,000,000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-26,477,000,000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derivative financial instruments and other financial liabilities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Increase/Decrease in other operating liabilities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97,036,000,000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-327,381,000,000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Cash outflows from funds of credit institution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-5,038,000,000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-10,624,000,000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 xml:space="preserve">I. Net cash from operating activities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-197,958,000,000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3,046,110,000,000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Cash flows from investing activities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 xml:space="preserve">Acquisition of fixed assets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-584,690,000,000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-261,238,000,000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Proceeds from disposal of premises and equipment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1,578,000,000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337,254,000,000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Payments for disposal of premises and equipment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Acquisitions of investment property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-181,284,000,000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-64,615,000,000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Proceeds from disposal of investment property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38,368,000,000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42,169,000,000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Payments for disposal of investment property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Investments in associates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Recovery of Investments in associates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224,204,000,000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65,340,000,000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 xml:space="preserve">Interest and dividend received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34,278,000,000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11,999,000,000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II. Net cash from investing activities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-467,546,000,000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130,909,000,000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Cash flows from financing activities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 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Charter capital increase from capital contribution/ stock issuance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Receipts from issuance of long-term valuable papers and other long term loans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3,054,000,000,000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Payments for long-term valuable papers and other long-term borrowings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Cash payments of dividends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-627,392,000,000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Payments to acquire or redeem the enterprise's shares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-601,000,000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Receipts from sale of treasury shares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 xml:space="preserve">III. Net cash from financing activities 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3,054,000,000,000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-627,993,000,000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IV. Net cash increase/ decrease during the period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2,388,496,000,000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2,549,026,000,000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V. Cash and cash equivalent at beginning of period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12,190,381,000,000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9,641,355,000,000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VI. Effects of changes in foreign exchange rate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sz w:val="18"/>
                <w:szCs w:val="18"/>
              </w:rPr>
            </w:pPr>
            <w:r w:rsidRPr="002E4B95">
              <w:rPr>
                <w:rFonts w:eastAsia="Times New Roman" w:cs="Arial"/>
                <w:sz w:val="18"/>
                <w:szCs w:val="18"/>
              </w:rPr>
              <w:t>0</w:t>
            </w:r>
          </w:p>
        </w:tc>
      </w:tr>
      <w:tr w:rsidR="002E4B95" w:rsidRPr="002E4B95" w:rsidTr="00DB058B">
        <w:trPr>
          <w:trHeight w:val="240"/>
        </w:trPr>
        <w:tc>
          <w:tcPr>
            <w:tcW w:w="6225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VII. Cash and cash equivalent at end of period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14,578,877,000,000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2E4B95" w:rsidRPr="002E4B95" w:rsidRDefault="002E4B95" w:rsidP="002E4B95">
            <w:pPr>
              <w:spacing w:before="0"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2E4B95">
              <w:rPr>
                <w:rFonts w:eastAsia="Times New Roman" w:cs="Arial"/>
                <w:b/>
                <w:bCs/>
                <w:sz w:val="18"/>
                <w:szCs w:val="18"/>
              </w:rPr>
              <w:t>12,190,381,000,000</w:t>
            </w:r>
          </w:p>
        </w:tc>
      </w:tr>
    </w:tbl>
    <w:p w:rsidR="002E4B95" w:rsidRPr="002E4B95" w:rsidRDefault="002E4B95" w:rsidP="002E4B95"/>
    <w:p w:rsidR="002E4B95" w:rsidRPr="00DB058B" w:rsidRDefault="00DB058B" w:rsidP="002E4B95">
      <w:pPr>
        <w:rPr>
          <w:b/>
          <w:i/>
        </w:rPr>
      </w:pPr>
      <w:r w:rsidRPr="00DB058B">
        <w:rPr>
          <w:b/>
          <w:i/>
        </w:rPr>
        <w:lastRenderedPageBreak/>
        <w:t>B. PRIVATE FINANCIAL STATEMENT</w:t>
      </w:r>
    </w:p>
    <w:p w:rsidR="00214A5F" w:rsidRDefault="007871F9" w:rsidP="007871F9">
      <w:pPr>
        <w:rPr>
          <w:b/>
        </w:rPr>
      </w:pPr>
      <w:r>
        <w:rPr>
          <w:b/>
        </w:rPr>
        <w:t xml:space="preserve">1. </w:t>
      </w:r>
      <w:r w:rsidR="002F6499" w:rsidRPr="00C646E1">
        <w:rPr>
          <w:b/>
        </w:rPr>
        <w:t>The Balance Sheet of Holding Company</w:t>
      </w:r>
    </w:p>
    <w:p w:rsidR="00214A5F" w:rsidRPr="00214A5F" w:rsidRDefault="00214A5F" w:rsidP="00214A5F">
      <w:pPr>
        <w:jc w:val="right"/>
        <w:rPr>
          <w:i/>
        </w:rPr>
      </w:pPr>
      <w:r w:rsidRPr="00214A5F">
        <w:rPr>
          <w:i/>
        </w:rPr>
        <w:t>Unit: VND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9"/>
        <w:gridCol w:w="2195"/>
        <w:gridCol w:w="2092"/>
      </w:tblGrid>
      <w:tr w:rsidR="00214A5F" w:rsidRPr="00806B2D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/>
                <w:bCs/>
              </w:rPr>
            </w:pPr>
            <w:r w:rsidRPr="00806B2D">
              <w:rPr>
                <w:b/>
                <w:bCs/>
              </w:rPr>
              <w:t>Items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/>
                <w:bCs/>
              </w:rPr>
            </w:pPr>
            <w:r w:rsidRPr="00806B2D">
              <w:rPr>
                <w:b/>
                <w:bCs/>
              </w:rPr>
              <w:t xml:space="preserve">31/12/2016 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/>
                <w:bCs/>
              </w:rPr>
            </w:pPr>
            <w:r w:rsidRPr="00806B2D">
              <w:rPr>
                <w:b/>
                <w:bCs/>
              </w:rPr>
              <w:t>31/12/2015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A. ASSETS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I. Cash and cash equivalents on hand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3,541,348,000,000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2,806,053,000,000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II. Balances with the State Bank of Vietnam (“the SBV”)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5,119,306,000,000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4,608,680,000,000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III. Placements with and loans to other banks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8,593,981,000,000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10,578,062,000,000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1.Current accounts with other banks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6,423,210,000,000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6,018,585,000,000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2.Loans to other banks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2,342,651,000,000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4,759,618,000,000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3.Provision for credit losses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-171,880,000,000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-200,141,000,000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proofErr w:type="spellStart"/>
            <w:r w:rsidRPr="00806B2D">
              <w:rPr>
                <w:bCs/>
              </w:rPr>
              <w:t>IV.Trading</w:t>
            </w:r>
            <w:proofErr w:type="spellEnd"/>
            <w:r w:rsidRPr="00806B2D">
              <w:rPr>
                <w:bCs/>
              </w:rPr>
              <w:t xml:space="preserve"> securities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720,577,000,000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1.Trading securities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720,577,000,000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2.Provision for impairment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V.Derivative</w:t>
            </w:r>
            <w:proofErr w:type="spellEnd"/>
            <w:r w:rsidRPr="00214A5F">
              <w:t xml:space="preserve"> financial instruments and other financial assets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16,065,000,000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47,603,000,000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proofErr w:type="spellStart"/>
            <w:r w:rsidRPr="00806B2D">
              <w:rPr>
                <w:bCs/>
              </w:rPr>
              <w:t>VI.Loans</w:t>
            </w:r>
            <w:proofErr w:type="spellEnd"/>
            <w:r w:rsidRPr="00806B2D">
              <w:rPr>
                <w:bCs/>
              </w:rPr>
              <w:t xml:space="preserve"> and advances to customers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159,258,785,000,000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131,601,223,000,000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1.Loans and advances to customers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161,029,238,000,000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133,115,328,000,000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2.Provision for credit losses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-1,770,453,000,000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-1,514,105,000,000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proofErr w:type="spellStart"/>
            <w:r w:rsidRPr="00806B2D">
              <w:rPr>
                <w:bCs/>
              </w:rPr>
              <w:t>VII.Investment</w:t>
            </w:r>
            <w:proofErr w:type="spellEnd"/>
            <w:r w:rsidRPr="00806B2D">
              <w:rPr>
                <w:bCs/>
              </w:rPr>
              <w:t xml:space="preserve"> securities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42,672,094,000,000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38,454,774,000,000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1.Securities - available-for-sale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10,838,702,000,000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11,757,883,000,000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2.Securities - held-to-maturity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34,775,806,000,000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28,734,645,000,000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3.Provision for impairment of investment securities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-2,942,414,000,000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-2,037,754,000,000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proofErr w:type="spellStart"/>
            <w:r w:rsidRPr="00806B2D">
              <w:rPr>
                <w:bCs/>
              </w:rPr>
              <w:t>VIII.Long</w:t>
            </w:r>
            <w:proofErr w:type="spellEnd"/>
            <w:r w:rsidRPr="00806B2D">
              <w:rPr>
                <w:bCs/>
              </w:rPr>
              <w:t>-term investments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2,329,768,000,000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2,347,826,000,000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1.Investment in Subsidiaries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2,140,000,000,000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2,140,000,000,000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2.Investments in associates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1,000,000,000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1,000,000,000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3.Investments in joint-ventures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200,000,000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200,000,000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4.Other long-term investments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199,537,000,000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217,204,000,000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5.Provision for impairment of long-term investments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-10,969,000,000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-10,578,000,000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proofErr w:type="spellStart"/>
            <w:r w:rsidRPr="00806B2D">
              <w:rPr>
                <w:bCs/>
              </w:rPr>
              <w:t>IX.Fixed</w:t>
            </w:r>
            <w:proofErr w:type="spellEnd"/>
            <w:r w:rsidRPr="00806B2D">
              <w:rPr>
                <w:bCs/>
              </w:rPr>
              <w:t xml:space="preserve"> assets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2,769,593,000,000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2,427,215,000,000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lastRenderedPageBreak/>
              <w:t>1.Tangible fixed assets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2,283,144,000,000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2,002,407,000,000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a.Historical</w:t>
            </w:r>
            <w:proofErr w:type="spellEnd"/>
            <w:r w:rsidRPr="00214A5F">
              <w:t xml:space="preserve"> cost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3,580,267,000,000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3,127,099,000,000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b.Accumulated</w:t>
            </w:r>
            <w:proofErr w:type="spellEnd"/>
            <w:r w:rsidRPr="00214A5F">
              <w:t xml:space="preserve"> Depreciation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-1,297,123,000,000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-1,124,692,000,000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2.Finance lease assets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a.Historical</w:t>
            </w:r>
            <w:proofErr w:type="spellEnd"/>
            <w:r w:rsidRPr="00214A5F">
              <w:t xml:space="preserve"> cost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b.Accumulated</w:t>
            </w:r>
            <w:proofErr w:type="spellEnd"/>
            <w:r w:rsidRPr="00214A5F">
              <w:t xml:space="preserve"> Depreciation of Finance lease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3.Intangible fixed assets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486,449,000,000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424,808,000,000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a.Historical</w:t>
            </w:r>
            <w:proofErr w:type="spellEnd"/>
            <w:r w:rsidRPr="00214A5F">
              <w:t xml:space="preserve"> cost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691,121,000,000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593,855,000,000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b.Accumulated</w:t>
            </w:r>
            <w:proofErr w:type="spellEnd"/>
            <w:r w:rsidRPr="00214A5F">
              <w:t xml:space="preserve"> Amortization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-204,672,000,000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-169,047,000,000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X. Investment property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A.Historical</w:t>
            </w:r>
            <w:proofErr w:type="spellEnd"/>
            <w:r w:rsidRPr="00214A5F">
              <w:t xml:space="preserve"> cost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b.Accumulated</w:t>
            </w:r>
            <w:proofErr w:type="spellEnd"/>
            <w:r w:rsidRPr="00214A5F">
              <w:t xml:space="preserve"> Depreciation of Investment property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proofErr w:type="spellStart"/>
            <w:r w:rsidRPr="00806B2D">
              <w:rPr>
                <w:bCs/>
              </w:rPr>
              <w:t>XI.Other</w:t>
            </w:r>
            <w:proofErr w:type="spellEnd"/>
            <w:r w:rsidRPr="00806B2D">
              <w:rPr>
                <w:bCs/>
              </w:rPr>
              <w:t xml:space="preserve"> assets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8,038,379,000,000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8,510,377,000,000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1.Receivables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4,664,440,000,000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5,671,293,000,000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2.Interests and fees Receivables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3,237,520,000,000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2,782,516,000,000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3.Deferred Tax Assets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2,800,000,000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4.Other assets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653,326,000,000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615,826,000,000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- of which: Goodwill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5. Allowance for uncollectible receivables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-516,907,000,000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-562,058,000,000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TOTAL ASSETS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233,059,896,000,000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201,381,813,000,000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B.RESOURCES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I.Borrowings</w:t>
            </w:r>
            <w:proofErr w:type="spellEnd"/>
            <w:r w:rsidRPr="00214A5F">
              <w:t xml:space="preserve"> from the Ministry of Finance (“MOF”) and the SBV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5,178,981,000,000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proofErr w:type="spellStart"/>
            <w:r w:rsidRPr="00806B2D">
              <w:rPr>
                <w:bCs/>
              </w:rPr>
              <w:t>II.Deposits</w:t>
            </w:r>
            <w:proofErr w:type="spellEnd"/>
            <w:r w:rsidRPr="00806B2D">
              <w:rPr>
                <w:bCs/>
              </w:rPr>
              <w:t xml:space="preserve"> and borrowings from other banks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2,253,847,000,000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2,360,415,000,000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1.Current accounts held by other banks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1,754,097,000,000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2,124,874,000,000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2.Deposits and borrowings from other banks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499,750,000,000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235,541,000,000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III.Customer</w:t>
            </w:r>
            <w:proofErr w:type="spellEnd"/>
            <w:r w:rsidRPr="00214A5F">
              <w:t xml:space="preserve"> deposits and other amounts due to customers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207,347,013,000,000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175,395,002,000,000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IV.Derivative</w:t>
            </w:r>
            <w:proofErr w:type="spellEnd"/>
            <w:r w:rsidRPr="00214A5F">
              <w:t xml:space="preserve"> financial  instruments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V.Debts</w:t>
            </w:r>
            <w:proofErr w:type="spellEnd"/>
            <w:r w:rsidRPr="00214A5F">
              <w:t xml:space="preserve"> issued and other borrowed funds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122,697,000,000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161,678,000,000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VI.Valuable</w:t>
            </w:r>
            <w:proofErr w:type="spellEnd"/>
            <w:r w:rsidRPr="00214A5F">
              <w:t xml:space="preserve"> papers issued by the Bank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6,054,000,000,000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3,000,000,000,000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proofErr w:type="spellStart"/>
            <w:r w:rsidRPr="00806B2D">
              <w:rPr>
                <w:bCs/>
              </w:rPr>
              <w:lastRenderedPageBreak/>
              <w:t>VII.Other</w:t>
            </w:r>
            <w:proofErr w:type="spellEnd"/>
            <w:r w:rsidRPr="00806B2D">
              <w:rPr>
                <w:bCs/>
              </w:rPr>
              <w:t xml:space="preserve"> liabilities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3,521,648,000,000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2,783,038,000,000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1.Accrued interest expenses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2,275,898,000,000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1,742,279,000,000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2.Deferred income tax payables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3.Other payables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1,245,750,000,000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1,040,759,000,000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4.Other allowance (for Commitments and Contingencies)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TOTAL LIABILITIES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219,299,205,000,000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188,879,114,000,000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VIII.OWNER’S EQUITY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13,760,691,000,000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12,502,699,000,000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1.Capital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8,711,240,000,000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8,711,240,000,000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a.Chartered</w:t>
            </w:r>
            <w:proofErr w:type="spellEnd"/>
            <w:r w:rsidRPr="00214A5F">
              <w:t xml:space="preserve"> capital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9,376,965,000,000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9,376,965,000,000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b.Basic</w:t>
            </w:r>
            <w:proofErr w:type="spellEnd"/>
            <w:r w:rsidRPr="00214A5F">
              <w:t xml:space="preserve"> Construction Capital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c.Share</w:t>
            </w:r>
            <w:proofErr w:type="spellEnd"/>
            <w:r w:rsidRPr="00214A5F">
              <w:t xml:space="preserve"> premium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d.Treasury</w:t>
            </w:r>
            <w:proofErr w:type="spellEnd"/>
            <w:r w:rsidRPr="00214A5F">
              <w:t xml:space="preserve"> stock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-665,725,000,000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-665,725,000,000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e.Preferred</w:t>
            </w:r>
            <w:proofErr w:type="spellEnd"/>
            <w:r w:rsidRPr="00214A5F">
              <w:t xml:space="preserve"> stock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g.Other</w:t>
            </w:r>
            <w:proofErr w:type="spellEnd"/>
            <w:r w:rsidRPr="00214A5F">
              <w:t xml:space="preserve"> capital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2.Reserves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2,287,388,000,000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2,091,190,000,000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3.Foreign exchange translation reserve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4.Revaluation differences on Assets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5.Retained earnings/ Accumulated loss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2,762,063,000,000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1,700,269,000,000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proofErr w:type="spellStart"/>
            <w:r w:rsidRPr="00214A5F">
              <w:t>IX.Minority</w:t>
            </w:r>
            <w:proofErr w:type="spellEnd"/>
            <w:r w:rsidRPr="00214A5F">
              <w:t xml:space="preserve"> Interest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TOTAL LIABILITIES, OWNER’S EQUITY AND MINORITY INTEREST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233,059,896,000,000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201,381,813,000,000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OFF-BALANCE SHEET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I. Contingencies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10,057,434,000,000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8,597,478,000,000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 Credit guarantees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60,862,000,000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51,670,000,000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 Letters of credit commitments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4,443,845,000,000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3,857,488,000,000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3. Other guarantees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5,552,727,000,000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4,688,320,000,000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II. Commitments</w:t>
            </w:r>
          </w:p>
        </w:tc>
        <w:tc>
          <w:tcPr>
            <w:tcW w:w="2210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15,210,577,000,000</w:t>
            </w:r>
          </w:p>
        </w:tc>
        <w:tc>
          <w:tcPr>
            <w:tcW w:w="2038" w:type="dxa"/>
            <w:noWrap/>
            <w:hideMark/>
          </w:tcPr>
          <w:p w:rsidR="00214A5F" w:rsidRPr="00806B2D" w:rsidRDefault="00214A5F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10,187,960,000,000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1. Credit commitments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0</w:t>
            </w:r>
          </w:p>
        </w:tc>
      </w:tr>
      <w:tr w:rsidR="00214A5F" w:rsidRPr="00214A5F" w:rsidTr="00806B2D">
        <w:trPr>
          <w:trHeight w:val="240"/>
        </w:trPr>
        <w:tc>
          <w:tcPr>
            <w:tcW w:w="5328" w:type="dxa"/>
            <w:noWrap/>
            <w:hideMark/>
          </w:tcPr>
          <w:p w:rsidR="00214A5F" w:rsidRPr="00214A5F" w:rsidRDefault="00214A5F" w:rsidP="00806B2D">
            <w:pPr>
              <w:spacing w:line="240" w:lineRule="auto"/>
            </w:pPr>
            <w:r w:rsidRPr="00214A5F">
              <w:t>2. Other commitments</w:t>
            </w:r>
          </w:p>
        </w:tc>
        <w:tc>
          <w:tcPr>
            <w:tcW w:w="2210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15,210,577,000,000</w:t>
            </w:r>
          </w:p>
        </w:tc>
        <w:tc>
          <w:tcPr>
            <w:tcW w:w="2038" w:type="dxa"/>
            <w:noWrap/>
            <w:hideMark/>
          </w:tcPr>
          <w:p w:rsidR="00214A5F" w:rsidRPr="00214A5F" w:rsidRDefault="00214A5F" w:rsidP="00806B2D">
            <w:pPr>
              <w:spacing w:line="240" w:lineRule="auto"/>
              <w:jc w:val="right"/>
            </w:pPr>
            <w:r w:rsidRPr="00214A5F">
              <w:t>10,187,960,000,000</w:t>
            </w:r>
          </w:p>
        </w:tc>
      </w:tr>
    </w:tbl>
    <w:p w:rsidR="007871F9" w:rsidRDefault="007871F9" w:rsidP="007871F9">
      <w:pPr>
        <w:rPr>
          <w:b/>
        </w:rPr>
      </w:pPr>
    </w:p>
    <w:p w:rsidR="002F6499" w:rsidRDefault="007871F9" w:rsidP="007871F9">
      <w:pPr>
        <w:rPr>
          <w:b/>
        </w:rPr>
      </w:pPr>
      <w:r>
        <w:rPr>
          <w:b/>
        </w:rPr>
        <w:lastRenderedPageBreak/>
        <w:t xml:space="preserve">2. </w:t>
      </w:r>
      <w:r w:rsidR="002F6499" w:rsidRPr="00AF7EAD">
        <w:rPr>
          <w:b/>
        </w:rPr>
        <w:t>The Income Statement of Holding Company</w:t>
      </w:r>
    </w:p>
    <w:p w:rsidR="007871F9" w:rsidRPr="00FB6BF2" w:rsidRDefault="00FB6BF2" w:rsidP="00FB6BF2">
      <w:pPr>
        <w:jc w:val="right"/>
        <w:rPr>
          <w:i/>
        </w:rPr>
      </w:pPr>
      <w:r w:rsidRPr="00FB6BF2">
        <w:rPr>
          <w:i/>
        </w:rPr>
        <w:t>Unit: VND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08"/>
        <w:gridCol w:w="2034"/>
        <w:gridCol w:w="2034"/>
      </w:tblGrid>
      <w:tr w:rsidR="00FB6BF2" w:rsidRPr="00806B2D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806B2D" w:rsidRDefault="00A46555" w:rsidP="00806B2D">
            <w:pPr>
              <w:spacing w:line="240" w:lineRule="auto"/>
              <w:rPr>
                <w:b/>
                <w:bCs/>
              </w:rPr>
            </w:pPr>
            <w:r w:rsidRPr="00806B2D">
              <w:rPr>
                <w:b/>
                <w:bCs/>
              </w:rPr>
              <w:t>Items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A46555" w:rsidP="00806B2D">
            <w:pPr>
              <w:spacing w:line="240" w:lineRule="auto"/>
              <w:jc w:val="right"/>
              <w:rPr>
                <w:b/>
                <w:bCs/>
              </w:rPr>
            </w:pPr>
            <w:r w:rsidRPr="00806B2D">
              <w:rPr>
                <w:b/>
                <w:bCs/>
              </w:rPr>
              <w:t>2016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A46555" w:rsidP="00806B2D">
            <w:pPr>
              <w:spacing w:line="240" w:lineRule="auto"/>
              <w:jc w:val="right"/>
              <w:rPr>
                <w:b/>
                <w:bCs/>
              </w:rPr>
            </w:pPr>
            <w:r w:rsidRPr="00806B2D">
              <w:rPr>
                <w:b/>
                <w:bCs/>
              </w:rPr>
              <w:t>2015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1. Interest and similar income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16,211,810,000,000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13,867,746,000,000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2. Interest and similar expenses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9,524,601,000,000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8,230,631,000,000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I. NET INTEREST AND SIMILAR INCOME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6,687,209,000,000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5,637,115,000,000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3. Fees and commission income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1,142,409,000,000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907,623,000,000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4. Fees and commission expenses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290,999,000,000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246,215,000,000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II. NET GAIN FROM FEES AND COMMISSION INCOME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851,410,000,000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661,408,000,000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III. Net gain from dealing in foreign currencies and gold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229,777,000,000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119,964,000,000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IV. Net gain from trading securities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3,638,000,000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14,400,000,000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V. Net gain (loss) from securities investment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-892,902,000,000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-767,167,000,000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5. Other operating income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277,497,000,000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267,890,000,000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6. Other operating expenses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10,971,000,000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32,913,000,000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VI. NET OTHER OPERATING INCOME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266,526,000,000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234,977,000,000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VII. Net share of profit in associates joint-ventures and dividend income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189,767,000,000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134,957,000,000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VIII. OPERATING EXPENSES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4,527,449,000,000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3,900,233,000,000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IX. Net profit before provision for credit losses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2,807,976,000,000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2,135,421,000,000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X. Provision of credit losses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1,207,198,000,000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874,250,000,000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XI. PROFIT BEFORE TAX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1,600,778,000,000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1,261,171,000,000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7. Current enterprise income tax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289,986,000,000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246,994,000,000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8. Deferred enterprise income tax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2,800,000,000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2,091,000,000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XII. Income tax payables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292,786,000,000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249,085,000,000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XIII. Profit after tax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1,307,992,000,000</w:t>
            </w:r>
          </w:p>
        </w:tc>
        <w:tc>
          <w:tcPr>
            <w:tcW w:w="2100" w:type="dxa"/>
            <w:noWrap/>
            <w:hideMark/>
          </w:tcPr>
          <w:p w:rsidR="00FB6BF2" w:rsidRPr="00806B2D" w:rsidRDefault="00FB6BF2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1,012,086,000,000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>XIV. Minority interest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0</w:t>
            </w:r>
          </w:p>
        </w:tc>
      </w:tr>
      <w:tr w:rsidR="00FB6BF2" w:rsidRPr="00A46555" w:rsidTr="00806B2D">
        <w:trPr>
          <w:trHeight w:val="240"/>
        </w:trPr>
        <w:tc>
          <w:tcPr>
            <w:tcW w:w="5701" w:type="dxa"/>
            <w:noWrap/>
            <w:hideMark/>
          </w:tcPr>
          <w:p w:rsidR="00FB6BF2" w:rsidRPr="00A46555" w:rsidRDefault="00FB6BF2" w:rsidP="00806B2D">
            <w:pPr>
              <w:spacing w:line="240" w:lineRule="auto"/>
            </w:pPr>
            <w:r w:rsidRPr="00A46555">
              <w:t xml:space="preserve">XV. </w:t>
            </w:r>
            <w:proofErr w:type="spellStart"/>
            <w:r w:rsidRPr="00A46555">
              <w:t>Earning</w:t>
            </w:r>
            <w:proofErr w:type="spellEnd"/>
            <w:r w:rsidRPr="00A46555">
              <w:t xml:space="preserve"> per share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0</w:t>
            </w:r>
          </w:p>
        </w:tc>
        <w:tc>
          <w:tcPr>
            <w:tcW w:w="2100" w:type="dxa"/>
            <w:noWrap/>
            <w:hideMark/>
          </w:tcPr>
          <w:p w:rsidR="00FB6BF2" w:rsidRPr="00A46555" w:rsidRDefault="00FB6BF2" w:rsidP="00806B2D">
            <w:pPr>
              <w:spacing w:line="240" w:lineRule="auto"/>
              <w:jc w:val="right"/>
            </w:pPr>
            <w:r w:rsidRPr="00A46555">
              <w:t>0</w:t>
            </w:r>
          </w:p>
        </w:tc>
      </w:tr>
    </w:tbl>
    <w:p w:rsidR="00FB6BF2" w:rsidRDefault="00FB6BF2" w:rsidP="007871F9">
      <w:pPr>
        <w:rPr>
          <w:b/>
        </w:rPr>
      </w:pPr>
    </w:p>
    <w:p w:rsidR="00637966" w:rsidRDefault="00637966" w:rsidP="007871F9">
      <w:pPr>
        <w:rPr>
          <w:b/>
        </w:rPr>
      </w:pPr>
    </w:p>
    <w:p w:rsidR="00637966" w:rsidRDefault="00637966" w:rsidP="007871F9">
      <w:pPr>
        <w:rPr>
          <w:b/>
        </w:rPr>
      </w:pPr>
    </w:p>
    <w:p w:rsidR="00637966" w:rsidRDefault="00637966" w:rsidP="007871F9">
      <w:pPr>
        <w:rPr>
          <w:b/>
        </w:rPr>
      </w:pPr>
    </w:p>
    <w:p w:rsidR="002F6499" w:rsidRPr="00AF7EAD" w:rsidRDefault="007871F9" w:rsidP="007871F9">
      <w:pPr>
        <w:rPr>
          <w:b/>
        </w:rPr>
      </w:pPr>
      <w:r>
        <w:rPr>
          <w:b/>
        </w:rPr>
        <w:lastRenderedPageBreak/>
        <w:t xml:space="preserve">3. </w:t>
      </w:r>
      <w:r w:rsidR="002F6499" w:rsidRPr="00AF7EAD">
        <w:rPr>
          <w:b/>
        </w:rPr>
        <w:t>The Cash Flow of Holding Company</w:t>
      </w:r>
    </w:p>
    <w:p w:rsidR="002F6499" w:rsidRPr="00A46555" w:rsidRDefault="00A46555" w:rsidP="00A46555">
      <w:pPr>
        <w:jc w:val="right"/>
        <w:rPr>
          <w:i/>
        </w:rPr>
      </w:pPr>
      <w:r w:rsidRPr="00A46555">
        <w:rPr>
          <w:i/>
        </w:rPr>
        <w:t>Unit: VND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2578"/>
        <w:gridCol w:w="2178"/>
      </w:tblGrid>
      <w:tr w:rsidR="00806B2D" w:rsidRPr="00806B2D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637966" w:rsidP="00806B2D">
            <w:pPr>
              <w:spacing w:line="240" w:lineRule="auto"/>
              <w:rPr>
                <w:b/>
                <w:bCs/>
              </w:rPr>
            </w:pPr>
            <w:r w:rsidRPr="00806B2D">
              <w:rPr>
                <w:b/>
                <w:bCs/>
              </w:rPr>
              <w:t>Items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637966" w:rsidP="00806B2D">
            <w:pPr>
              <w:spacing w:line="240" w:lineRule="auto"/>
              <w:jc w:val="right"/>
              <w:rPr>
                <w:b/>
                <w:bCs/>
              </w:rPr>
            </w:pPr>
            <w:r w:rsidRPr="00806B2D">
              <w:rPr>
                <w:b/>
                <w:bCs/>
              </w:rPr>
              <w:t>2016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637966" w:rsidP="00806B2D">
            <w:pPr>
              <w:spacing w:line="240" w:lineRule="auto"/>
              <w:jc w:val="right"/>
              <w:rPr>
                <w:b/>
                <w:bCs/>
              </w:rPr>
            </w:pPr>
            <w:r w:rsidRPr="00806B2D">
              <w:rPr>
                <w:b/>
                <w:bCs/>
              </w:rPr>
              <w:t>2015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Cash flows from operating activities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Interest and similar income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15,847,899,000,000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14,325,484,000,000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Interest and similar expenses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-8,935,651,000,000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-8,225,613,000,000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Fees and commission income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851,410,000,000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661,408,000,000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Differences from realized income/realized expenses from operating activities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430,560,000,000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655,621,000,000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Other operating income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186,776,000,000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37,865,000,000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Bad debts written-off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79,185,000,000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146,890,000,000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Payment to employees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-4,157,014,000,000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-3,612,098,000,000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Income tax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-333,620,000,000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-239,464,000,000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Net cash from operating activities before changes in operating assets and working capital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3,969,545,000,000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3,750,093,000,000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Changes in operating assets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placements with and loans to other banks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3,117,958,000,000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-2,273,197,000,000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investment securities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-5,842,557,000,000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-802,719,000,000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 xml:space="preserve">Increase/Decrease in derivative financial instruments and other financial assets 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31,538,000,000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-33,200,000,000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loans and advances to customers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-27,913,910,000,000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-17,761,585,000,000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Provisions for losses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-1,323,014,000,000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-1,137,530,000,000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other operating assets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609,748,000,000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136,360,000,000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Changes in operating liabilities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borrowings from MOF and the SBV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-5,178,981,000,000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5,178,981,000,000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term deposits and borrowings from other bank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-106,568,000,000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-3,636,975,000,000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customer deposits and other amounts due to customers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31,952,011,000,000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19,879,891,000,000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derivative financial instruments and other financial liabilities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debts issued and other borrowed funds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-38,981,000,000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-26,477,000,000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valuable papers issued by the Bank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Interest and fee payables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149,389,000,000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-339,992,000,000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Increase/Decrease in other operating liabilities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-5,038,000,000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-10,624,000,000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I. Net cash from operating activities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-578,860,000,000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2,923,026,000,000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Cash flows from investing activities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Acquisition of fixed assets and construction in progress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-495,594,000,000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-245,159,000,000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Proceeds from disposal of premises and equipment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1,578,000,000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336,588,000,000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Payments for disposal of premises and equipment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Acquisitions of investment property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Proceeds from disposal of investment property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Payments for disposal of investment property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Investments in associates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Recovery of Investments in associates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224,204,000,000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33,751,000,000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 xml:space="preserve">Interest and dividend received 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146,209,000,000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270,591,000,000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II. Net cash from investing activities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-123,603,000,000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395,771,000,000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Cash flows from financing activities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 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Charter capital increase from capital contribution/ stock issuance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Receipts from issuance of long-term valuable papers and other long term loans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3,054,000,000,000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Payments for long-term valuable papers and other long-term borrowings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Cash payments of dividends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-627,392,000,000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Payments to acquire or redeem the enterprise's shares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-601,000,000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Receipts from sale of treasury shares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 xml:space="preserve">III. Net cash from financing activities 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3,054,000,000,000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-627,993,000,000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IV. Net cash increase/ decrease during the period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2,351,537,000,000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2,690,804,000,000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V. Cash and cash equivalent at beginning of period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12,180,183,000,000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9,489,379,000,000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637966" w:rsidRDefault="00A46555" w:rsidP="00806B2D">
            <w:pPr>
              <w:spacing w:line="240" w:lineRule="auto"/>
            </w:pPr>
            <w:r w:rsidRPr="00637966">
              <w:t>VI. Effects of changes in foreign exchange rate</w:t>
            </w:r>
          </w:p>
        </w:tc>
        <w:tc>
          <w:tcPr>
            <w:tcW w:w="25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  <w:tc>
          <w:tcPr>
            <w:tcW w:w="2178" w:type="dxa"/>
            <w:noWrap/>
            <w:hideMark/>
          </w:tcPr>
          <w:p w:rsidR="00A46555" w:rsidRPr="00637966" w:rsidRDefault="00A46555" w:rsidP="00806B2D">
            <w:pPr>
              <w:spacing w:line="240" w:lineRule="auto"/>
              <w:jc w:val="right"/>
            </w:pPr>
            <w:r w:rsidRPr="00637966">
              <w:t>0</w:t>
            </w:r>
          </w:p>
        </w:tc>
      </w:tr>
      <w:tr w:rsidR="00806B2D" w:rsidRPr="00637966" w:rsidTr="00806B2D">
        <w:trPr>
          <w:trHeight w:val="240"/>
        </w:trPr>
        <w:tc>
          <w:tcPr>
            <w:tcW w:w="4820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rPr>
                <w:bCs/>
              </w:rPr>
            </w:pPr>
            <w:r w:rsidRPr="00806B2D">
              <w:rPr>
                <w:bCs/>
              </w:rPr>
              <w:t>VII. Cash and cash equivalent at end of period</w:t>
            </w:r>
          </w:p>
        </w:tc>
        <w:tc>
          <w:tcPr>
            <w:tcW w:w="25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14,531,720,000,000</w:t>
            </w:r>
          </w:p>
        </w:tc>
        <w:tc>
          <w:tcPr>
            <w:tcW w:w="2178" w:type="dxa"/>
            <w:noWrap/>
            <w:hideMark/>
          </w:tcPr>
          <w:p w:rsidR="00A46555" w:rsidRPr="00806B2D" w:rsidRDefault="00A46555" w:rsidP="00806B2D">
            <w:pPr>
              <w:spacing w:line="240" w:lineRule="auto"/>
              <w:jc w:val="right"/>
              <w:rPr>
                <w:bCs/>
              </w:rPr>
            </w:pPr>
            <w:r w:rsidRPr="00806B2D">
              <w:rPr>
                <w:bCs/>
              </w:rPr>
              <w:t>12,180,183,000,000</w:t>
            </w:r>
          </w:p>
        </w:tc>
      </w:tr>
    </w:tbl>
    <w:p w:rsidR="00A46555" w:rsidRPr="00E759E8" w:rsidRDefault="00A46555" w:rsidP="00A46555"/>
    <w:p w:rsidR="002F6499" w:rsidRPr="00E770B1" w:rsidRDefault="00E770B1">
      <w:pPr>
        <w:rPr>
          <w:b/>
        </w:rPr>
      </w:pPr>
      <w:r w:rsidRPr="00E770B1">
        <w:rPr>
          <w:b/>
        </w:rPr>
        <w:t>IV.</w:t>
      </w:r>
      <w:r w:rsidR="002F6499" w:rsidRPr="00E770B1">
        <w:rPr>
          <w:b/>
        </w:rPr>
        <w:t xml:space="preserve"> Approve extraction to funds and profit distribution in </w:t>
      </w:r>
      <w:r w:rsidR="00CA6FBC" w:rsidRPr="00E770B1">
        <w:rPr>
          <w:b/>
        </w:rPr>
        <w:t>2016</w:t>
      </w:r>
      <w:r w:rsidR="00060B67" w:rsidRPr="00E770B1">
        <w:rPr>
          <w:b/>
        </w:rPr>
        <w:t xml:space="preserve"> and the plan for </w:t>
      </w:r>
      <w:r w:rsidR="00CA6FBC" w:rsidRPr="00E770B1">
        <w:rPr>
          <w:b/>
        </w:rPr>
        <w:t>2017</w:t>
      </w:r>
      <w:r w:rsidR="002F6499" w:rsidRPr="00E770B1">
        <w:rPr>
          <w:b/>
        </w:rPr>
        <w:t>:</w:t>
      </w:r>
    </w:p>
    <w:p w:rsidR="00060B67" w:rsidRPr="00060B67" w:rsidRDefault="00060B67" w:rsidP="00060B67">
      <w:pPr>
        <w:numPr>
          <w:ilvl w:val="0"/>
          <w:numId w:val="2"/>
        </w:numPr>
        <w:rPr>
          <w:b/>
          <w:i/>
        </w:rPr>
      </w:pPr>
      <w:r w:rsidRPr="00060B67">
        <w:rPr>
          <w:b/>
          <w:i/>
        </w:rPr>
        <w:t xml:space="preserve">The extraction to funds and profit distribution in </w:t>
      </w:r>
      <w:r w:rsidR="00CA6FBC">
        <w:rPr>
          <w:b/>
          <w:i/>
        </w:rPr>
        <w:t>2016</w:t>
      </w: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6412"/>
        <w:gridCol w:w="2905"/>
      </w:tblGrid>
      <w:tr w:rsidR="002F6499" w:rsidRPr="00060B67" w:rsidTr="00060B67">
        <w:tc>
          <w:tcPr>
            <w:tcW w:w="346" w:type="pct"/>
            <w:vAlign w:val="center"/>
          </w:tcPr>
          <w:p w:rsidR="002F6499" w:rsidRPr="00060B67" w:rsidRDefault="002F6499" w:rsidP="00E36D7A">
            <w:pPr>
              <w:jc w:val="center"/>
              <w:rPr>
                <w:b/>
              </w:rPr>
            </w:pPr>
            <w:r w:rsidRPr="00060B67">
              <w:rPr>
                <w:b/>
              </w:rPr>
              <w:t>No.</w:t>
            </w:r>
          </w:p>
        </w:tc>
        <w:tc>
          <w:tcPr>
            <w:tcW w:w="3203" w:type="pct"/>
            <w:vAlign w:val="center"/>
          </w:tcPr>
          <w:p w:rsidR="002F6499" w:rsidRPr="00060B67" w:rsidRDefault="002F6499" w:rsidP="00E36D7A">
            <w:pPr>
              <w:jc w:val="center"/>
              <w:rPr>
                <w:b/>
              </w:rPr>
            </w:pPr>
            <w:r w:rsidRPr="00060B67">
              <w:rPr>
                <w:b/>
              </w:rPr>
              <w:t>Indicator</w:t>
            </w:r>
            <w:r w:rsidR="00060B67" w:rsidRPr="00060B67">
              <w:rPr>
                <w:b/>
              </w:rPr>
              <w:t>s</w:t>
            </w:r>
          </w:p>
        </w:tc>
        <w:tc>
          <w:tcPr>
            <w:tcW w:w="1451" w:type="pct"/>
            <w:vAlign w:val="center"/>
          </w:tcPr>
          <w:p w:rsidR="002F6499" w:rsidRPr="00060B67" w:rsidRDefault="002F6499" w:rsidP="00E36D7A">
            <w:pPr>
              <w:jc w:val="center"/>
              <w:rPr>
                <w:b/>
              </w:rPr>
            </w:pPr>
            <w:r w:rsidRPr="00060B67">
              <w:rPr>
                <w:b/>
              </w:rPr>
              <w:t>Amount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Profit before tax of ACB Group</w:t>
            </w:r>
            <w:r w:rsidR="00637966">
              <w:t xml:space="preserve"> 2016</w:t>
            </w:r>
          </w:p>
        </w:tc>
        <w:tc>
          <w:tcPr>
            <w:tcW w:w="1451" w:type="pct"/>
            <w:vAlign w:val="center"/>
          </w:tcPr>
          <w:p w:rsidR="002F6499" w:rsidRDefault="00637966" w:rsidP="00E36D7A">
            <w:pPr>
              <w:jc w:val="right"/>
            </w:pPr>
            <w:r>
              <w:t>1,667,026,016,869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2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Corporate income tax</w:t>
            </w:r>
          </w:p>
        </w:tc>
        <w:tc>
          <w:tcPr>
            <w:tcW w:w="1451" w:type="pct"/>
            <w:vAlign w:val="center"/>
          </w:tcPr>
          <w:p w:rsidR="002F6499" w:rsidRDefault="00637966" w:rsidP="00E36D7A">
            <w:pPr>
              <w:jc w:val="right"/>
            </w:pPr>
            <w:r>
              <w:t>341,852,367,243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3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Profit after tax</w:t>
            </w:r>
            <w:r w:rsidR="00A91893">
              <w:t xml:space="preserve"> (1-2)</w:t>
            </w:r>
          </w:p>
        </w:tc>
        <w:tc>
          <w:tcPr>
            <w:tcW w:w="1451" w:type="pct"/>
            <w:vAlign w:val="center"/>
          </w:tcPr>
          <w:p w:rsidR="002F6499" w:rsidRDefault="00A91893" w:rsidP="00E36D7A">
            <w:pPr>
              <w:jc w:val="right"/>
            </w:pPr>
            <w:r>
              <w:t>1,325,173,649,626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4</w:t>
            </w:r>
          </w:p>
        </w:tc>
        <w:tc>
          <w:tcPr>
            <w:tcW w:w="3203" w:type="pct"/>
            <w:vAlign w:val="center"/>
          </w:tcPr>
          <w:p w:rsidR="002F6499" w:rsidRDefault="002F6499" w:rsidP="00A91893">
            <w:pPr>
              <w:jc w:val="left"/>
            </w:pPr>
            <w:r>
              <w:t>Extraction to funds</w:t>
            </w:r>
            <w:r w:rsidR="00060B67">
              <w:t xml:space="preserve">. </w:t>
            </w:r>
          </w:p>
        </w:tc>
        <w:tc>
          <w:tcPr>
            <w:tcW w:w="1451" w:type="pct"/>
            <w:vAlign w:val="center"/>
          </w:tcPr>
          <w:p w:rsidR="002F6499" w:rsidRDefault="00A91893" w:rsidP="00E36D7A">
            <w:pPr>
              <w:jc w:val="right"/>
            </w:pPr>
            <w:r>
              <w:t>236,002,621,605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5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Retained profit after extraction</w:t>
            </w:r>
            <w:r w:rsidR="00060B67">
              <w:t xml:space="preserve"> (3-4)</w:t>
            </w:r>
          </w:p>
        </w:tc>
        <w:tc>
          <w:tcPr>
            <w:tcW w:w="1451" w:type="pct"/>
            <w:vAlign w:val="center"/>
          </w:tcPr>
          <w:p w:rsidR="002F6499" w:rsidRDefault="00A91893" w:rsidP="00E36D7A">
            <w:pPr>
              <w:jc w:val="right"/>
            </w:pPr>
            <w:r>
              <w:t>1,089,171,028,021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6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Retained profit from previous years</w:t>
            </w:r>
            <w:r w:rsidR="00A91893">
              <w:t>. In which:</w:t>
            </w:r>
          </w:p>
        </w:tc>
        <w:tc>
          <w:tcPr>
            <w:tcW w:w="1451" w:type="pct"/>
            <w:vAlign w:val="center"/>
          </w:tcPr>
          <w:p w:rsidR="002F6499" w:rsidRDefault="00A91893" w:rsidP="00E36D7A">
            <w:pPr>
              <w:jc w:val="right"/>
            </w:pPr>
            <w:r>
              <w:t>1,652,124,261,320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6a</w:t>
            </w:r>
          </w:p>
        </w:tc>
        <w:tc>
          <w:tcPr>
            <w:tcW w:w="3203" w:type="pct"/>
            <w:vAlign w:val="center"/>
          </w:tcPr>
          <w:p w:rsidR="002F6499" w:rsidRDefault="00060B67" w:rsidP="00E36D7A">
            <w:pPr>
              <w:jc w:val="left"/>
            </w:pPr>
            <w:r>
              <w:t>Bought treasury shares</w:t>
            </w:r>
          </w:p>
        </w:tc>
        <w:tc>
          <w:tcPr>
            <w:tcW w:w="1451" w:type="pct"/>
            <w:vAlign w:val="center"/>
          </w:tcPr>
          <w:p w:rsidR="002F6499" w:rsidRDefault="00DB0EE3" w:rsidP="00E36D7A">
            <w:pPr>
              <w:jc w:val="right"/>
            </w:pPr>
            <w:r>
              <w:t>665,725,228,504</w:t>
            </w:r>
          </w:p>
        </w:tc>
      </w:tr>
      <w:tr w:rsidR="00DB0EE3" w:rsidTr="00060B67">
        <w:tc>
          <w:tcPr>
            <w:tcW w:w="346" w:type="pct"/>
            <w:vAlign w:val="center"/>
          </w:tcPr>
          <w:p w:rsidR="00DB0EE3" w:rsidRDefault="00DB0EE3" w:rsidP="00E36D7A">
            <w:pPr>
              <w:jc w:val="center"/>
            </w:pPr>
            <w:r>
              <w:t>6b</w:t>
            </w:r>
          </w:p>
        </w:tc>
        <w:tc>
          <w:tcPr>
            <w:tcW w:w="3203" w:type="pct"/>
            <w:vAlign w:val="center"/>
          </w:tcPr>
          <w:p w:rsidR="00DB0EE3" w:rsidRDefault="00DB0EE3" w:rsidP="00E36D7A">
            <w:pPr>
              <w:jc w:val="left"/>
            </w:pPr>
            <w:r>
              <w:t>Dividend payment 2015 by shares</w:t>
            </w:r>
          </w:p>
        </w:tc>
        <w:tc>
          <w:tcPr>
            <w:tcW w:w="1451" w:type="pct"/>
            <w:vAlign w:val="center"/>
          </w:tcPr>
          <w:p w:rsidR="00DB0EE3" w:rsidRDefault="00DB0EE3" w:rsidP="00E36D7A">
            <w:pPr>
              <w:jc w:val="right"/>
            </w:pPr>
            <w:r>
              <w:t>896,273,900,000</w:t>
            </w:r>
          </w:p>
        </w:tc>
      </w:tr>
      <w:tr w:rsidR="00DB0EE3" w:rsidTr="00060B67">
        <w:tc>
          <w:tcPr>
            <w:tcW w:w="346" w:type="pct"/>
            <w:vAlign w:val="center"/>
          </w:tcPr>
          <w:p w:rsidR="00DB0EE3" w:rsidRDefault="00DB0EE3" w:rsidP="00E36D7A">
            <w:pPr>
              <w:jc w:val="center"/>
            </w:pPr>
            <w:r>
              <w:t>6c</w:t>
            </w:r>
          </w:p>
        </w:tc>
        <w:tc>
          <w:tcPr>
            <w:tcW w:w="3203" w:type="pct"/>
            <w:vAlign w:val="center"/>
          </w:tcPr>
          <w:p w:rsidR="00DB0EE3" w:rsidRDefault="00DB0EE3" w:rsidP="00E36D7A">
            <w:pPr>
              <w:jc w:val="left"/>
            </w:pPr>
            <w:r>
              <w:t>Buying the shares to bonus for the employee</w:t>
            </w:r>
          </w:p>
        </w:tc>
        <w:tc>
          <w:tcPr>
            <w:tcW w:w="1451" w:type="pct"/>
            <w:vAlign w:val="center"/>
          </w:tcPr>
          <w:p w:rsidR="00DB0EE3" w:rsidRDefault="00DB0EE3" w:rsidP="00E36D7A">
            <w:pPr>
              <w:jc w:val="right"/>
            </w:pPr>
            <w:r>
              <w:t>30,000,000,000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7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Profit to pay dividend</w:t>
            </w:r>
            <w:r w:rsidR="00060B67">
              <w:t xml:space="preserve"> (5+6-6a</w:t>
            </w:r>
            <w:r w:rsidR="00DB0EE3">
              <w:t>-6b-6c</w:t>
            </w:r>
            <w:r w:rsidR="00060B67">
              <w:t>)</w:t>
            </w:r>
          </w:p>
        </w:tc>
        <w:tc>
          <w:tcPr>
            <w:tcW w:w="1451" w:type="pct"/>
            <w:vAlign w:val="center"/>
          </w:tcPr>
          <w:p w:rsidR="002F6499" w:rsidRDefault="00DB0EE3" w:rsidP="00E36D7A">
            <w:pPr>
              <w:jc w:val="right"/>
            </w:pPr>
            <w:r>
              <w:t>1,149,296,160,837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8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Charter capital</w:t>
            </w:r>
            <w:r w:rsidR="00005348">
              <w:t xml:space="preserve"> of ACB</w:t>
            </w:r>
          </w:p>
        </w:tc>
        <w:tc>
          <w:tcPr>
            <w:tcW w:w="1451" w:type="pct"/>
            <w:vAlign w:val="center"/>
          </w:tcPr>
          <w:p w:rsidR="002F6499" w:rsidRDefault="00005348" w:rsidP="00E36D7A">
            <w:pPr>
              <w:jc w:val="right"/>
            </w:pPr>
            <w:r>
              <w:t>9,376,965,060,000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9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Number of issued shares</w:t>
            </w:r>
          </w:p>
        </w:tc>
        <w:tc>
          <w:tcPr>
            <w:tcW w:w="1451" w:type="pct"/>
            <w:vAlign w:val="center"/>
          </w:tcPr>
          <w:p w:rsidR="002F6499" w:rsidRDefault="00005348" w:rsidP="00E36D7A">
            <w:pPr>
              <w:jc w:val="right"/>
            </w:pPr>
            <w:r>
              <w:t>937,696,506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10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Number of purchased treasury shares</w:t>
            </w:r>
          </w:p>
        </w:tc>
        <w:tc>
          <w:tcPr>
            <w:tcW w:w="1451" w:type="pct"/>
            <w:vAlign w:val="center"/>
          </w:tcPr>
          <w:p w:rsidR="002F6499" w:rsidRDefault="00005348" w:rsidP="00E36D7A">
            <w:pPr>
              <w:jc w:val="right"/>
            </w:pPr>
            <w:r>
              <w:t>41,422,608</w:t>
            </w:r>
          </w:p>
        </w:tc>
      </w:tr>
      <w:tr w:rsidR="00005348" w:rsidTr="00060B67">
        <w:tc>
          <w:tcPr>
            <w:tcW w:w="346" w:type="pct"/>
            <w:vAlign w:val="center"/>
          </w:tcPr>
          <w:p w:rsidR="00005348" w:rsidRDefault="00005348" w:rsidP="00E36D7A">
            <w:pPr>
              <w:jc w:val="center"/>
            </w:pPr>
            <w:r>
              <w:t>11</w:t>
            </w:r>
          </w:p>
        </w:tc>
        <w:tc>
          <w:tcPr>
            <w:tcW w:w="3203" w:type="pct"/>
            <w:vAlign w:val="center"/>
          </w:tcPr>
          <w:p w:rsidR="00005348" w:rsidRDefault="00005348" w:rsidP="00E36D7A">
            <w:pPr>
              <w:jc w:val="left"/>
            </w:pPr>
            <w:r>
              <w:t>Number of shares additionally issued because of paying dividend</w:t>
            </w:r>
            <w:r w:rsidR="00430B5A">
              <w:t xml:space="preserve"> 2015</w:t>
            </w:r>
          </w:p>
        </w:tc>
        <w:tc>
          <w:tcPr>
            <w:tcW w:w="1451" w:type="pct"/>
            <w:vAlign w:val="center"/>
          </w:tcPr>
          <w:p w:rsidR="00005348" w:rsidRDefault="00430B5A" w:rsidP="00E36D7A">
            <w:pPr>
              <w:jc w:val="right"/>
            </w:pPr>
            <w:r>
              <w:t>89,627,390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1419CA" w:rsidP="00E36D7A">
            <w:pPr>
              <w:jc w:val="center"/>
            </w:pPr>
            <w:r>
              <w:t>12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Number of shares to pay dividend</w:t>
            </w:r>
            <w:r w:rsidR="00060B67">
              <w:t xml:space="preserve"> (9-10</w:t>
            </w:r>
            <w:r w:rsidR="00430B5A">
              <w:t>+11</w:t>
            </w:r>
            <w:r w:rsidR="00060B67">
              <w:t>)</w:t>
            </w:r>
          </w:p>
        </w:tc>
        <w:tc>
          <w:tcPr>
            <w:tcW w:w="1451" w:type="pct"/>
            <w:vAlign w:val="center"/>
          </w:tcPr>
          <w:p w:rsidR="002F6499" w:rsidRDefault="001419CA" w:rsidP="00E36D7A">
            <w:pPr>
              <w:jc w:val="right"/>
            </w:pPr>
            <w:r>
              <w:t>985,901,288</w:t>
            </w: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1419CA" w:rsidP="00E36D7A">
            <w:pPr>
              <w:jc w:val="center"/>
            </w:pPr>
            <w:r>
              <w:t>13</w:t>
            </w:r>
          </w:p>
        </w:tc>
        <w:tc>
          <w:tcPr>
            <w:tcW w:w="3203" w:type="pct"/>
            <w:vAlign w:val="center"/>
          </w:tcPr>
          <w:p w:rsidR="002F6499" w:rsidRDefault="002F6499" w:rsidP="001419CA">
            <w:pPr>
              <w:jc w:val="left"/>
            </w:pPr>
            <w:r>
              <w:t xml:space="preserve">Dividend payment </w:t>
            </w:r>
            <w:r w:rsidR="00060B67">
              <w:t>by share (</w:t>
            </w:r>
            <w:r w:rsidR="001419CA">
              <w:t>ten</w:t>
            </w:r>
            <w:r w:rsidR="00060B67">
              <w:t xml:space="preserve"> shares: one new share)</w:t>
            </w:r>
          </w:p>
        </w:tc>
        <w:tc>
          <w:tcPr>
            <w:tcW w:w="1451" w:type="pct"/>
            <w:vAlign w:val="center"/>
          </w:tcPr>
          <w:p w:rsidR="002F6499" w:rsidRDefault="001419CA" w:rsidP="00E36D7A">
            <w:pPr>
              <w:jc w:val="right"/>
            </w:pPr>
            <w:r>
              <w:t>985,901,290,000</w:t>
            </w:r>
          </w:p>
        </w:tc>
      </w:tr>
      <w:tr w:rsidR="001419CA" w:rsidTr="00060B67">
        <w:tc>
          <w:tcPr>
            <w:tcW w:w="346" w:type="pct"/>
            <w:vAlign w:val="center"/>
          </w:tcPr>
          <w:p w:rsidR="001419CA" w:rsidRDefault="001419CA" w:rsidP="00E36D7A">
            <w:pPr>
              <w:jc w:val="center"/>
            </w:pPr>
            <w:r>
              <w:t>14</w:t>
            </w:r>
          </w:p>
        </w:tc>
        <w:tc>
          <w:tcPr>
            <w:tcW w:w="3203" w:type="pct"/>
            <w:vAlign w:val="center"/>
          </w:tcPr>
          <w:p w:rsidR="001419CA" w:rsidRDefault="001419CA" w:rsidP="001419CA">
            <w:pPr>
              <w:jc w:val="left"/>
            </w:pPr>
            <w:r>
              <w:t>The retained profit part expected to buy the shares to bonus for the employee</w:t>
            </w:r>
          </w:p>
        </w:tc>
        <w:tc>
          <w:tcPr>
            <w:tcW w:w="1451" w:type="pct"/>
            <w:vAlign w:val="center"/>
          </w:tcPr>
          <w:p w:rsidR="001419CA" w:rsidRDefault="001419CA" w:rsidP="00E36D7A">
            <w:pPr>
              <w:jc w:val="right"/>
            </w:pPr>
          </w:p>
        </w:tc>
      </w:tr>
      <w:tr w:rsidR="002F6499" w:rsidTr="00060B67">
        <w:tc>
          <w:tcPr>
            <w:tcW w:w="346" w:type="pct"/>
            <w:vAlign w:val="center"/>
          </w:tcPr>
          <w:p w:rsidR="002F6499" w:rsidRDefault="002F6499" w:rsidP="00E36D7A">
            <w:pPr>
              <w:jc w:val="center"/>
            </w:pPr>
            <w:r>
              <w:t>13</w:t>
            </w:r>
          </w:p>
        </w:tc>
        <w:tc>
          <w:tcPr>
            <w:tcW w:w="3203" w:type="pct"/>
            <w:vAlign w:val="center"/>
          </w:tcPr>
          <w:p w:rsidR="002F6499" w:rsidRDefault="002F6499" w:rsidP="00E36D7A">
            <w:pPr>
              <w:jc w:val="left"/>
            </w:pPr>
            <w:r>
              <w:t>Retained profit</w:t>
            </w:r>
            <w:r w:rsidR="00060B67">
              <w:t xml:space="preserve"> (5+6-12)</w:t>
            </w:r>
          </w:p>
        </w:tc>
        <w:tc>
          <w:tcPr>
            <w:tcW w:w="1451" w:type="pct"/>
            <w:vAlign w:val="center"/>
          </w:tcPr>
          <w:p w:rsidR="002F6499" w:rsidRDefault="002F6499" w:rsidP="00E36D7A">
            <w:pPr>
              <w:jc w:val="right"/>
            </w:pPr>
          </w:p>
        </w:tc>
      </w:tr>
    </w:tbl>
    <w:p w:rsidR="00060B67" w:rsidRPr="00060B67" w:rsidRDefault="00060B67" w:rsidP="00060B67">
      <w:pPr>
        <w:numPr>
          <w:ilvl w:val="0"/>
          <w:numId w:val="2"/>
        </w:numPr>
        <w:rPr>
          <w:b/>
          <w:i/>
        </w:rPr>
      </w:pPr>
      <w:r w:rsidRPr="00060B67">
        <w:rPr>
          <w:b/>
          <w:i/>
        </w:rPr>
        <w:lastRenderedPageBreak/>
        <w:t xml:space="preserve">The plan on the profit and profit distribution </w:t>
      </w:r>
      <w:r w:rsidR="00CA6FBC">
        <w:rPr>
          <w:b/>
          <w:i/>
        </w:rPr>
        <w:t>2017</w:t>
      </w:r>
    </w:p>
    <w:tbl>
      <w:tblPr>
        <w:tblW w:w="52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2"/>
        <w:gridCol w:w="6412"/>
        <w:gridCol w:w="2905"/>
      </w:tblGrid>
      <w:tr w:rsidR="00060B67" w:rsidRPr="00060B67" w:rsidTr="00CA6FBC">
        <w:tc>
          <w:tcPr>
            <w:tcW w:w="346" w:type="pct"/>
            <w:vAlign w:val="center"/>
          </w:tcPr>
          <w:p w:rsidR="00060B67" w:rsidRPr="00060B67" w:rsidRDefault="00060B67" w:rsidP="00CA6FBC">
            <w:pPr>
              <w:jc w:val="center"/>
              <w:rPr>
                <w:b/>
              </w:rPr>
            </w:pPr>
            <w:r w:rsidRPr="00060B67">
              <w:rPr>
                <w:b/>
              </w:rPr>
              <w:t>No.</w:t>
            </w:r>
          </w:p>
        </w:tc>
        <w:tc>
          <w:tcPr>
            <w:tcW w:w="3203" w:type="pct"/>
            <w:vAlign w:val="center"/>
          </w:tcPr>
          <w:p w:rsidR="00060B67" w:rsidRPr="00060B67" w:rsidRDefault="00060B67" w:rsidP="00CA6FBC">
            <w:pPr>
              <w:jc w:val="center"/>
              <w:rPr>
                <w:b/>
              </w:rPr>
            </w:pPr>
            <w:r w:rsidRPr="00060B67">
              <w:rPr>
                <w:b/>
              </w:rPr>
              <w:t>Indicators</w:t>
            </w:r>
          </w:p>
        </w:tc>
        <w:tc>
          <w:tcPr>
            <w:tcW w:w="1451" w:type="pct"/>
            <w:vAlign w:val="center"/>
          </w:tcPr>
          <w:p w:rsidR="00060B67" w:rsidRPr="00060B67" w:rsidRDefault="00060B67" w:rsidP="00CA6FBC">
            <w:pPr>
              <w:jc w:val="center"/>
              <w:rPr>
                <w:b/>
              </w:rPr>
            </w:pPr>
            <w:r w:rsidRPr="00060B67">
              <w:rPr>
                <w:b/>
              </w:rPr>
              <w:t>Amount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1</w:t>
            </w:r>
          </w:p>
        </w:tc>
        <w:tc>
          <w:tcPr>
            <w:tcW w:w="3203" w:type="pct"/>
            <w:vAlign w:val="center"/>
          </w:tcPr>
          <w:p w:rsidR="00060B67" w:rsidRDefault="00060B67" w:rsidP="00CA6FBC">
            <w:pPr>
              <w:jc w:val="left"/>
            </w:pPr>
            <w:r>
              <w:t>Profit before tax of ACB Group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1,503,000,000,000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2</w:t>
            </w:r>
          </w:p>
        </w:tc>
        <w:tc>
          <w:tcPr>
            <w:tcW w:w="3203" w:type="pct"/>
            <w:vAlign w:val="center"/>
          </w:tcPr>
          <w:p w:rsidR="00060B67" w:rsidRDefault="00060B67" w:rsidP="00CA6FBC">
            <w:pPr>
              <w:jc w:val="left"/>
            </w:pPr>
            <w:r>
              <w:t>Corporate income tax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300,600,000,000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3</w:t>
            </w:r>
          </w:p>
        </w:tc>
        <w:tc>
          <w:tcPr>
            <w:tcW w:w="3203" w:type="pct"/>
            <w:vAlign w:val="center"/>
          </w:tcPr>
          <w:p w:rsidR="00060B67" w:rsidRDefault="00060B67" w:rsidP="00CA6FBC">
            <w:pPr>
              <w:jc w:val="left"/>
            </w:pPr>
            <w:r>
              <w:t>Profit after tax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1,202,400,000,000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4</w:t>
            </w:r>
          </w:p>
        </w:tc>
        <w:tc>
          <w:tcPr>
            <w:tcW w:w="3203" w:type="pct"/>
            <w:vAlign w:val="center"/>
          </w:tcPr>
          <w:p w:rsidR="00060B67" w:rsidRDefault="00060B67" w:rsidP="00060B67">
            <w:pPr>
              <w:jc w:val="left"/>
            </w:pPr>
            <w:r>
              <w:t>Extraction to funds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221,940,000,000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5</w:t>
            </w:r>
          </w:p>
        </w:tc>
        <w:tc>
          <w:tcPr>
            <w:tcW w:w="3203" w:type="pct"/>
            <w:vAlign w:val="center"/>
          </w:tcPr>
          <w:p w:rsidR="00060B67" w:rsidRDefault="00060B67" w:rsidP="00CA6FBC">
            <w:pPr>
              <w:jc w:val="left"/>
            </w:pPr>
            <w:r>
              <w:t>Retained profit after extraction (3-4)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980,460,000,000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6</w:t>
            </w:r>
          </w:p>
        </w:tc>
        <w:tc>
          <w:tcPr>
            <w:tcW w:w="3203" w:type="pct"/>
            <w:vAlign w:val="center"/>
          </w:tcPr>
          <w:p w:rsidR="00060B67" w:rsidRDefault="00060B67" w:rsidP="00CA6FBC">
            <w:pPr>
              <w:jc w:val="left"/>
            </w:pPr>
            <w:r>
              <w:t>Retained profit from previous years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755,850,000,000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7</w:t>
            </w:r>
          </w:p>
        </w:tc>
        <w:tc>
          <w:tcPr>
            <w:tcW w:w="3203" w:type="pct"/>
            <w:vAlign w:val="center"/>
          </w:tcPr>
          <w:p w:rsidR="00060B67" w:rsidRDefault="00060B67" w:rsidP="00060B67">
            <w:pPr>
              <w:jc w:val="left"/>
            </w:pPr>
            <w:r>
              <w:t>Profit to pay dividend (5+6)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1,736,310,000,000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8</w:t>
            </w:r>
          </w:p>
        </w:tc>
        <w:tc>
          <w:tcPr>
            <w:tcW w:w="3203" w:type="pct"/>
            <w:vAlign w:val="center"/>
          </w:tcPr>
          <w:p w:rsidR="00060B67" w:rsidRDefault="00060B67" w:rsidP="00CA6FBC">
            <w:pPr>
              <w:jc w:val="left"/>
            </w:pPr>
            <w:r>
              <w:t>Number of issued shares to 31/12/</w:t>
            </w:r>
            <w:r w:rsidR="00CA6FBC">
              <w:t>2016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937,696,506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9</w:t>
            </w:r>
          </w:p>
        </w:tc>
        <w:tc>
          <w:tcPr>
            <w:tcW w:w="3203" w:type="pct"/>
            <w:vAlign w:val="center"/>
          </w:tcPr>
          <w:p w:rsidR="00060B67" w:rsidRDefault="00060B67" w:rsidP="00060B67">
            <w:pPr>
              <w:jc w:val="left"/>
            </w:pPr>
            <w:r>
              <w:t xml:space="preserve">Number of additionally-issued shares for dividend payment </w:t>
            </w:r>
            <w:r w:rsidR="00CA6FBC">
              <w:t>2016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89,627,390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10</w:t>
            </w:r>
          </w:p>
        </w:tc>
        <w:tc>
          <w:tcPr>
            <w:tcW w:w="3203" w:type="pct"/>
            <w:vAlign w:val="center"/>
          </w:tcPr>
          <w:p w:rsidR="00060B67" w:rsidRDefault="00060B67" w:rsidP="00060B67">
            <w:pPr>
              <w:jc w:val="left"/>
            </w:pPr>
            <w:r>
              <w:t>Number of shares enjoy the dividend payment (8+9)</w:t>
            </w:r>
          </w:p>
        </w:tc>
        <w:tc>
          <w:tcPr>
            <w:tcW w:w="1451" w:type="pct"/>
            <w:vAlign w:val="center"/>
          </w:tcPr>
          <w:p w:rsidR="00060B67" w:rsidRDefault="00060B67" w:rsidP="00060B67">
            <w:pPr>
              <w:jc w:val="right"/>
            </w:pPr>
            <w:r>
              <w:t>1,027,323,896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11</w:t>
            </w:r>
          </w:p>
        </w:tc>
        <w:tc>
          <w:tcPr>
            <w:tcW w:w="3203" w:type="pct"/>
            <w:vAlign w:val="center"/>
          </w:tcPr>
          <w:p w:rsidR="00060B67" w:rsidRDefault="00060B67" w:rsidP="00CA6FBC">
            <w:pPr>
              <w:jc w:val="left"/>
            </w:pPr>
            <w:r>
              <w:t>Dividend payment by share (one shares: one new share)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1,027,323,896,000</w:t>
            </w:r>
          </w:p>
        </w:tc>
      </w:tr>
      <w:tr w:rsidR="00060B67" w:rsidTr="00CA6FBC">
        <w:tc>
          <w:tcPr>
            <w:tcW w:w="346" w:type="pct"/>
            <w:vAlign w:val="center"/>
          </w:tcPr>
          <w:p w:rsidR="00060B67" w:rsidRDefault="00060B67" w:rsidP="00CA6FBC">
            <w:pPr>
              <w:jc w:val="center"/>
            </w:pPr>
            <w:r>
              <w:t>12</w:t>
            </w:r>
          </w:p>
        </w:tc>
        <w:tc>
          <w:tcPr>
            <w:tcW w:w="3203" w:type="pct"/>
            <w:vAlign w:val="center"/>
          </w:tcPr>
          <w:p w:rsidR="00060B67" w:rsidRDefault="00060B67" w:rsidP="00060B67">
            <w:pPr>
              <w:jc w:val="left"/>
            </w:pPr>
            <w:r>
              <w:t>Retained profit (5+6-11)</w:t>
            </w:r>
          </w:p>
        </w:tc>
        <w:tc>
          <w:tcPr>
            <w:tcW w:w="1451" w:type="pct"/>
            <w:vAlign w:val="center"/>
          </w:tcPr>
          <w:p w:rsidR="00060B67" w:rsidRDefault="00060B67" w:rsidP="00CA6FBC">
            <w:pPr>
              <w:jc w:val="right"/>
            </w:pPr>
            <w:r>
              <w:t>708,986,104,000</w:t>
            </w:r>
          </w:p>
        </w:tc>
      </w:tr>
    </w:tbl>
    <w:p w:rsidR="00060B67" w:rsidRPr="00060B67" w:rsidRDefault="00060B67" w:rsidP="00060B67"/>
    <w:p w:rsidR="00060B67" w:rsidRDefault="002F6499">
      <w:r w:rsidRPr="006C48AE">
        <w:rPr>
          <w:b/>
        </w:rPr>
        <w:t xml:space="preserve"> 5: </w:t>
      </w:r>
      <w:r w:rsidR="00060B67">
        <w:t>General Meeting approves the report (State Bank of Vietnam approves supplementing some new operation fields in Business Registration of Asia Commercial Bank). The details as follows:</w:t>
      </w:r>
    </w:p>
    <w:p w:rsidR="00060B67" w:rsidRDefault="00060B67" w:rsidP="00060B67">
      <w:pPr>
        <w:numPr>
          <w:ilvl w:val="0"/>
          <w:numId w:val="3"/>
        </w:numPr>
      </w:pPr>
      <w:r>
        <w:t>Open the account for customers</w:t>
      </w:r>
    </w:p>
    <w:p w:rsidR="00060B67" w:rsidRDefault="00060B67" w:rsidP="00060B67">
      <w:pPr>
        <w:numPr>
          <w:ilvl w:val="0"/>
          <w:numId w:val="3"/>
        </w:numPr>
      </w:pPr>
      <w:r>
        <w:t>Open account</w:t>
      </w:r>
    </w:p>
    <w:p w:rsidR="00060B67" w:rsidRDefault="00060B67" w:rsidP="00060B67">
      <w:pPr>
        <w:ind w:left="720"/>
      </w:pPr>
      <w:r>
        <w:t>+ Open the account at State Bank of Vietnam</w:t>
      </w:r>
    </w:p>
    <w:p w:rsidR="00060B67" w:rsidRDefault="00060B67" w:rsidP="00060B67">
      <w:pPr>
        <w:ind w:left="720"/>
      </w:pPr>
      <w:r>
        <w:t>+ Open the account at credit institutions, branches of foreign banks</w:t>
      </w:r>
    </w:p>
    <w:p w:rsidR="00060B67" w:rsidRDefault="00060B67" w:rsidP="00060B67">
      <w:pPr>
        <w:numPr>
          <w:ilvl w:val="0"/>
          <w:numId w:val="3"/>
        </w:numPr>
      </w:pPr>
      <w:r>
        <w:t>Cash management services, banking advisory, financial advisory</w:t>
      </w:r>
    </w:p>
    <w:p w:rsidR="00060B67" w:rsidRDefault="00060B67" w:rsidP="00060B67">
      <w:pPr>
        <w:numPr>
          <w:ilvl w:val="0"/>
          <w:numId w:val="3"/>
        </w:numPr>
      </w:pPr>
      <w:r>
        <w:t>Enterprise finance advisory, purchasing, selling, merging enterprises and investment advisory</w:t>
      </w:r>
    </w:p>
    <w:p w:rsidR="00060B67" w:rsidRDefault="00060B67" w:rsidP="00060B67">
      <w:pPr>
        <w:numPr>
          <w:ilvl w:val="0"/>
          <w:numId w:val="3"/>
        </w:numPr>
      </w:pPr>
      <w:r>
        <w:t>Monetary services</w:t>
      </w:r>
    </w:p>
    <w:p w:rsidR="00060B67" w:rsidRDefault="00060B67" w:rsidP="00060B67">
      <w:pPr>
        <w:numPr>
          <w:ilvl w:val="0"/>
          <w:numId w:val="3"/>
        </w:numPr>
      </w:pPr>
      <w:r>
        <w:t xml:space="preserve">Issue the certificate of deposit, </w:t>
      </w:r>
      <w:r w:rsidR="00D30927" w:rsidRPr="00D30927">
        <w:t>promissory note</w:t>
      </w:r>
      <w:r w:rsidR="00D30927">
        <w:t>, paper credit to mo</w:t>
      </w:r>
      <w:r w:rsidR="00385F5D">
        <w:t>bilize the capital regulated by Credit Institution Law, Stock Act, the regulations of the Government and the guidance of State Bank of Vietnam</w:t>
      </w:r>
    </w:p>
    <w:p w:rsidR="00385F5D" w:rsidRDefault="00385F5D" w:rsidP="00060B67">
      <w:pPr>
        <w:numPr>
          <w:ilvl w:val="0"/>
          <w:numId w:val="3"/>
        </w:numPr>
      </w:pPr>
      <w:r>
        <w:lastRenderedPageBreak/>
        <w:t xml:space="preserve">Borrow the capital from State Bank of Vietnam under the </w:t>
      </w:r>
      <w:r w:rsidR="007F0344">
        <w:t>r</w:t>
      </w:r>
      <w:r>
        <w:t xml:space="preserve">efinancing </w:t>
      </w:r>
      <w:r w:rsidR="007F0344">
        <w:t>mode regulated by Law on State Bank of Vietnam and the guidance of State Bank of Vietnam;</w:t>
      </w:r>
    </w:p>
    <w:p w:rsidR="007F0344" w:rsidRDefault="007F0344" w:rsidP="00060B67">
      <w:pPr>
        <w:numPr>
          <w:ilvl w:val="0"/>
          <w:numId w:val="3"/>
        </w:numPr>
      </w:pPr>
      <w:r>
        <w:t>Purchase debts</w:t>
      </w:r>
    </w:p>
    <w:p w:rsidR="007F0344" w:rsidRPr="00060B67" w:rsidRDefault="007F0344" w:rsidP="007F0344">
      <w:r>
        <w:t>General Meeting approve the change in Operation Certificate, updating the increase in the charter capital</w:t>
      </w:r>
    </w:p>
    <w:p w:rsidR="002F6499" w:rsidRDefault="002F6499">
      <w:r w:rsidRPr="00B23155">
        <w:rPr>
          <w:b/>
        </w:rPr>
        <w:t xml:space="preserve"> 6:</w:t>
      </w:r>
      <w:r>
        <w:t xml:space="preserve"> </w:t>
      </w:r>
      <w:r w:rsidR="006265FF">
        <w:t xml:space="preserve">Approve the remuneration plan for BOD, Supervisory Board </w:t>
      </w:r>
      <w:r w:rsidR="00CA6FBC">
        <w:t>2017</w:t>
      </w:r>
      <w:r w:rsidR="006265FF">
        <w:t xml:space="preserve"> as follows:</w:t>
      </w:r>
    </w:p>
    <w:p w:rsidR="006265FF" w:rsidRDefault="006265FF" w:rsidP="006265FF">
      <w:pPr>
        <w:numPr>
          <w:ilvl w:val="0"/>
          <w:numId w:val="3"/>
        </w:numPr>
      </w:pPr>
      <w:r>
        <w:t>Board of Directors: VND 6,900,000,000 (six billion, nine hundred million)</w:t>
      </w:r>
    </w:p>
    <w:p w:rsidR="006265FF" w:rsidRDefault="006265FF" w:rsidP="006265FF">
      <w:pPr>
        <w:numPr>
          <w:ilvl w:val="0"/>
          <w:numId w:val="3"/>
        </w:numPr>
      </w:pPr>
      <w:r>
        <w:t xml:space="preserve">Supervisory Board: VND 3,400,000,000 (three billion, four hundred </w:t>
      </w:r>
      <w:r w:rsidR="00766BB6">
        <w:t>million</w:t>
      </w:r>
      <w:r>
        <w:t>)</w:t>
      </w:r>
    </w:p>
    <w:p w:rsidR="006265FF" w:rsidRDefault="002F6499">
      <w:r w:rsidRPr="00E36D7A">
        <w:rPr>
          <w:b/>
        </w:rPr>
        <w:t xml:space="preserve"> 7: </w:t>
      </w:r>
      <w:r w:rsidR="002459EA" w:rsidRPr="002459EA">
        <w:t>Approve dismissing</w:t>
      </w:r>
      <w:r w:rsidR="002459EA">
        <w:rPr>
          <w:b/>
        </w:rPr>
        <w:t xml:space="preserve"> </w:t>
      </w:r>
      <w:r w:rsidR="002459EA" w:rsidRPr="00766BB6">
        <w:t>Mr</w:t>
      </w:r>
      <w:r w:rsidR="00766BB6" w:rsidRPr="00766BB6">
        <w:t xml:space="preserve">. Julian Fong </w:t>
      </w:r>
      <w:proofErr w:type="spellStart"/>
      <w:r w:rsidR="00766BB6" w:rsidRPr="00766BB6">
        <w:t>Loong</w:t>
      </w:r>
      <w:proofErr w:type="spellEnd"/>
      <w:r w:rsidR="00766BB6" w:rsidRPr="00766BB6">
        <w:t xml:space="preserve"> from Board of Directors in the term 2013 </w:t>
      </w:r>
      <w:r w:rsidR="00766BB6">
        <w:t>–</w:t>
      </w:r>
      <w:r w:rsidR="00766BB6" w:rsidRPr="00766BB6">
        <w:t xml:space="preserve"> 2017</w:t>
      </w:r>
    </w:p>
    <w:p w:rsidR="00766BB6" w:rsidRDefault="00766BB6">
      <w:r>
        <w:t xml:space="preserve"> 8: Annual General Meeting of Shareholders approves the method of increasing the charter capital from the dividend </w:t>
      </w:r>
      <w:r w:rsidR="003223DC">
        <w:t>by common shares; the issuance method, additional listing, and additional depository registration</w:t>
      </w:r>
    </w:p>
    <w:p w:rsidR="003223DC" w:rsidRDefault="003223DC" w:rsidP="003223DC">
      <w:pPr>
        <w:numPr>
          <w:ilvl w:val="0"/>
          <w:numId w:val="4"/>
        </w:numPr>
      </w:pPr>
      <w:r>
        <w:t>Approve increasing the charter capital from VND 9,376,965,060,000 to VND 10,273,238,960,000</w:t>
      </w:r>
      <w:r w:rsidR="000836B0">
        <w:t xml:space="preserve"> (increases by VND 896,273,900,000) from the undistributed profit after tax</w:t>
      </w:r>
    </w:p>
    <w:p w:rsidR="000836B0" w:rsidRDefault="000836B0" w:rsidP="003223DC">
      <w:pPr>
        <w:numPr>
          <w:ilvl w:val="0"/>
          <w:numId w:val="4"/>
        </w:numPr>
      </w:pPr>
      <w:r>
        <w:t>Approve the method of increasing the charter capital as the Statement at Annual General Meeting of Shareholders on 08/04/</w:t>
      </w:r>
      <w:r w:rsidR="00CA6FBC">
        <w:t>2017</w:t>
      </w:r>
    </w:p>
    <w:p w:rsidR="000836B0" w:rsidRDefault="000836B0" w:rsidP="003223DC">
      <w:pPr>
        <w:numPr>
          <w:ilvl w:val="0"/>
          <w:numId w:val="4"/>
        </w:numPr>
      </w:pPr>
      <w:r>
        <w:t>Approve the method of issuing the shares. The details as follows:</w:t>
      </w:r>
    </w:p>
    <w:p w:rsidR="000836B0" w:rsidRDefault="000836B0" w:rsidP="000836B0">
      <w:pPr>
        <w:ind w:left="360"/>
      </w:pPr>
      <w:r>
        <w:t xml:space="preserve">3.1 </w:t>
      </w:r>
      <w:r w:rsidR="00E46F49">
        <w:t>Purpose of share issuance:</w:t>
      </w:r>
    </w:p>
    <w:p w:rsidR="00E46F49" w:rsidRDefault="00E46F49" w:rsidP="000836B0">
      <w:pPr>
        <w:ind w:left="360"/>
      </w:pPr>
      <w:r>
        <w:t>Increasing the charter capital to improve the operation capacity and meet the demand on capital standard</w:t>
      </w:r>
    </w:p>
    <w:p w:rsidR="00E46F49" w:rsidRDefault="00E46F49" w:rsidP="000836B0">
      <w:pPr>
        <w:ind w:left="360"/>
      </w:pPr>
      <w:r>
        <w:t>3.2 The issuance method:</w:t>
      </w:r>
    </w:p>
    <w:p w:rsidR="00E46F49" w:rsidRDefault="00E46F49" w:rsidP="000836B0">
      <w:pPr>
        <w:ind w:left="360"/>
      </w:pPr>
      <w:r>
        <w:t>- Name of share: the share of Asian Commercial Bank</w:t>
      </w:r>
    </w:p>
    <w:p w:rsidR="00E46F49" w:rsidRDefault="00E46F49" w:rsidP="000836B0">
      <w:pPr>
        <w:ind w:left="360"/>
      </w:pPr>
      <w:r>
        <w:t>- Type of share: common share</w:t>
      </w:r>
    </w:p>
    <w:p w:rsidR="00E46F49" w:rsidRDefault="00E46F49" w:rsidP="000836B0">
      <w:pPr>
        <w:ind w:left="360"/>
      </w:pPr>
      <w:r>
        <w:t>- Par value: VND 10,000/share</w:t>
      </w:r>
    </w:p>
    <w:p w:rsidR="006A6B9A" w:rsidRDefault="006A6B9A" w:rsidP="000836B0">
      <w:pPr>
        <w:ind w:left="360"/>
      </w:pPr>
      <w:r>
        <w:t>- The current charter capital: VND 9,376,965,060,000</w:t>
      </w:r>
    </w:p>
    <w:p w:rsidR="006A6B9A" w:rsidRDefault="006A6B9A" w:rsidP="000836B0">
      <w:pPr>
        <w:ind w:left="360"/>
      </w:pPr>
      <w:r>
        <w:t xml:space="preserve">- Eligible buyers: the outstanding shareholders named in the list of shareholders on the record date for the dividend payment </w:t>
      </w:r>
      <w:r w:rsidR="00CA6FBC">
        <w:t>2016</w:t>
      </w:r>
      <w:r>
        <w:t xml:space="preserve"> by share</w:t>
      </w:r>
    </w:p>
    <w:p w:rsidR="006A6B9A" w:rsidRDefault="006A6B9A" w:rsidP="000836B0">
      <w:pPr>
        <w:ind w:left="360"/>
      </w:pPr>
      <w:r>
        <w:t xml:space="preserve">- Exercise rate: Shareholder owns 10 </w:t>
      </w:r>
      <w:r w:rsidR="007271F4">
        <w:t>shares</w:t>
      </w:r>
      <w:r>
        <w:t xml:space="preserve"> will receive one new share</w:t>
      </w:r>
    </w:p>
    <w:p w:rsidR="006A6B9A" w:rsidRDefault="006A6B9A" w:rsidP="000836B0">
      <w:pPr>
        <w:ind w:left="360"/>
      </w:pPr>
      <w:r>
        <w:t xml:space="preserve">- Maximum number of </w:t>
      </w:r>
      <w:r w:rsidR="007271F4">
        <w:t>the shares expected to be issued: 89,627,390</w:t>
      </w:r>
    </w:p>
    <w:p w:rsidR="007271F4" w:rsidRDefault="007271F4" w:rsidP="000836B0">
      <w:pPr>
        <w:ind w:left="360"/>
      </w:pPr>
      <w:r>
        <w:t>- Total issued value: VND 896,273,900,000 (total par value)</w:t>
      </w:r>
    </w:p>
    <w:p w:rsidR="007271F4" w:rsidRDefault="007271F4" w:rsidP="000836B0">
      <w:pPr>
        <w:ind w:left="360"/>
      </w:pPr>
      <w:r>
        <w:t>- The capital sources for the share issuance: the undistributed profit after tax</w:t>
      </w:r>
    </w:p>
    <w:p w:rsidR="007271F4" w:rsidRDefault="007271F4" w:rsidP="000836B0">
      <w:pPr>
        <w:ind w:left="360"/>
      </w:pPr>
      <w:r>
        <w:lastRenderedPageBreak/>
        <w:t>- The shareholders own the right of receiving the shares will not transfer this right</w:t>
      </w:r>
    </w:p>
    <w:p w:rsidR="007271F4" w:rsidRDefault="007271F4" w:rsidP="000836B0">
      <w:pPr>
        <w:ind w:left="360"/>
      </w:pPr>
      <w:r>
        <w:t>- The additionally-issued shares will be freely transferred</w:t>
      </w:r>
    </w:p>
    <w:p w:rsidR="00F434D0" w:rsidRDefault="00F434D0" w:rsidP="000836B0">
      <w:pPr>
        <w:ind w:left="360"/>
      </w:pPr>
      <w:r>
        <w:t>- Total shares after the share issuance: 1,027,323,896 shares</w:t>
      </w:r>
    </w:p>
    <w:p w:rsidR="00F434D0" w:rsidRDefault="00F434D0" w:rsidP="000836B0">
      <w:pPr>
        <w:ind w:left="360"/>
      </w:pPr>
      <w:r>
        <w:t>- Total paid-up capital after the share issuance: VND 10,273,278,960,000</w:t>
      </w:r>
    </w:p>
    <w:p w:rsidR="00F434D0" w:rsidRDefault="00F434D0" w:rsidP="000836B0">
      <w:pPr>
        <w:ind w:left="360"/>
      </w:pPr>
      <w:r>
        <w:t xml:space="preserve">- Expected exercise date: In </w:t>
      </w:r>
      <w:r w:rsidR="00CA6FBC">
        <w:t>2017</w:t>
      </w:r>
    </w:p>
    <w:p w:rsidR="00F434D0" w:rsidRDefault="00F434D0" w:rsidP="000836B0">
      <w:pPr>
        <w:ind w:left="360"/>
      </w:pPr>
      <w:r>
        <w:t xml:space="preserve">- Issuing form: </w:t>
      </w:r>
      <w:r w:rsidR="00336B09">
        <w:t>issuing the shares for dividend payment from the undistributed profit after tax</w:t>
      </w:r>
    </w:p>
    <w:p w:rsidR="00336B09" w:rsidRDefault="00336B09" w:rsidP="000836B0">
      <w:pPr>
        <w:ind w:left="360"/>
      </w:pPr>
      <w:r>
        <w:t>- The issuance method: the shares issued to outstanding shareholders will be distributed by implementing the right</w:t>
      </w:r>
    </w:p>
    <w:p w:rsidR="00336B09" w:rsidRDefault="00336B09" w:rsidP="000836B0">
      <w:pPr>
        <w:ind w:left="360"/>
      </w:pPr>
      <w:r>
        <w:t>- The principle of handling the fractional shares:</w:t>
      </w:r>
      <w:r w:rsidR="004E6396">
        <w:t xml:space="preserve"> The number of shares in the issuance will be rounded down to unit digit; the fractional shares (if any) will be distributed to Trade Union of ACB.</w:t>
      </w:r>
    </w:p>
    <w:p w:rsidR="004E6396" w:rsidRDefault="004E6396" w:rsidP="000836B0">
      <w:pPr>
        <w:ind w:left="360"/>
      </w:pPr>
      <w:r>
        <w:t>4. Carry out the additional listing of shares at Hanoi Stock Exchange and depository registration at Securities Depository Center of Vietnam</w:t>
      </w:r>
    </w:p>
    <w:p w:rsidR="002F6499" w:rsidRPr="00EB36A1" w:rsidRDefault="002F6499">
      <w:pPr>
        <w:rPr>
          <w:b/>
        </w:rPr>
      </w:pPr>
      <w:r w:rsidRPr="00EB36A1">
        <w:rPr>
          <w:b/>
        </w:rPr>
        <w:t>This General Mandate took effect from signature date</w:t>
      </w:r>
    </w:p>
    <w:sectPr w:rsidR="002F6499" w:rsidRPr="00EB36A1" w:rsidSect="00EF36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33BCA"/>
    <w:multiLevelType w:val="hybridMultilevel"/>
    <w:tmpl w:val="ECD0A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F25AA"/>
    <w:multiLevelType w:val="hybridMultilevel"/>
    <w:tmpl w:val="8F1E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4A165F"/>
    <w:multiLevelType w:val="hybridMultilevel"/>
    <w:tmpl w:val="8F1E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DC35E4"/>
    <w:multiLevelType w:val="hybridMultilevel"/>
    <w:tmpl w:val="8F1E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957969"/>
    <w:multiLevelType w:val="hybridMultilevel"/>
    <w:tmpl w:val="300A5BAA"/>
    <w:lvl w:ilvl="0" w:tplc="8EAE479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944AA"/>
    <w:multiLevelType w:val="hybridMultilevel"/>
    <w:tmpl w:val="89B6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15FD"/>
    <w:rsid w:val="00005348"/>
    <w:rsid w:val="00060B67"/>
    <w:rsid w:val="000836B0"/>
    <w:rsid w:val="001419CA"/>
    <w:rsid w:val="001E4783"/>
    <w:rsid w:val="00214A5F"/>
    <w:rsid w:val="002459EA"/>
    <w:rsid w:val="00272510"/>
    <w:rsid w:val="002E4B95"/>
    <w:rsid w:val="002F6499"/>
    <w:rsid w:val="003223DC"/>
    <w:rsid w:val="00336B09"/>
    <w:rsid w:val="00385F5D"/>
    <w:rsid w:val="00414FB0"/>
    <w:rsid w:val="00430B5A"/>
    <w:rsid w:val="004E6396"/>
    <w:rsid w:val="005124A2"/>
    <w:rsid w:val="005303EA"/>
    <w:rsid w:val="00552BC8"/>
    <w:rsid w:val="00620403"/>
    <w:rsid w:val="006265FF"/>
    <w:rsid w:val="00637966"/>
    <w:rsid w:val="00664613"/>
    <w:rsid w:val="006A6B9A"/>
    <w:rsid w:val="006C48AE"/>
    <w:rsid w:val="006C6890"/>
    <w:rsid w:val="006F6A48"/>
    <w:rsid w:val="007271F4"/>
    <w:rsid w:val="00766BB6"/>
    <w:rsid w:val="007871F9"/>
    <w:rsid w:val="0079395B"/>
    <w:rsid w:val="007F0344"/>
    <w:rsid w:val="00806B2D"/>
    <w:rsid w:val="008A33E7"/>
    <w:rsid w:val="008E15FD"/>
    <w:rsid w:val="0092637A"/>
    <w:rsid w:val="009F0F55"/>
    <w:rsid w:val="00A46555"/>
    <w:rsid w:val="00A75B3F"/>
    <w:rsid w:val="00A91893"/>
    <w:rsid w:val="00AA5888"/>
    <w:rsid w:val="00AF7EAD"/>
    <w:rsid w:val="00B23155"/>
    <w:rsid w:val="00C10B4B"/>
    <w:rsid w:val="00C646E1"/>
    <w:rsid w:val="00CA6346"/>
    <w:rsid w:val="00CA6FBC"/>
    <w:rsid w:val="00D30927"/>
    <w:rsid w:val="00DB058B"/>
    <w:rsid w:val="00DB0EE3"/>
    <w:rsid w:val="00E27AE4"/>
    <w:rsid w:val="00E36D7A"/>
    <w:rsid w:val="00E46F49"/>
    <w:rsid w:val="00E759E8"/>
    <w:rsid w:val="00E770B1"/>
    <w:rsid w:val="00EB36A1"/>
    <w:rsid w:val="00EC63CF"/>
    <w:rsid w:val="00EF3616"/>
    <w:rsid w:val="00F434D0"/>
    <w:rsid w:val="00F666EF"/>
    <w:rsid w:val="00FA2141"/>
    <w:rsid w:val="00FB6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616"/>
    <w:pPr>
      <w:spacing w:before="120" w:after="60" w:line="360" w:lineRule="auto"/>
      <w:jc w:val="both"/>
    </w:pPr>
    <w:rPr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1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14</Pages>
  <Words>3953</Words>
  <Characters>22534</Characters>
  <Application>Microsoft Office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TungNguyen</dc:creator>
  <cp:keywords/>
  <dc:description/>
  <cp:lastModifiedBy>Cuong</cp:lastModifiedBy>
  <cp:revision>4</cp:revision>
  <dcterms:created xsi:type="dcterms:W3CDTF">2014-04-21T06:59:00Z</dcterms:created>
  <dcterms:modified xsi:type="dcterms:W3CDTF">2017-04-19T03:47:00Z</dcterms:modified>
</cp:coreProperties>
</file>