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Ind w:w="108" w:type="dxa"/>
        <w:tblLook w:val="00A0"/>
      </w:tblPr>
      <w:tblGrid>
        <w:gridCol w:w="3402"/>
        <w:gridCol w:w="5718"/>
      </w:tblGrid>
      <w:tr w:rsidR="00193D02" w:rsidTr="00156748">
        <w:tc>
          <w:tcPr>
            <w:tcW w:w="9120" w:type="dxa"/>
            <w:gridSpan w:val="2"/>
          </w:tcPr>
          <w:p w:rsidR="00193D02" w:rsidRPr="00E74CE4" w:rsidRDefault="00193D02" w:rsidP="00156748">
            <w:pPr>
              <w:pStyle w:val="Heading8"/>
              <w:ind w:right="142"/>
              <w:jc w:val="center"/>
              <w:rPr>
                <w:rFonts w:ascii="Times New Roman" w:hAnsi="Times New Roman"/>
                <w:sz w:val="16"/>
                <w:szCs w:val="16"/>
              </w:rPr>
            </w:pPr>
            <w:r w:rsidRPr="00E74CE4">
              <w:rPr>
                <w:rFonts w:ascii="Times New Roman" w:hAnsi="Times New Roman"/>
                <w:sz w:val="16"/>
                <w:szCs w:val="16"/>
              </w:rPr>
              <w:t>Phụ lục số 05</w:t>
            </w:r>
          </w:p>
          <w:p w:rsidR="00193D02" w:rsidRPr="00E74CE4" w:rsidRDefault="00193D02" w:rsidP="00156748">
            <w:pPr>
              <w:spacing w:line="240" w:lineRule="auto"/>
              <w:ind w:right="142"/>
              <w:rPr>
                <w:bCs/>
                <w:sz w:val="16"/>
                <w:szCs w:val="16"/>
              </w:rPr>
            </w:pPr>
            <w:r w:rsidRPr="00E74CE4">
              <w:rPr>
                <w:bCs/>
                <w:sz w:val="16"/>
                <w:szCs w:val="16"/>
              </w:rPr>
              <w:t xml:space="preserve">BÁO CÁO TÌNH HÌNH QUẢN TRỊ CÔNG TY </w:t>
            </w:r>
          </w:p>
          <w:p w:rsidR="00193D02" w:rsidRPr="00E74CE4" w:rsidRDefault="00193D02" w:rsidP="00E74CE4">
            <w:pPr>
              <w:pStyle w:val="Title"/>
              <w:spacing w:line="276" w:lineRule="auto"/>
              <w:ind w:right="142"/>
              <w:rPr>
                <w:rFonts w:ascii="Times New Roman" w:hAnsi="Times New Roman"/>
                <w:b w:val="0"/>
                <w:i/>
                <w:sz w:val="16"/>
                <w:szCs w:val="16"/>
                <w:lang w:val="nl-NL"/>
              </w:rPr>
            </w:pPr>
            <w:r w:rsidRPr="00E74CE4">
              <w:rPr>
                <w:rFonts w:ascii="Times New Roman" w:hAnsi="Times New Roman"/>
                <w:b w:val="0"/>
                <w:i/>
                <w:sz w:val="16"/>
                <w:szCs w:val="16"/>
                <w:lang w:val="nl-NL"/>
              </w:rPr>
              <w:t xml:space="preserve"> (Ban hành kèm theo Thông tư số 155 /2015/TT-BTC ngày 06 tháng 10  năm 2015 của Bộ Tài chính hướng dẫn công bố thông tin trên thị trường chứng khoán)</w:t>
            </w:r>
          </w:p>
        </w:tc>
      </w:tr>
      <w:tr w:rsidR="00193D02" w:rsidTr="00156748">
        <w:trPr>
          <w:trHeight w:val="369"/>
        </w:trPr>
        <w:tc>
          <w:tcPr>
            <w:tcW w:w="3402" w:type="dxa"/>
          </w:tcPr>
          <w:p w:rsidR="00193D02" w:rsidRPr="00716F9B" w:rsidRDefault="00193D02" w:rsidP="00614D31">
            <w:pPr>
              <w:rPr>
                <w:color w:val="000000"/>
                <w:sz w:val="24"/>
                <w:szCs w:val="24"/>
              </w:rPr>
            </w:pPr>
            <w:r w:rsidRPr="00716F9B">
              <w:rPr>
                <w:color w:val="000000"/>
                <w:sz w:val="24"/>
                <w:szCs w:val="24"/>
              </w:rPr>
              <w:t>CÔNG TY CỔ PHẦN KHOÁNG SẢN MANGAN</w:t>
            </w:r>
          </w:p>
        </w:tc>
        <w:tc>
          <w:tcPr>
            <w:tcW w:w="5718" w:type="dxa"/>
          </w:tcPr>
          <w:p w:rsidR="00193D02" w:rsidRPr="00716F9B" w:rsidRDefault="00193D02" w:rsidP="00716F9B">
            <w:pPr>
              <w:pStyle w:val="Heading8"/>
              <w:jc w:val="center"/>
              <w:rPr>
                <w:rFonts w:ascii="Times New Roman" w:hAnsi="Times New Roman"/>
                <w:b w:val="0"/>
                <w:color w:val="000000"/>
                <w:sz w:val="24"/>
                <w:lang w:val="vi-VN"/>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25.25pt;margin-top:30.2pt;width:52.5pt;height:0;z-index:251658240;mso-position-horizontal-relative:text;mso-position-vertical-relative:text" o:connectortype="straight"/>
              </w:pict>
            </w:r>
            <w:r w:rsidRPr="00716F9B">
              <w:rPr>
                <w:rFonts w:ascii="Times New Roman" w:hAnsi="Times New Roman"/>
                <w:b w:val="0"/>
                <w:color w:val="000000"/>
                <w:sz w:val="24"/>
                <w:lang w:val="vi-VN"/>
              </w:rPr>
              <w:t>CỘNG HÒA XÃ HỘI CHỦ NGHĨA VIỆT NAM</w:t>
            </w:r>
          </w:p>
          <w:p w:rsidR="00193D02" w:rsidRPr="00716F9B" w:rsidRDefault="00193D02" w:rsidP="00716F9B">
            <w:pPr>
              <w:ind w:hanging="36"/>
              <w:rPr>
                <w:color w:val="000000"/>
                <w:sz w:val="28"/>
                <w:szCs w:val="28"/>
              </w:rPr>
            </w:pPr>
            <w:r>
              <w:rPr>
                <w:noProof/>
              </w:rPr>
              <w:pict>
                <v:shape id="_x0000_s1027" type="#_x0000_t32" style="position:absolute;left:0;text-align:left;margin-left:49.5pt;margin-top:16.4pt;width:175.5pt;height:0;z-index:251659264" o:connectortype="straight"/>
              </w:pict>
            </w:r>
            <w:r w:rsidRPr="00716F9B">
              <w:rPr>
                <w:color w:val="000000"/>
                <w:sz w:val="28"/>
                <w:szCs w:val="28"/>
              </w:rPr>
              <w:t>Độc lập – Tự do – Hạnh phúc</w:t>
            </w:r>
          </w:p>
        </w:tc>
      </w:tr>
      <w:tr w:rsidR="00193D02" w:rsidTr="00716F9B">
        <w:tc>
          <w:tcPr>
            <w:tcW w:w="3402" w:type="dxa"/>
            <w:vAlign w:val="bottom"/>
          </w:tcPr>
          <w:p w:rsidR="00193D02" w:rsidRPr="00E847B1" w:rsidRDefault="00193D02" w:rsidP="00716F9B">
            <w:pPr>
              <w:spacing w:line="240" w:lineRule="auto"/>
              <w:ind w:right="142"/>
              <w:rPr>
                <w:b w:val="0"/>
              </w:rPr>
            </w:pPr>
            <w:r w:rsidRPr="00E847B1">
              <w:rPr>
                <w:b w:val="0"/>
              </w:rPr>
              <w:t>Số:    BC/HĐQT</w:t>
            </w:r>
          </w:p>
          <w:p w:rsidR="00193D02" w:rsidRDefault="00193D02" w:rsidP="00716F9B">
            <w:pPr>
              <w:spacing w:line="240" w:lineRule="auto"/>
              <w:ind w:right="142"/>
            </w:pPr>
          </w:p>
        </w:tc>
        <w:tc>
          <w:tcPr>
            <w:tcW w:w="5718" w:type="dxa"/>
            <w:vAlign w:val="bottom"/>
          </w:tcPr>
          <w:p w:rsidR="00193D02" w:rsidRDefault="00193D02" w:rsidP="00716F9B">
            <w:pPr>
              <w:pStyle w:val="Heading7"/>
              <w:ind w:left="0" w:right="142" w:firstLine="0"/>
              <w:rPr>
                <w:rFonts w:ascii="Times New Roman" w:hAnsi="Times New Roman"/>
                <w:szCs w:val="26"/>
              </w:rPr>
            </w:pPr>
            <w:r>
              <w:rPr>
                <w:rFonts w:ascii="Times New Roman" w:hAnsi="Times New Roman"/>
                <w:szCs w:val="26"/>
              </w:rPr>
              <w:t xml:space="preserve">                     Hà Tĩnh, ngày …  tháng 01 năm 2016</w:t>
            </w:r>
          </w:p>
          <w:p w:rsidR="00193D02" w:rsidRDefault="00193D02" w:rsidP="00716F9B">
            <w:pPr>
              <w:ind w:right="142"/>
              <w:rPr>
                <w:b w:val="0"/>
                <w:i/>
              </w:rPr>
            </w:pPr>
          </w:p>
        </w:tc>
      </w:tr>
    </w:tbl>
    <w:p w:rsidR="00193D02" w:rsidRDefault="00193D02" w:rsidP="001A5746">
      <w:pPr>
        <w:pStyle w:val="Title"/>
        <w:spacing w:before="120"/>
        <w:ind w:right="142"/>
        <w:rPr>
          <w:rFonts w:ascii="Times New Roman" w:hAnsi="Times New Roman"/>
          <w:sz w:val="26"/>
          <w:szCs w:val="26"/>
        </w:rPr>
      </w:pPr>
      <w:r>
        <w:rPr>
          <w:rFonts w:ascii="Times New Roman" w:hAnsi="Times New Roman"/>
          <w:sz w:val="26"/>
          <w:szCs w:val="26"/>
        </w:rPr>
        <w:t xml:space="preserve">BÁO CÁO TÌNH HÌNH QUẢN TRỊ CÔNG TY NIÊM YẾT </w:t>
      </w:r>
    </w:p>
    <w:p w:rsidR="00193D02" w:rsidRDefault="00193D02" w:rsidP="001A5746">
      <w:pPr>
        <w:pStyle w:val="Title"/>
        <w:ind w:right="142"/>
        <w:rPr>
          <w:rFonts w:ascii="Times New Roman" w:hAnsi="Times New Roman"/>
          <w:sz w:val="26"/>
          <w:szCs w:val="26"/>
        </w:rPr>
      </w:pPr>
      <w:r>
        <w:rPr>
          <w:rFonts w:ascii="Times New Roman" w:hAnsi="Times New Roman"/>
          <w:sz w:val="26"/>
          <w:szCs w:val="26"/>
        </w:rPr>
        <w:t xml:space="preserve"> (Năm 2015)</w:t>
      </w:r>
    </w:p>
    <w:tbl>
      <w:tblPr>
        <w:tblW w:w="7800" w:type="dxa"/>
        <w:tblInd w:w="1384" w:type="dxa"/>
        <w:tblLayout w:type="fixed"/>
        <w:tblLook w:val="00A0"/>
      </w:tblPr>
      <w:tblGrid>
        <w:gridCol w:w="1535"/>
        <w:gridCol w:w="6265"/>
      </w:tblGrid>
      <w:tr w:rsidR="00193D02" w:rsidTr="00156748">
        <w:trPr>
          <w:trHeight w:val="211"/>
        </w:trPr>
        <w:tc>
          <w:tcPr>
            <w:tcW w:w="1535" w:type="dxa"/>
          </w:tcPr>
          <w:p w:rsidR="00193D02" w:rsidRDefault="00193D02" w:rsidP="00156748">
            <w:pPr>
              <w:spacing w:before="120"/>
              <w:ind w:right="142"/>
              <w:rPr>
                <w:b w:val="0"/>
              </w:rPr>
            </w:pPr>
            <w:r>
              <w:rPr>
                <w:b w:val="0"/>
              </w:rPr>
              <w:t>Kính gửi:</w:t>
            </w:r>
          </w:p>
        </w:tc>
        <w:tc>
          <w:tcPr>
            <w:tcW w:w="6265" w:type="dxa"/>
          </w:tcPr>
          <w:p w:rsidR="00193D02" w:rsidRDefault="00193D02" w:rsidP="00156748">
            <w:pPr>
              <w:numPr>
                <w:ilvl w:val="0"/>
                <w:numId w:val="1"/>
              </w:numPr>
              <w:spacing w:line="240" w:lineRule="auto"/>
              <w:ind w:right="142"/>
              <w:jc w:val="left"/>
              <w:rPr>
                <w:b w:val="0"/>
              </w:rPr>
            </w:pPr>
            <w:r>
              <w:rPr>
                <w:b w:val="0"/>
              </w:rPr>
              <w:t>Ủy ban Chứng khoán Nhà nước</w:t>
            </w:r>
          </w:p>
          <w:p w:rsidR="00193D02" w:rsidRDefault="00193D02" w:rsidP="00156748">
            <w:pPr>
              <w:numPr>
                <w:ilvl w:val="0"/>
                <w:numId w:val="1"/>
              </w:numPr>
              <w:spacing w:line="240" w:lineRule="auto"/>
              <w:ind w:right="142"/>
              <w:jc w:val="left"/>
              <w:rPr>
                <w:b w:val="0"/>
                <w:bCs/>
              </w:rPr>
            </w:pPr>
            <w:r>
              <w:rPr>
                <w:b w:val="0"/>
                <w:bCs/>
              </w:rPr>
              <w:t>Sở Giao dịch Chứng khoán</w:t>
            </w:r>
          </w:p>
          <w:p w:rsidR="00193D02" w:rsidRDefault="00193D02" w:rsidP="00156748">
            <w:pPr>
              <w:spacing w:line="240" w:lineRule="auto"/>
              <w:ind w:left="284" w:right="142"/>
              <w:jc w:val="left"/>
              <w:rPr>
                <w:b w:val="0"/>
                <w:bCs/>
              </w:rPr>
            </w:pPr>
          </w:p>
        </w:tc>
      </w:tr>
    </w:tbl>
    <w:p w:rsidR="00193D02" w:rsidRDefault="00193D02" w:rsidP="00B335A2">
      <w:pPr>
        <w:pStyle w:val="BodyText"/>
        <w:spacing w:before="120" w:after="120"/>
        <w:ind w:firstLine="450"/>
        <w:rPr>
          <w:rFonts w:ascii="Times New Roman" w:hAnsi="Times New Roman"/>
          <w:b/>
          <w:color w:val="000000"/>
          <w:sz w:val="24"/>
          <w:szCs w:val="24"/>
        </w:rPr>
      </w:pPr>
      <w:r>
        <w:rPr>
          <w:rFonts w:ascii="Times New Roman" w:hAnsi="Times New Roman"/>
          <w:b/>
          <w:color w:val="000000"/>
          <w:sz w:val="24"/>
          <w:szCs w:val="24"/>
        </w:rPr>
        <w:t xml:space="preserve">- Tên công ty đại chúng: </w:t>
      </w:r>
      <w:r w:rsidRPr="00DB1ADB">
        <w:rPr>
          <w:rFonts w:ascii="Times New Roman" w:hAnsi="Times New Roman"/>
          <w:b/>
          <w:color w:val="000000"/>
          <w:sz w:val="24"/>
          <w:szCs w:val="24"/>
        </w:rPr>
        <w:t>CÔNG TY CỔ PHẦN KHOÁNG SẢN MANGAN</w:t>
      </w:r>
    </w:p>
    <w:p w:rsidR="00193D02" w:rsidRDefault="00193D02" w:rsidP="00B335A2">
      <w:pPr>
        <w:pStyle w:val="BodyText"/>
        <w:spacing w:before="120" w:after="120"/>
        <w:ind w:firstLine="450"/>
        <w:rPr>
          <w:rFonts w:ascii="Times New Roman" w:hAnsi="Times New Roman"/>
          <w:color w:val="000000"/>
          <w:sz w:val="24"/>
          <w:szCs w:val="24"/>
        </w:rPr>
      </w:pPr>
      <w:r>
        <w:rPr>
          <w:rFonts w:ascii="Times New Roman" w:hAnsi="Times New Roman"/>
          <w:b/>
          <w:color w:val="000000"/>
          <w:sz w:val="24"/>
          <w:szCs w:val="24"/>
        </w:rPr>
        <w:t xml:space="preserve">- Địa chỉ trụ sở chính:  </w:t>
      </w:r>
      <w:r>
        <w:rPr>
          <w:rFonts w:ascii="Times New Roman" w:hAnsi="Times New Roman"/>
          <w:color w:val="000000"/>
          <w:sz w:val="24"/>
          <w:szCs w:val="24"/>
        </w:rPr>
        <w:t>Xã Phú Lộc – Huyện Can Lộc – Tỉnh Hà Tĩnh</w:t>
      </w:r>
    </w:p>
    <w:p w:rsidR="00193D02" w:rsidRDefault="00193D02" w:rsidP="00B335A2">
      <w:pPr>
        <w:pStyle w:val="BodyText"/>
        <w:spacing w:before="120" w:after="120"/>
        <w:ind w:firstLine="450"/>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Điện thoại: 0392.213526,  fax: 0393.564168; Email: khoangsanmangan@gmail.com</w:t>
      </w:r>
    </w:p>
    <w:p w:rsidR="00193D02" w:rsidRDefault="00193D02" w:rsidP="00B335A2">
      <w:pPr>
        <w:pStyle w:val="BodyText"/>
        <w:spacing w:before="120" w:after="120"/>
        <w:ind w:firstLine="450"/>
        <w:rPr>
          <w:rFonts w:ascii="Times New Roman" w:hAnsi="Times New Roman"/>
          <w:color w:val="000000"/>
          <w:sz w:val="24"/>
          <w:szCs w:val="24"/>
        </w:rPr>
      </w:pPr>
      <w:r>
        <w:rPr>
          <w:rFonts w:ascii="Times New Roman" w:hAnsi="Times New Roman"/>
          <w:color w:val="000000"/>
          <w:sz w:val="24"/>
          <w:szCs w:val="24"/>
        </w:rPr>
        <w:t>- Vốn điều lệ: 31,6 tỷ đồng</w:t>
      </w:r>
    </w:p>
    <w:p w:rsidR="00193D02" w:rsidRDefault="00193D02" w:rsidP="00B335A2">
      <w:pPr>
        <w:pStyle w:val="BodyText"/>
        <w:spacing w:before="120" w:after="120"/>
        <w:ind w:firstLine="450"/>
        <w:rPr>
          <w:rFonts w:ascii="Times New Roman" w:hAnsi="Times New Roman"/>
          <w:color w:val="000000"/>
          <w:sz w:val="24"/>
          <w:szCs w:val="24"/>
        </w:rPr>
      </w:pPr>
      <w:r>
        <w:rPr>
          <w:rFonts w:ascii="Times New Roman" w:hAnsi="Times New Roman"/>
          <w:color w:val="000000"/>
          <w:sz w:val="24"/>
          <w:szCs w:val="24"/>
        </w:rPr>
        <w:t>- Mã chứng khoán: MMC</w:t>
      </w:r>
    </w:p>
    <w:p w:rsidR="00193D02" w:rsidRDefault="00193D02" w:rsidP="00B335A2">
      <w:pPr>
        <w:pStyle w:val="BodyText"/>
        <w:spacing w:before="120" w:after="120"/>
        <w:ind w:firstLine="450"/>
        <w:rPr>
          <w:rFonts w:ascii="Times New Roman" w:hAnsi="Times New Roman"/>
          <w:color w:val="000000"/>
          <w:sz w:val="24"/>
          <w:szCs w:val="24"/>
        </w:rPr>
      </w:pPr>
      <w:r>
        <w:rPr>
          <w:rFonts w:ascii="Times New Roman" w:hAnsi="Times New Roman"/>
          <w:color w:val="000000"/>
          <w:sz w:val="24"/>
          <w:szCs w:val="24"/>
        </w:rPr>
        <w:t>- Sàn giao dịch: UpCoM</w:t>
      </w:r>
    </w:p>
    <w:p w:rsidR="00193D02" w:rsidRPr="00EC04A7" w:rsidRDefault="00193D02" w:rsidP="00B335A2">
      <w:pPr>
        <w:pStyle w:val="BodyText"/>
        <w:spacing w:before="120" w:after="120"/>
        <w:ind w:firstLine="450"/>
        <w:rPr>
          <w:rFonts w:ascii="Times New Roman" w:hAnsi="Times New Roman"/>
          <w:i/>
          <w:sz w:val="26"/>
          <w:szCs w:val="26"/>
        </w:rPr>
      </w:pPr>
      <w:r>
        <w:rPr>
          <w:rFonts w:ascii="Times New Roman" w:hAnsi="Times New Roman"/>
          <w:color w:val="000000"/>
          <w:sz w:val="24"/>
          <w:szCs w:val="24"/>
        </w:rPr>
        <w:tab/>
      </w:r>
      <w:r w:rsidRPr="00EC04A7">
        <w:rPr>
          <w:rFonts w:ascii="Times New Roman" w:hAnsi="Times New Roman"/>
          <w:b/>
          <w:sz w:val="26"/>
          <w:szCs w:val="26"/>
        </w:rPr>
        <w:t>Hoạt động của Đại hội đồng cổ đông</w:t>
      </w:r>
      <w:r>
        <w:rPr>
          <w:rFonts w:ascii="Times New Roman" w:hAnsi="Times New Roman"/>
          <w:b/>
          <w:sz w:val="26"/>
          <w:szCs w:val="26"/>
        </w:rPr>
        <w:t>.</w:t>
      </w:r>
    </w:p>
    <w:p w:rsidR="00193D02" w:rsidRPr="00EC04A7" w:rsidRDefault="00193D02" w:rsidP="001A5746">
      <w:pPr>
        <w:pStyle w:val="BodyText"/>
        <w:numPr>
          <w:ilvl w:val="0"/>
          <w:numId w:val="2"/>
        </w:numPr>
        <w:tabs>
          <w:tab w:val="left" w:pos="851"/>
        </w:tabs>
        <w:spacing w:before="120" w:line="276" w:lineRule="auto"/>
        <w:ind w:left="0" w:right="142" w:firstLine="360"/>
        <w:rPr>
          <w:rFonts w:ascii="Times New Roman" w:hAnsi="Times New Roman"/>
          <w:i/>
          <w:sz w:val="26"/>
          <w:szCs w:val="26"/>
        </w:rPr>
      </w:pPr>
      <w:r w:rsidRPr="00EC04A7">
        <w:rPr>
          <w:rFonts w:ascii="Times New Roman" w:hAnsi="Times New Roman"/>
          <w:sz w:val="26"/>
          <w:szCs w:val="26"/>
        </w:rPr>
        <w:t>Thông tin về các cuộc họp và Nghị quyết/Quyết định của Đại hội đồng cổ đông (bao gồm cả các Nghị quyết của Đại hội đồng cổ đông được thông qua dưới hình thức lấy ý kiến bằng văn bản)</w:t>
      </w:r>
      <w:r w:rsidRPr="00EC04A7">
        <w:rPr>
          <w:rFonts w:ascii="Times New Roman" w:hAnsi="Times New Roman"/>
          <w:i/>
          <w:sz w:val="26"/>
          <w:szCs w:val="26"/>
        </w:rPr>
        <w:t>:</w:t>
      </w:r>
    </w:p>
    <w:p w:rsidR="00193D02" w:rsidRDefault="00193D02" w:rsidP="001A5746">
      <w:pPr>
        <w:pStyle w:val="BodyText"/>
        <w:spacing w:line="276" w:lineRule="auto"/>
        <w:ind w:right="142" w:firstLine="360"/>
        <w:rPr>
          <w:rFonts w:ascii="Times New Roman" w:hAnsi="Times New Roman"/>
          <w:sz w:val="26"/>
          <w:szCs w:val="26"/>
        </w:rPr>
      </w:pPr>
    </w:p>
    <w:tbl>
      <w:tblPr>
        <w:tblW w:w="9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095"/>
        <w:gridCol w:w="1973"/>
        <w:gridCol w:w="3434"/>
      </w:tblGrid>
      <w:tr w:rsidR="00193D02" w:rsidTr="004E4BFE">
        <w:trPr>
          <w:trHeight w:val="291"/>
        </w:trPr>
        <w:tc>
          <w:tcPr>
            <w:tcW w:w="626" w:type="dxa"/>
          </w:tcPr>
          <w:p w:rsidR="00193D02" w:rsidRDefault="00193D02" w:rsidP="00156748">
            <w:pPr>
              <w:pStyle w:val="BodyText"/>
              <w:ind w:right="142"/>
              <w:jc w:val="center"/>
              <w:rPr>
                <w:rFonts w:ascii="Times New Roman" w:hAnsi="Times New Roman"/>
                <w:sz w:val="24"/>
                <w:szCs w:val="24"/>
              </w:rPr>
            </w:pPr>
            <w:r>
              <w:rPr>
                <w:rFonts w:ascii="Times New Roman" w:hAnsi="Times New Roman"/>
                <w:sz w:val="24"/>
                <w:szCs w:val="24"/>
              </w:rPr>
              <w:t>Stt</w:t>
            </w:r>
          </w:p>
          <w:p w:rsidR="00193D02" w:rsidRDefault="00193D02" w:rsidP="00156748">
            <w:pPr>
              <w:pStyle w:val="BodyText"/>
              <w:ind w:right="142"/>
              <w:jc w:val="center"/>
              <w:rPr>
                <w:rFonts w:ascii="Times New Roman" w:hAnsi="Times New Roman"/>
                <w:i/>
                <w:sz w:val="24"/>
                <w:szCs w:val="24"/>
              </w:rPr>
            </w:pPr>
          </w:p>
        </w:tc>
        <w:tc>
          <w:tcPr>
            <w:tcW w:w="3095" w:type="dxa"/>
          </w:tcPr>
          <w:p w:rsidR="00193D02" w:rsidRDefault="00193D02" w:rsidP="00156748">
            <w:pPr>
              <w:pStyle w:val="BodyText"/>
              <w:ind w:right="142"/>
              <w:jc w:val="center"/>
              <w:rPr>
                <w:rFonts w:ascii="Times New Roman" w:hAnsi="Times New Roman"/>
                <w:sz w:val="24"/>
                <w:szCs w:val="24"/>
              </w:rPr>
            </w:pPr>
            <w:r>
              <w:rPr>
                <w:rFonts w:ascii="Times New Roman" w:hAnsi="Times New Roman"/>
                <w:sz w:val="24"/>
                <w:szCs w:val="24"/>
              </w:rPr>
              <w:t>Số Nghị quyết/ Quyết định</w:t>
            </w:r>
          </w:p>
          <w:p w:rsidR="00193D02" w:rsidRDefault="00193D02" w:rsidP="00156748">
            <w:pPr>
              <w:pStyle w:val="BodyText"/>
              <w:ind w:right="142"/>
              <w:jc w:val="center"/>
              <w:rPr>
                <w:rFonts w:ascii="Times New Roman" w:hAnsi="Times New Roman"/>
                <w:i/>
                <w:sz w:val="24"/>
                <w:szCs w:val="24"/>
              </w:rPr>
            </w:pPr>
          </w:p>
        </w:tc>
        <w:tc>
          <w:tcPr>
            <w:tcW w:w="1973" w:type="dxa"/>
          </w:tcPr>
          <w:p w:rsidR="00193D02" w:rsidRDefault="00193D02" w:rsidP="00156748">
            <w:pPr>
              <w:pStyle w:val="BodyText"/>
              <w:ind w:right="142"/>
              <w:jc w:val="center"/>
              <w:rPr>
                <w:rFonts w:ascii="Times New Roman" w:hAnsi="Times New Roman"/>
                <w:sz w:val="24"/>
                <w:szCs w:val="24"/>
              </w:rPr>
            </w:pPr>
            <w:r>
              <w:rPr>
                <w:rFonts w:ascii="Times New Roman" w:hAnsi="Times New Roman"/>
                <w:sz w:val="24"/>
                <w:szCs w:val="24"/>
              </w:rPr>
              <w:t>Ngày tháng năm</w:t>
            </w:r>
          </w:p>
          <w:p w:rsidR="00193D02" w:rsidRDefault="00193D02" w:rsidP="00156748">
            <w:pPr>
              <w:pStyle w:val="BodyText"/>
              <w:ind w:right="142"/>
              <w:jc w:val="center"/>
              <w:rPr>
                <w:rFonts w:ascii="Times New Roman" w:hAnsi="Times New Roman"/>
                <w:i/>
                <w:sz w:val="24"/>
                <w:szCs w:val="24"/>
              </w:rPr>
            </w:pPr>
          </w:p>
        </w:tc>
        <w:tc>
          <w:tcPr>
            <w:tcW w:w="3434" w:type="dxa"/>
          </w:tcPr>
          <w:p w:rsidR="00193D02" w:rsidRPr="00EC04A7" w:rsidRDefault="00193D02" w:rsidP="00156748">
            <w:pPr>
              <w:pStyle w:val="BodyText"/>
              <w:ind w:right="142"/>
              <w:jc w:val="center"/>
              <w:rPr>
                <w:rFonts w:ascii="Times New Roman" w:hAnsi="Times New Roman"/>
                <w:sz w:val="24"/>
                <w:szCs w:val="24"/>
              </w:rPr>
            </w:pPr>
            <w:r>
              <w:rPr>
                <w:rFonts w:ascii="Times New Roman" w:hAnsi="Times New Roman"/>
                <w:sz w:val="24"/>
                <w:szCs w:val="24"/>
              </w:rPr>
              <w:t>Nội dung</w:t>
            </w:r>
          </w:p>
        </w:tc>
      </w:tr>
      <w:tr w:rsidR="00193D02" w:rsidTr="004E4BFE">
        <w:trPr>
          <w:trHeight w:val="324"/>
        </w:trPr>
        <w:tc>
          <w:tcPr>
            <w:tcW w:w="626"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01</w:t>
            </w:r>
          </w:p>
        </w:tc>
        <w:tc>
          <w:tcPr>
            <w:tcW w:w="3095"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03/2015/TB-CTMG</w:t>
            </w:r>
          </w:p>
        </w:tc>
        <w:tc>
          <w:tcPr>
            <w:tcW w:w="1973" w:type="dxa"/>
          </w:tcPr>
          <w:p w:rsidR="00193D02" w:rsidRDefault="00193D02" w:rsidP="00E74CE4">
            <w:pPr>
              <w:pStyle w:val="BodyText"/>
              <w:ind w:right="142"/>
              <w:jc w:val="center"/>
              <w:rPr>
                <w:rFonts w:ascii="Times New Roman" w:hAnsi="Times New Roman"/>
                <w:sz w:val="24"/>
                <w:szCs w:val="24"/>
              </w:rPr>
            </w:pPr>
            <w:r>
              <w:rPr>
                <w:rFonts w:ascii="Times New Roman" w:hAnsi="Times New Roman"/>
                <w:sz w:val="24"/>
                <w:szCs w:val="24"/>
              </w:rPr>
              <w:t>12/5/2015</w:t>
            </w:r>
          </w:p>
        </w:tc>
        <w:tc>
          <w:tcPr>
            <w:tcW w:w="3434"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Thông báo kết quả ĐHĐCĐ thường niên năm 2015 (ĐH lần thứ 01 không thành công) và triệu tập Đại hội lần thứ 02.</w:t>
            </w:r>
          </w:p>
        </w:tc>
      </w:tr>
      <w:tr w:rsidR="00193D02" w:rsidTr="004E4BFE">
        <w:trPr>
          <w:trHeight w:val="324"/>
        </w:trPr>
        <w:tc>
          <w:tcPr>
            <w:tcW w:w="626"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02</w:t>
            </w:r>
          </w:p>
        </w:tc>
        <w:tc>
          <w:tcPr>
            <w:tcW w:w="3095"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01NQ/ĐHĐCĐ-MMC</w:t>
            </w:r>
          </w:p>
        </w:tc>
        <w:tc>
          <w:tcPr>
            <w:tcW w:w="1973" w:type="dxa"/>
          </w:tcPr>
          <w:p w:rsidR="00193D02" w:rsidRDefault="00193D02" w:rsidP="00E74CE4">
            <w:pPr>
              <w:pStyle w:val="BodyText"/>
              <w:ind w:right="142"/>
              <w:jc w:val="center"/>
              <w:rPr>
                <w:rFonts w:ascii="Times New Roman" w:hAnsi="Times New Roman"/>
                <w:sz w:val="24"/>
                <w:szCs w:val="24"/>
              </w:rPr>
            </w:pPr>
            <w:r>
              <w:rPr>
                <w:rFonts w:ascii="Times New Roman" w:hAnsi="Times New Roman"/>
                <w:sz w:val="24"/>
                <w:szCs w:val="24"/>
              </w:rPr>
              <w:t>21/5/2015</w:t>
            </w:r>
          </w:p>
        </w:tc>
        <w:tc>
          <w:tcPr>
            <w:tcW w:w="3434"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Đại hội đồng cổ đông thường niên (ĐH lần thứ 2)</w:t>
            </w:r>
          </w:p>
        </w:tc>
      </w:tr>
    </w:tbl>
    <w:p w:rsidR="00193D02" w:rsidRDefault="00193D02" w:rsidP="004E4BFE">
      <w:pPr>
        <w:pStyle w:val="BodyText"/>
        <w:numPr>
          <w:ilvl w:val="0"/>
          <w:numId w:val="2"/>
        </w:numPr>
        <w:spacing w:before="120"/>
        <w:rPr>
          <w:rFonts w:ascii="Times New Roman" w:hAnsi="Times New Roman"/>
          <w:b/>
          <w:sz w:val="26"/>
          <w:szCs w:val="26"/>
        </w:rPr>
      </w:pPr>
      <w:r>
        <w:rPr>
          <w:rFonts w:ascii="Times New Roman" w:hAnsi="Times New Roman"/>
          <w:b/>
          <w:sz w:val="26"/>
          <w:szCs w:val="26"/>
        </w:rPr>
        <w:t>Hội đồng quản trị (Báo cáo năm 2015):</w:t>
      </w:r>
    </w:p>
    <w:p w:rsidR="00193D02" w:rsidRDefault="00193D02" w:rsidP="001A5746">
      <w:pPr>
        <w:pStyle w:val="BodyText"/>
        <w:numPr>
          <w:ilvl w:val="0"/>
          <w:numId w:val="3"/>
        </w:numPr>
        <w:spacing w:after="120"/>
        <w:ind w:left="0" w:right="142" w:firstLine="426"/>
        <w:rPr>
          <w:rFonts w:ascii="Times New Roman" w:hAnsi="Times New Roman"/>
          <w:sz w:val="26"/>
          <w:szCs w:val="26"/>
        </w:rPr>
      </w:pPr>
      <w:r>
        <w:rPr>
          <w:rFonts w:ascii="Times New Roman" w:hAnsi="Times New Roman"/>
          <w:sz w:val="26"/>
          <w:szCs w:val="26"/>
        </w:rPr>
        <w:t>Thông tin về thành viên Hội đồng quản trị (HĐQT):</w:t>
      </w:r>
    </w:p>
    <w:tbl>
      <w:tblPr>
        <w:tblW w:w="9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350"/>
        <w:gridCol w:w="1530"/>
        <w:gridCol w:w="1350"/>
        <w:gridCol w:w="990"/>
        <w:gridCol w:w="990"/>
        <w:gridCol w:w="1524"/>
      </w:tblGrid>
      <w:tr w:rsidR="00193D02" w:rsidRPr="00E144D4" w:rsidTr="004B63C6">
        <w:trPr>
          <w:trHeight w:val="583"/>
        </w:trPr>
        <w:tc>
          <w:tcPr>
            <w:tcW w:w="710" w:type="dxa"/>
            <w:vAlign w:val="center"/>
          </w:tcPr>
          <w:p w:rsidR="00193D02" w:rsidRPr="00E144D4" w:rsidRDefault="00193D02" w:rsidP="00E144D4">
            <w:pPr>
              <w:pStyle w:val="BodyText"/>
              <w:ind w:right="142"/>
              <w:jc w:val="center"/>
              <w:rPr>
                <w:rFonts w:ascii="Times New Roman" w:hAnsi="Times New Roman"/>
                <w:b/>
                <w:sz w:val="24"/>
                <w:szCs w:val="24"/>
              </w:rPr>
            </w:pPr>
            <w:r w:rsidRPr="00E144D4">
              <w:rPr>
                <w:rFonts w:ascii="Times New Roman" w:hAnsi="Times New Roman"/>
                <w:b/>
                <w:sz w:val="24"/>
                <w:szCs w:val="24"/>
              </w:rPr>
              <w:t>Stt</w:t>
            </w:r>
          </w:p>
          <w:p w:rsidR="00193D02" w:rsidRPr="00E144D4" w:rsidRDefault="00193D02" w:rsidP="00E144D4">
            <w:pPr>
              <w:pStyle w:val="BodyText"/>
              <w:ind w:right="142"/>
              <w:jc w:val="center"/>
              <w:rPr>
                <w:rFonts w:ascii="Times New Roman" w:hAnsi="Times New Roman"/>
                <w:b/>
                <w:i/>
                <w:sz w:val="24"/>
                <w:szCs w:val="24"/>
              </w:rPr>
            </w:pPr>
          </w:p>
        </w:tc>
        <w:tc>
          <w:tcPr>
            <w:tcW w:w="2350" w:type="dxa"/>
            <w:vAlign w:val="center"/>
          </w:tcPr>
          <w:p w:rsidR="00193D02" w:rsidRPr="00E144D4" w:rsidRDefault="00193D02" w:rsidP="00E144D4">
            <w:pPr>
              <w:pStyle w:val="BodyText"/>
              <w:ind w:right="142"/>
              <w:jc w:val="center"/>
              <w:rPr>
                <w:rFonts w:ascii="Times New Roman" w:hAnsi="Times New Roman"/>
                <w:b/>
                <w:sz w:val="24"/>
                <w:szCs w:val="24"/>
              </w:rPr>
            </w:pPr>
            <w:r w:rsidRPr="00E144D4">
              <w:rPr>
                <w:rFonts w:ascii="Times New Roman" w:hAnsi="Times New Roman"/>
                <w:b/>
                <w:sz w:val="24"/>
                <w:szCs w:val="24"/>
              </w:rPr>
              <w:t>Thành viên HĐQT</w:t>
            </w:r>
          </w:p>
          <w:p w:rsidR="00193D02" w:rsidRPr="00E144D4" w:rsidRDefault="00193D02" w:rsidP="00E144D4">
            <w:pPr>
              <w:pStyle w:val="BodyText"/>
              <w:ind w:right="142"/>
              <w:jc w:val="center"/>
              <w:rPr>
                <w:rFonts w:ascii="Times New Roman" w:hAnsi="Times New Roman"/>
                <w:b/>
                <w:sz w:val="24"/>
                <w:szCs w:val="24"/>
              </w:rPr>
            </w:pPr>
          </w:p>
        </w:tc>
        <w:tc>
          <w:tcPr>
            <w:tcW w:w="1530" w:type="dxa"/>
            <w:vAlign w:val="center"/>
          </w:tcPr>
          <w:p w:rsidR="00193D02" w:rsidRPr="00E144D4" w:rsidRDefault="00193D02" w:rsidP="00E144D4">
            <w:pPr>
              <w:pStyle w:val="BodyText"/>
              <w:ind w:right="-108"/>
              <w:jc w:val="center"/>
              <w:rPr>
                <w:rFonts w:ascii="Times New Roman" w:hAnsi="Times New Roman"/>
                <w:b/>
                <w:sz w:val="24"/>
                <w:szCs w:val="24"/>
              </w:rPr>
            </w:pPr>
            <w:r w:rsidRPr="00E144D4">
              <w:rPr>
                <w:rFonts w:ascii="Times New Roman" w:hAnsi="Times New Roman"/>
                <w:b/>
                <w:sz w:val="24"/>
                <w:szCs w:val="24"/>
              </w:rPr>
              <w:t>Chức vụ</w:t>
            </w:r>
          </w:p>
          <w:p w:rsidR="00193D02" w:rsidRPr="00E144D4" w:rsidRDefault="00193D02" w:rsidP="00E144D4">
            <w:pPr>
              <w:pStyle w:val="BodyText"/>
              <w:ind w:right="-108"/>
              <w:jc w:val="center"/>
              <w:rPr>
                <w:rFonts w:ascii="Times New Roman" w:hAnsi="Times New Roman"/>
                <w:b/>
                <w:i/>
                <w:sz w:val="24"/>
                <w:szCs w:val="24"/>
              </w:rPr>
            </w:pPr>
          </w:p>
        </w:tc>
        <w:tc>
          <w:tcPr>
            <w:tcW w:w="1350" w:type="dxa"/>
            <w:vAlign w:val="center"/>
          </w:tcPr>
          <w:p w:rsidR="00193D02" w:rsidRPr="00E144D4" w:rsidRDefault="00193D02" w:rsidP="00E144D4">
            <w:pPr>
              <w:pStyle w:val="BodyText"/>
              <w:jc w:val="center"/>
              <w:rPr>
                <w:rFonts w:ascii="Times New Roman" w:hAnsi="Times New Roman"/>
                <w:b/>
                <w:sz w:val="24"/>
                <w:szCs w:val="24"/>
              </w:rPr>
            </w:pPr>
            <w:r w:rsidRPr="00E144D4">
              <w:rPr>
                <w:rFonts w:ascii="Times New Roman" w:hAnsi="Times New Roman"/>
                <w:b/>
                <w:sz w:val="24"/>
                <w:szCs w:val="24"/>
              </w:rPr>
              <w:t>Ngày bắt đầu/không còn là thành viên HĐQT/</w:t>
            </w:r>
          </w:p>
        </w:tc>
        <w:tc>
          <w:tcPr>
            <w:tcW w:w="990" w:type="dxa"/>
            <w:vAlign w:val="center"/>
          </w:tcPr>
          <w:p w:rsidR="00193D02" w:rsidRPr="00E144D4" w:rsidRDefault="00193D02" w:rsidP="00E144D4">
            <w:pPr>
              <w:pStyle w:val="BodyText"/>
              <w:jc w:val="center"/>
              <w:rPr>
                <w:rFonts w:ascii="Times New Roman" w:hAnsi="Times New Roman"/>
                <w:b/>
                <w:sz w:val="24"/>
                <w:szCs w:val="24"/>
              </w:rPr>
            </w:pPr>
            <w:r w:rsidRPr="00E144D4">
              <w:rPr>
                <w:rFonts w:ascii="Times New Roman" w:hAnsi="Times New Roman"/>
                <w:b/>
                <w:sz w:val="24"/>
                <w:szCs w:val="24"/>
              </w:rPr>
              <w:t>Số buổi họp HĐQT tham dự</w:t>
            </w:r>
          </w:p>
        </w:tc>
        <w:tc>
          <w:tcPr>
            <w:tcW w:w="990" w:type="dxa"/>
            <w:vAlign w:val="center"/>
          </w:tcPr>
          <w:p w:rsidR="00193D02" w:rsidRPr="00E144D4" w:rsidRDefault="00193D02" w:rsidP="00E144D4">
            <w:pPr>
              <w:pStyle w:val="BodyText"/>
              <w:ind w:right="142"/>
              <w:jc w:val="center"/>
              <w:rPr>
                <w:rFonts w:ascii="Times New Roman" w:hAnsi="Times New Roman"/>
                <w:b/>
                <w:sz w:val="24"/>
                <w:szCs w:val="24"/>
              </w:rPr>
            </w:pPr>
            <w:r w:rsidRPr="00E144D4">
              <w:rPr>
                <w:rFonts w:ascii="Times New Roman" w:hAnsi="Times New Roman"/>
                <w:b/>
                <w:sz w:val="24"/>
                <w:szCs w:val="24"/>
              </w:rPr>
              <w:t>Tỷ lệ tham dự họp</w:t>
            </w:r>
          </w:p>
        </w:tc>
        <w:tc>
          <w:tcPr>
            <w:tcW w:w="1524" w:type="dxa"/>
            <w:vAlign w:val="center"/>
          </w:tcPr>
          <w:p w:rsidR="00193D02" w:rsidRPr="00E144D4" w:rsidRDefault="00193D02" w:rsidP="00E144D4">
            <w:pPr>
              <w:pStyle w:val="BodyText"/>
              <w:ind w:right="142"/>
              <w:jc w:val="center"/>
              <w:rPr>
                <w:rFonts w:ascii="Times New Roman" w:hAnsi="Times New Roman"/>
                <w:b/>
                <w:sz w:val="24"/>
                <w:szCs w:val="24"/>
              </w:rPr>
            </w:pPr>
            <w:r w:rsidRPr="00E144D4">
              <w:rPr>
                <w:rFonts w:ascii="Times New Roman" w:hAnsi="Times New Roman"/>
                <w:b/>
                <w:sz w:val="24"/>
                <w:szCs w:val="24"/>
              </w:rPr>
              <w:t>Lý do không tham dự họp</w:t>
            </w:r>
          </w:p>
        </w:tc>
      </w:tr>
      <w:tr w:rsidR="00193D02" w:rsidTr="004B63C6">
        <w:trPr>
          <w:trHeight w:val="314"/>
        </w:trPr>
        <w:tc>
          <w:tcPr>
            <w:tcW w:w="71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1</w:t>
            </w:r>
          </w:p>
        </w:tc>
        <w:tc>
          <w:tcPr>
            <w:tcW w:w="2350" w:type="dxa"/>
            <w:vAlign w:val="center"/>
          </w:tcPr>
          <w:p w:rsidR="00193D02" w:rsidRPr="007747D7" w:rsidRDefault="00193D02" w:rsidP="009743B9">
            <w:pPr>
              <w:pStyle w:val="BodyText"/>
              <w:spacing w:before="80" w:after="80"/>
              <w:ind w:right="-18"/>
              <w:jc w:val="left"/>
              <w:rPr>
                <w:rFonts w:ascii="Times New Roman" w:hAnsi="Times New Roman"/>
                <w:color w:val="000000"/>
                <w:sz w:val="24"/>
                <w:szCs w:val="24"/>
              </w:rPr>
            </w:pPr>
            <w:r w:rsidRPr="007747D7">
              <w:rPr>
                <w:rFonts w:ascii="Times New Roman" w:hAnsi="Times New Roman"/>
                <w:color w:val="000000"/>
                <w:sz w:val="24"/>
                <w:szCs w:val="24"/>
              </w:rPr>
              <w:t>Nguyễn Trọng Tuyên</w:t>
            </w:r>
          </w:p>
        </w:tc>
        <w:tc>
          <w:tcPr>
            <w:tcW w:w="1530" w:type="dxa"/>
            <w:vAlign w:val="center"/>
          </w:tcPr>
          <w:p w:rsidR="00193D02" w:rsidRPr="007747D7" w:rsidRDefault="00193D02" w:rsidP="008F3663">
            <w:pPr>
              <w:pStyle w:val="BodyText"/>
              <w:spacing w:before="80" w:after="80"/>
              <w:jc w:val="center"/>
              <w:rPr>
                <w:rFonts w:ascii="Times New Roman" w:hAnsi="Times New Roman"/>
                <w:color w:val="000000"/>
                <w:sz w:val="24"/>
                <w:szCs w:val="24"/>
              </w:rPr>
            </w:pPr>
            <w:r>
              <w:rPr>
                <w:rFonts w:ascii="Times New Roman" w:hAnsi="Times New Roman"/>
                <w:color w:val="000000"/>
                <w:sz w:val="24"/>
                <w:szCs w:val="24"/>
              </w:rPr>
              <w:t>CT. HĐQT</w:t>
            </w:r>
          </w:p>
        </w:tc>
        <w:tc>
          <w:tcPr>
            <w:tcW w:w="1350" w:type="dxa"/>
            <w:vAlign w:val="center"/>
          </w:tcPr>
          <w:p w:rsidR="00193D02" w:rsidRDefault="00193D02" w:rsidP="008F3663">
            <w:pPr>
              <w:pStyle w:val="BodyText"/>
              <w:ind w:right="142"/>
              <w:jc w:val="center"/>
              <w:rPr>
                <w:rFonts w:ascii="Times New Roman" w:hAnsi="Times New Roman"/>
                <w:sz w:val="24"/>
                <w:szCs w:val="24"/>
              </w:rPr>
            </w:pPr>
          </w:p>
        </w:tc>
        <w:tc>
          <w:tcPr>
            <w:tcW w:w="99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2/4</w:t>
            </w:r>
          </w:p>
        </w:tc>
        <w:tc>
          <w:tcPr>
            <w:tcW w:w="99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50%</w:t>
            </w:r>
          </w:p>
        </w:tc>
        <w:tc>
          <w:tcPr>
            <w:tcW w:w="1524"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Nghỉ ốm đột xuất</w:t>
            </w:r>
          </w:p>
        </w:tc>
      </w:tr>
      <w:tr w:rsidR="00193D02" w:rsidTr="004B63C6">
        <w:trPr>
          <w:trHeight w:val="314"/>
        </w:trPr>
        <w:tc>
          <w:tcPr>
            <w:tcW w:w="71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2</w:t>
            </w:r>
          </w:p>
        </w:tc>
        <w:tc>
          <w:tcPr>
            <w:tcW w:w="2350" w:type="dxa"/>
            <w:vAlign w:val="center"/>
          </w:tcPr>
          <w:p w:rsidR="00193D02" w:rsidRDefault="00193D02" w:rsidP="009743B9">
            <w:pPr>
              <w:pStyle w:val="BodyText"/>
              <w:spacing w:before="80" w:after="80"/>
              <w:jc w:val="left"/>
              <w:rPr>
                <w:rFonts w:ascii="Times New Roman" w:hAnsi="Times New Roman"/>
                <w:color w:val="000000"/>
                <w:sz w:val="24"/>
                <w:szCs w:val="24"/>
              </w:rPr>
            </w:pPr>
            <w:r>
              <w:rPr>
                <w:rFonts w:ascii="Times New Roman" w:hAnsi="Times New Roman"/>
                <w:color w:val="000000"/>
                <w:sz w:val="24"/>
                <w:szCs w:val="24"/>
              </w:rPr>
              <w:t>Hoàng Đại Lợi</w:t>
            </w:r>
          </w:p>
        </w:tc>
        <w:tc>
          <w:tcPr>
            <w:tcW w:w="1530" w:type="dxa"/>
            <w:vAlign w:val="center"/>
          </w:tcPr>
          <w:p w:rsidR="00193D02" w:rsidRDefault="00193D02" w:rsidP="008F3663">
            <w:pPr>
              <w:pStyle w:val="BodyText"/>
              <w:spacing w:before="80" w:after="80"/>
              <w:jc w:val="center"/>
              <w:rPr>
                <w:rFonts w:ascii="Times New Roman" w:hAnsi="Times New Roman"/>
                <w:color w:val="000000"/>
                <w:sz w:val="24"/>
                <w:szCs w:val="24"/>
              </w:rPr>
            </w:pPr>
            <w:r>
              <w:rPr>
                <w:rFonts w:ascii="Times New Roman" w:hAnsi="Times New Roman"/>
                <w:color w:val="000000"/>
                <w:sz w:val="24"/>
                <w:szCs w:val="24"/>
              </w:rPr>
              <w:t>TV.HĐQT, Giám đốc</w:t>
            </w:r>
          </w:p>
        </w:tc>
        <w:tc>
          <w:tcPr>
            <w:tcW w:w="1350" w:type="dxa"/>
            <w:vAlign w:val="center"/>
          </w:tcPr>
          <w:p w:rsidR="00193D02" w:rsidRDefault="00193D02" w:rsidP="008F3663">
            <w:pPr>
              <w:pStyle w:val="BodyText"/>
              <w:ind w:right="142"/>
              <w:jc w:val="center"/>
              <w:rPr>
                <w:rFonts w:ascii="Times New Roman" w:hAnsi="Times New Roman"/>
                <w:sz w:val="24"/>
                <w:szCs w:val="24"/>
              </w:rPr>
            </w:pPr>
          </w:p>
        </w:tc>
        <w:tc>
          <w:tcPr>
            <w:tcW w:w="99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4/4</w:t>
            </w:r>
          </w:p>
        </w:tc>
        <w:tc>
          <w:tcPr>
            <w:tcW w:w="99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100%</w:t>
            </w:r>
          </w:p>
        </w:tc>
        <w:tc>
          <w:tcPr>
            <w:tcW w:w="1524" w:type="dxa"/>
            <w:vAlign w:val="center"/>
          </w:tcPr>
          <w:p w:rsidR="00193D02" w:rsidRDefault="00193D02" w:rsidP="008F3663">
            <w:pPr>
              <w:pStyle w:val="BodyText"/>
              <w:ind w:right="142"/>
              <w:jc w:val="center"/>
              <w:rPr>
                <w:rFonts w:ascii="Times New Roman" w:hAnsi="Times New Roman"/>
                <w:sz w:val="24"/>
                <w:szCs w:val="24"/>
              </w:rPr>
            </w:pPr>
          </w:p>
        </w:tc>
      </w:tr>
      <w:tr w:rsidR="00193D02" w:rsidTr="004B63C6">
        <w:trPr>
          <w:trHeight w:val="314"/>
        </w:trPr>
        <w:tc>
          <w:tcPr>
            <w:tcW w:w="71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3</w:t>
            </w:r>
          </w:p>
        </w:tc>
        <w:tc>
          <w:tcPr>
            <w:tcW w:w="2350" w:type="dxa"/>
            <w:vAlign w:val="center"/>
          </w:tcPr>
          <w:p w:rsidR="00193D02" w:rsidRDefault="00193D02" w:rsidP="009743B9">
            <w:pPr>
              <w:pStyle w:val="BodyText"/>
              <w:spacing w:before="80" w:after="80"/>
              <w:jc w:val="left"/>
              <w:rPr>
                <w:rFonts w:ascii="Times New Roman" w:hAnsi="Times New Roman"/>
                <w:color w:val="000000"/>
                <w:sz w:val="24"/>
                <w:szCs w:val="24"/>
              </w:rPr>
            </w:pPr>
            <w:r>
              <w:rPr>
                <w:rFonts w:ascii="Times New Roman" w:hAnsi="Times New Roman"/>
                <w:color w:val="000000"/>
                <w:sz w:val="24"/>
                <w:szCs w:val="24"/>
              </w:rPr>
              <w:t>Phạm Viết Hào</w:t>
            </w:r>
          </w:p>
        </w:tc>
        <w:tc>
          <w:tcPr>
            <w:tcW w:w="1530" w:type="dxa"/>
            <w:vAlign w:val="center"/>
          </w:tcPr>
          <w:p w:rsidR="00193D02" w:rsidRDefault="00193D02" w:rsidP="008F3663">
            <w:pPr>
              <w:pStyle w:val="BodyText"/>
              <w:spacing w:before="80" w:after="80"/>
              <w:jc w:val="center"/>
              <w:rPr>
                <w:rFonts w:ascii="Times New Roman" w:hAnsi="Times New Roman"/>
                <w:color w:val="000000"/>
                <w:sz w:val="24"/>
                <w:szCs w:val="24"/>
              </w:rPr>
            </w:pPr>
            <w:r>
              <w:rPr>
                <w:rFonts w:ascii="Times New Roman" w:hAnsi="Times New Roman"/>
                <w:color w:val="000000"/>
                <w:sz w:val="24"/>
                <w:szCs w:val="24"/>
              </w:rPr>
              <w:t>TV. HĐQT</w:t>
            </w:r>
          </w:p>
        </w:tc>
        <w:tc>
          <w:tcPr>
            <w:tcW w:w="135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22/5/2015</w:t>
            </w:r>
          </w:p>
        </w:tc>
        <w:tc>
          <w:tcPr>
            <w:tcW w:w="99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3/4</w:t>
            </w:r>
          </w:p>
        </w:tc>
        <w:tc>
          <w:tcPr>
            <w:tcW w:w="99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75%</w:t>
            </w:r>
          </w:p>
        </w:tc>
        <w:tc>
          <w:tcPr>
            <w:tcW w:w="1524"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Đại hội miễn nhiệm TV HĐQT</w:t>
            </w:r>
          </w:p>
        </w:tc>
      </w:tr>
      <w:tr w:rsidR="00193D02" w:rsidTr="004B63C6">
        <w:trPr>
          <w:trHeight w:val="314"/>
        </w:trPr>
        <w:tc>
          <w:tcPr>
            <w:tcW w:w="71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4</w:t>
            </w:r>
          </w:p>
        </w:tc>
        <w:tc>
          <w:tcPr>
            <w:tcW w:w="2350" w:type="dxa"/>
            <w:vAlign w:val="center"/>
          </w:tcPr>
          <w:p w:rsidR="00193D02" w:rsidRDefault="00193D02" w:rsidP="009743B9">
            <w:pPr>
              <w:pStyle w:val="BodyText"/>
              <w:spacing w:before="80" w:after="80"/>
              <w:jc w:val="left"/>
              <w:rPr>
                <w:rFonts w:ascii="Times New Roman" w:hAnsi="Times New Roman"/>
                <w:color w:val="000000"/>
                <w:sz w:val="24"/>
                <w:szCs w:val="24"/>
              </w:rPr>
            </w:pPr>
            <w:r>
              <w:rPr>
                <w:rFonts w:ascii="Times New Roman" w:hAnsi="Times New Roman"/>
                <w:color w:val="000000"/>
                <w:sz w:val="24"/>
                <w:szCs w:val="24"/>
              </w:rPr>
              <w:t>Nguyễn Mạnh Tuấn</w:t>
            </w:r>
          </w:p>
        </w:tc>
        <w:tc>
          <w:tcPr>
            <w:tcW w:w="1530" w:type="dxa"/>
            <w:vAlign w:val="center"/>
          </w:tcPr>
          <w:p w:rsidR="00193D02" w:rsidRDefault="00193D02" w:rsidP="008F3663">
            <w:pPr>
              <w:pStyle w:val="BodyText"/>
              <w:spacing w:before="80" w:after="80"/>
              <w:jc w:val="center"/>
              <w:rPr>
                <w:rFonts w:ascii="Times New Roman" w:hAnsi="Times New Roman"/>
                <w:color w:val="000000"/>
                <w:sz w:val="24"/>
                <w:szCs w:val="24"/>
              </w:rPr>
            </w:pPr>
            <w:r>
              <w:rPr>
                <w:rFonts w:ascii="Times New Roman" w:hAnsi="Times New Roman"/>
                <w:color w:val="000000"/>
                <w:sz w:val="24"/>
                <w:szCs w:val="24"/>
              </w:rPr>
              <w:t>TV. HĐQT</w:t>
            </w:r>
          </w:p>
        </w:tc>
        <w:tc>
          <w:tcPr>
            <w:tcW w:w="1350" w:type="dxa"/>
            <w:vAlign w:val="center"/>
          </w:tcPr>
          <w:p w:rsidR="00193D02" w:rsidRDefault="00193D02" w:rsidP="008F3663">
            <w:pPr>
              <w:pStyle w:val="BodyText"/>
              <w:ind w:right="142"/>
              <w:jc w:val="center"/>
              <w:rPr>
                <w:rFonts w:ascii="Times New Roman" w:hAnsi="Times New Roman"/>
                <w:sz w:val="24"/>
                <w:szCs w:val="24"/>
              </w:rPr>
            </w:pPr>
          </w:p>
        </w:tc>
        <w:tc>
          <w:tcPr>
            <w:tcW w:w="99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3/4</w:t>
            </w:r>
          </w:p>
        </w:tc>
        <w:tc>
          <w:tcPr>
            <w:tcW w:w="99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75%</w:t>
            </w:r>
          </w:p>
        </w:tc>
        <w:tc>
          <w:tcPr>
            <w:tcW w:w="1524"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Đi công tác đột xuất</w:t>
            </w:r>
          </w:p>
        </w:tc>
      </w:tr>
      <w:tr w:rsidR="00193D02" w:rsidTr="004B63C6">
        <w:trPr>
          <w:trHeight w:val="314"/>
        </w:trPr>
        <w:tc>
          <w:tcPr>
            <w:tcW w:w="71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5</w:t>
            </w:r>
          </w:p>
        </w:tc>
        <w:tc>
          <w:tcPr>
            <w:tcW w:w="2350" w:type="dxa"/>
            <w:vAlign w:val="center"/>
          </w:tcPr>
          <w:p w:rsidR="00193D02" w:rsidRDefault="00193D02" w:rsidP="009743B9">
            <w:pPr>
              <w:pStyle w:val="BodyText"/>
              <w:spacing w:before="80" w:after="80"/>
              <w:jc w:val="left"/>
              <w:rPr>
                <w:rFonts w:ascii="Times New Roman" w:hAnsi="Times New Roman"/>
                <w:color w:val="000000"/>
                <w:sz w:val="24"/>
                <w:szCs w:val="24"/>
              </w:rPr>
            </w:pPr>
            <w:r>
              <w:rPr>
                <w:rFonts w:ascii="Times New Roman" w:hAnsi="Times New Roman"/>
                <w:color w:val="000000"/>
                <w:sz w:val="24"/>
                <w:szCs w:val="24"/>
              </w:rPr>
              <w:t>Võ Thị Hoa</w:t>
            </w:r>
          </w:p>
        </w:tc>
        <w:tc>
          <w:tcPr>
            <w:tcW w:w="1530" w:type="dxa"/>
            <w:vAlign w:val="center"/>
          </w:tcPr>
          <w:p w:rsidR="00193D02" w:rsidRDefault="00193D02" w:rsidP="008F3663">
            <w:pPr>
              <w:pStyle w:val="BodyText"/>
              <w:spacing w:before="80" w:after="80"/>
              <w:jc w:val="center"/>
              <w:rPr>
                <w:rFonts w:ascii="Times New Roman" w:hAnsi="Times New Roman"/>
                <w:color w:val="000000"/>
                <w:sz w:val="24"/>
                <w:szCs w:val="24"/>
              </w:rPr>
            </w:pPr>
            <w:r>
              <w:rPr>
                <w:rFonts w:ascii="Times New Roman" w:hAnsi="Times New Roman"/>
                <w:color w:val="000000"/>
                <w:sz w:val="24"/>
                <w:szCs w:val="24"/>
              </w:rPr>
              <w:t>TV. HĐQT</w:t>
            </w:r>
          </w:p>
        </w:tc>
        <w:tc>
          <w:tcPr>
            <w:tcW w:w="135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22/5/2015</w:t>
            </w:r>
          </w:p>
        </w:tc>
        <w:tc>
          <w:tcPr>
            <w:tcW w:w="99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3/4</w:t>
            </w:r>
          </w:p>
        </w:tc>
        <w:tc>
          <w:tcPr>
            <w:tcW w:w="990"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75%</w:t>
            </w:r>
          </w:p>
        </w:tc>
        <w:tc>
          <w:tcPr>
            <w:tcW w:w="1524" w:type="dxa"/>
            <w:vAlign w:val="center"/>
          </w:tcPr>
          <w:p w:rsidR="00193D02" w:rsidRDefault="00193D02" w:rsidP="008F3663">
            <w:pPr>
              <w:pStyle w:val="BodyText"/>
              <w:ind w:right="142"/>
              <w:jc w:val="center"/>
              <w:rPr>
                <w:rFonts w:ascii="Times New Roman" w:hAnsi="Times New Roman"/>
                <w:sz w:val="24"/>
                <w:szCs w:val="24"/>
              </w:rPr>
            </w:pPr>
            <w:r>
              <w:rPr>
                <w:rFonts w:ascii="Times New Roman" w:hAnsi="Times New Roman"/>
                <w:sz w:val="24"/>
                <w:szCs w:val="24"/>
              </w:rPr>
              <w:t>Đại hội miễn nhiệm TV HĐQT</w:t>
            </w:r>
          </w:p>
        </w:tc>
      </w:tr>
    </w:tbl>
    <w:p w:rsidR="00193D02" w:rsidRDefault="00193D02" w:rsidP="00B335A2">
      <w:pPr>
        <w:pStyle w:val="BodyText"/>
        <w:ind w:right="142" w:firstLine="450"/>
        <w:rPr>
          <w:rFonts w:ascii="Times New Roman" w:hAnsi="Times New Roman"/>
          <w:sz w:val="26"/>
          <w:szCs w:val="26"/>
        </w:rPr>
      </w:pPr>
      <w:r>
        <w:rPr>
          <w:rFonts w:ascii="Times New Roman" w:hAnsi="Times New Roman"/>
          <w:sz w:val="26"/>
          <w:szCs w:val="26"/>
        </w:rPr>
        <w:t>2.  Hoạt động giám sát của HĐQT đối với Ban Giám đốc:</w:t>
      </w:r>
    </w:p>
    <w:p w:rsidR="00193D02" w:rsidRPr="00207DE9" w:rsidRDefault="00193D02" w:rsidP="00B335A2">
      <w:pPr>
        <w:pStyle w:val="BodyText"/>
        <w:spacing w:before="120" w:after="120"/>
        <w:ind w:firstLine="450"/>
        <w:rPr>
          <w:rFonts w:ascii="Times New Roman" w:hAnsi="Times New Roman"/>
          <w:color w:val="000000"/>
          <w:sz w:val="26"/>
          <w:szCs w:val="26"/>
        </w:rPr>
      </w:pPr>
      <w:r w:rsidRPr="00207DE9">
        <w:rPr>
          <w:rFonts w:ascii="Times New Roman" w:hAnsi="Times New Roman"/>
          <w:color w:val="000000"/>
          <w:sz w:val="26"/>
          <w:szCs w:val="26"/>
          <w:lang w:val="vi-VN"/>
        </w:rPr>
        <w:t xml:space="preserve">Hội ðồng quản trị </w:t>
      </w:r>
      <w:r w:rsidRPr="00207DE9">
        <w:rPr>
          <w:rFonts w:ascii="Times New Roman" w:hAnsi="Times New Roman"/>
          <w:color w:val="000000"/>
          <w:sz w:val="26"/>
          <w:szCs w:val="26"/>
        </w:rPr>
        <w:t>giám sát công tác chỉ đạo, điều hành</w:t>
      </w:r>
      <w:r w:rsidRPr="00207DE9">
        <w:rPr>
          <w:rFonts w:ascii="Times New Roman" w:hAnsi="Times New Roman"/>
          <w:color w:val="000000"/>
          <w:sz w:val="26"/>
          <w:szCs w:val="26"/>
          <w:lang w:val="vi-VN"/>
        </w:rPr>
        <w:t xml:space="preserve"> </w:t>
      </w:r>
      <w:r w:rsidRPr="00207DE9">
        <w:rPr>
          <w:rFonts w:ascii="Times New Roman" w:hAnsi="Times New Roman"/>
          <w:color w:val="000000"/>
          <w:sz w:val="26"/>
          <w:szCs w:val="26"/>
        </w:rPr>
        <w:t>thực hiện nhiệm vụ sản xuất, tinh giảm lao động phù hợp để nâng cao trách nhiệm, hiệu quả công tác và kế hoạch hoạt động năm 2015;</w:t>
      </w:r>
    </w:p>
    <w:p w:rsidR="00193D02" w:rsidRPr="00207DE9" w:rsidRDefault="00193D02" w:rsidP="00B335A2">
      <w:pPr>
        <w:pStyle w:val="BodyText"/>
        <w:spacing w:before="120" w:after="120"/>
        <w:ind w:firstLine="450"/>
        <w:rPr>
          <w:rFonts w:ascii="Times New Roman" w:hAnsi="Times New Roman"/>
          <w:color w:val="000000"/>
          <w:sz w:val="26"/>
          <w:szCs w:val="26"/>
        </w:rPr>
      </w:pPr>
      <w:r w:rsidRPr="00207DE9">
        <w:rPr>
          <w:rFonts w:ascii="Times New Roman" w:hAnsi="Times New Roman"/>
          <w:color w:val="000000"/>
          <w:sz w:val="26"/>
          <w:szCs w:val="26"/>
        </w:rPr>
        <w:t>Tổ chức Đại hội đồng cổ đông thường niên năm 2015.</w:t>
      </w:r>
    </w:p>
    <w:p w:rsidR="00193D02" w:rsidRDefault="00193D02" w:rsidP="00B335A2">
      <w:pPr>
        <w:pStyle w:val="BodyText"/>
        <w:ind w:right="142" w:firstLine="450"/>
        <w:rPr>
          <w:rFonts w:ascii="Times New Roman" w:hAnsi="Times New Roman"/>
          <w:i/>
          <w:sz w:val="26"/>
          <w:szCs w:val="26"/>
        </w:rPr>
      </w:pPr>
      <w:r>
        <w:rPr>
          <w:rFonts w:ascii="Times New Roman" w:hAnsi="Times New Roman"/>
          <w:sz w:val="26"/>
          <w:szCs w:val="26"/>
        </w:rPr>
        <w:t>3.  Hoạt động của các tiểu ban thuộc Hội đồng quản trị</w:t>
      </w:r>
      <w:r>
        <w:rPr>
          <w:rFonts w:ascii="Times New Roman" w:hAnsi="Times New Roman"/>
          <w:i/>
          <w:sz w:val="26"/>
          <w:szCs w:val="26"/>
        </w:rPr>
        <w:t>:</w:t>
      </w:r>
    </w:p>
    <w:p w:rsidR="00193D02" w:rsidRPr="00207DE9" w:rsidRDefault="00193D02" w:rsidP="00B335A2">
      <w:pPr>
        <w:pStyle w:val="BodyText"/>
        <w:spacing w:before="120" w:after="120"/>
        <w:ind w:firstLine="450"/>
        <w:rPr>
          <w:rFonts w:ascii="Times New Roman" w:hAnsi="Times New Roman"/>
          <w:color w:val="000000"/>
          <w:sz w:val="26"/>
          <w:szCs w:val="26"/>
        </w:rPr>
      </w:pPr>
      <w:r w:rsidRPr="00207DE9">
        <w:rPr>
          <w:rFonts w:ascii="Times New Roman" w:hAnsi="Times New Roman"/>
          <w:color w:val="000000"/>
          <w:sz w:val="26"/>
          <w:szCs w:val="26"/>
        </w:rPr>
        <w:t>Bộ phận quan hệ cổ đông tích cực thực hiện công bố thông tin đầy đủ các nội dung theo quy định.</w:t>
      </w:r>
    </w:p>
    <w:p w:rsidR="00193D02" w:rsidRDefault="00193D02" w:rsidP="00B335A2">
      <w:pPr>
        <w:pStyle w:val="BodyText"/>
        <w:spacing w:after="120"/>
        <w:ind w:right="142" w:firstLine="450"/>
        <w:rPr>
          <w:rFonts w:ascii="Times New Roman" w:hAnsi="Times New Roman"/>
          <w:i/>
          <w:sz w:val="26"/>
          <w:szCs w:val="26"/>
        </w:rPr>
      </w:pPr>
      <w:r>
        <w:rPr>
          <w:rFonts w:ascii="Times New Roman" w:hAnsi="Times New Roman"/>
          <w:b/>
          <w:sz w:val="26"/>
          <w:szCs w:val="26"/>
        </w:rPr>
        <w:softHyphen/>
      </w:r>
      <w:r>
        <w:rPr>
          <w:rFonts w:ascii="Times New Roman" w:hAnsi="Times New Roman"/>
          <w:sz w:val="26"/>
          <w:szCs w:val="26"/>
        </w:rPr>
        <w:t>4.  Các Nghị quyết/Quyết định của Hội đồng quản trị(Báo cáo năm 2015)</w:t>
      </w:r>
      <w:r>
        <w:rPr>
          <w:rFonts w:ascii="Times New Roman" w:hAnsi="Times New Roman"/>
          <w:i/>
          <w:sz w:val="26"/>
          <w:szCs w:val="26"/>
        </w:rPr>
        <w:t>:</w:t>
      </w:r>
    </w:p>
    <w:tbl>
      <w:tblPr>
        <w:tblW w:w="93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445"/>
        <w:gridCol w:w="1440"/>
        <w:gridCol w:w="4770"/>
      </w:tblGrid>
      <w:tr w:rsidR="00193D02" w:rsidRPr="00781D3F" w:rsidTr="00781D3F">
        <w:trPr>
          <w:trHeight w:val="277"/>
        </w:trPr>
        <w:tc>
          <w:tcPr>
            <w:tcW w:w="653" w:type="dxa"/>
          </w:tcPr>
          <w:p w:rsidR="00193D02" w:rsidRPr="00781D3F" w:rsidRDefault="00193D02" w:rsidP="00781D3F">
            <w:pPr>
              <w:pStyle w:val="BodyText"/>
              <w:ind w:right="142"/>
              <w:jc w:val="center"/>
              <w:rPr>
                <w:rFonts w:ascii="Times New Roman" w:hAnsi="Times New Roman"/>
                <w:b/>
                <w:sz w:val="24"/>
                <w:szCs w:val="24"/>
              </w:rPr>
            </w:pPr>
            <w:r w:rsidRPr="00781D3F">
              <w:rPr>
                <w:rFonts w:ascii="Times New Roman" w:hAnsi="Times New Roman"/>
                <w:b/>
                <w:sz w:val="24"/>
                <w:szCs w:val="24"/>
              </w:rPr>
              <w:t>Stt</w:t>
            </w:r>
          </w:p>
          <w:p w:rsidR="00193D02" w:rsidRPr="00781D3F" w:rsidRDefault="00193D02" w:rsidP="00781D3F">
            <w:pPr>
              <w:pStyle w:val="BodyText"/>
              <w:ind w:right="142"/>
              <w:jc w:val="center"/>
              <w:rPr>
                <w:rFonts w:ascii="Times New Roman" w:hAnsi="Times New Roman"/>
                <w:b/>
                <w:sz w:val="24"/>
                <w:szCs w:val="24"/>
              </w:rPr>
            </w:pPr>
          </w:p>
        </w:tc>
        <w:tc>
          <w:tcPr>
            <w:tcW w:w="2445" w:type="dxa"/>
          </w:tcPr>
          <w:p w:rsidR="00193D02" w:rsidRPr="00781D3F" w:rsidRDefault="00193D02" w:rsidP="00781D3F">
            <w:pPr>
              <w:pStyle w:val="BodyText"/>
              <w:ind w:right="142"/>
              <w:jc w:val="center"/>
              <w:rPr>
                <w:rFonts w:ascii="Times New Roman" w:hAnsi="Times New Roman"/>
                <w:b/>
                <w:sz w:val="24"/>
                <w:szCs w:val="24"/>
              </w:rPr>
            </w:pPr>
            <w:r w:rsidRPr="00781D3F">
              <w:rPr>
                <w:rFonts w:ascii="Times New Roman" w:hAnsi="Times New Roman"/>
                <w:b/>
                <w:sz w:val="24"/>
                <w:szCs w:val="24"/>
              </w:rPr>
              <w:t>Số Nghị quyết/ Quyết định</w:t>
            </w:r>
          </w:p>
          <w:p w:rsidR="00193D02" w:rsidRPr="00781D3F" w:rsidRDefault="00193D02" w:rsidP="00781D3F">
            <w:pPr>
              <w:pStyle w:val="BodyText"/>
              <w:ind w:right="142"/>
              <w:jc w:val="center"/>
              <w:rPr>
                <w:rFonts w:ascii="Times New Roman" w:hAnsi="Times New Roman"/>
                <w:b/>
                <w:i/>
                <w:sz w:val="24"/>
                <w:szCs w:val="24"/>
              </w:rPr>
            </w:pPr>
          </w:p>
        </w:tc>
        <w:tc>
          <w:tcPr>
            <w:tcW w:w="1440" w:type="dxa"/>
          </w:tcPr>
          <w:p w:rsidR="00193D02" w:rsidRPr="00781D3F" w:rsidRDefault="00193D02" w:rsidP="00781D3F">
            <w:pPr>
              <w:pStyle w:val="BodyText"/>
              <w:ind w:right="142"/>
              <w:jc w:val="center"/>
              <w:rPr>
                <w:rFonts w:ascii="Times New Roman" w:hAnsi="Times New Roman"/>
                <w:b/>
                <w:sz w:val="24"/>
                <w:szCs w:val="24"/>
              </w:rPr>
            </w:pPr>
            <w:r w:rsidRPr="00781D3F">
              <w:rPr>
                <w:rFonts w:ascii="Times New Roman" w:hAnsi="Times New Roman"/>
                <w:b/>
                <w:sz w:val="24"/>
                <w:szCs w:val="24"/>
              </w:rPr>
              <w:t>Ngày tháng năm</w:t>
            </w:r>
          </w:p>
          <w:p w:rsidR="00193D02" w:rsidRPr="00781D3F" w:rsidRDefault="00193D02" w:rsidP="00781D3F">
            <w:pPr>
              <w:pStyle w:val="BodyText"/>
              <w:ind w:right="142"/>
              <w:jc w:val="center"/>
              <w:rPr>
                <w:rFonts w:ascii="Times New Roman" w:hAnsi="Times New Roman"/>
                <w:b/>
                <w:i/>
                <w:sz w:val="24"/>
                <w:szCs w:val="24"/>
              </w:rPr>
            </w:pPr>
          </w:p>
        </w:tc>
        <w:tc>
          <w:tcPr>
            <w:tcW w:w="4770" w:type="dxa"/>
          </w:tcPr>
          <w:p w:rsidR="00193D02" w:rsidRPr="00781D3F" w:rsidRDefault="00193D02" w:rsidP="00781D3F">
            <w:pPr>
              <w:pStyle w:val="BodyText"/>
              <w:ind w:right="142"/>
              <w:jc w:val="center"/>
              <w:rPr>
                <w:rFonts w:ascii="Times New Roman" w:hAnsi="Times New Roman"/>
                <w:b/>
                <w:sz w:val="24"/>
                <w:szCs w:val="24"/>
              </w:rPr>
            </w:pPr>
            <w:r w:rsidRPr="00781D3F">
              <w:rPr>
                <w:rFonts w:ascii="Times New Roman" w:hAnsi="Times New Roman"/>
                <w:b/>
                <w:sz w:val="24"/>
                <w:szCs w:val="24"/>
              </w:rPr>
              <w:t>Nội dung</w:t>
            </w:r>
          </w:p>
          <w:p w:rsidR="00193D02" w:rsidRPr="00781D3F" w:rsidRDefault="00193D02" w:rsidP="00781D3F">
            <w:pPr>
              <w:pStyle w:val="BodyText"/>
              <w:ind w:right="142"/>
              <w:jc w:val="center"/>
              <w:rPr>
                <w:rFonts w:ascii="Times New Roman" w:hAnsi="Times New Roman"/>
                <w:b/>
                <w:i/>
                <w:sz w:val="24"/>
                <w:szCs w:val="24"/>
              </w:rPr>
            </w:pPr>
          </w:p>
        </w:tc>
      </w:tr>
      <w:tr w:rsidR="00193D02" w:rsidTr="00781D3F">
        <w:trPr>
          <w:trHeight w:val="308"/>
        </w:trPr>
        <w:tc>
          <w:tcPr>
            <w:tcW w:w="653"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1</w:t>
            </w:r>
          </w:p>
        </w:tc>
        <w:tc>
          <w:tcPr>
            <w:tcW w:w="2445" w:type="dxa"/>
          </w:tcPr>
          <w:p w:rsidR="00193D02" w:rsidRPr="001E16AE" w:rsidRDefault="00193D02" w:rsidP="00614D31">
            <w:pPr>
              <w:pStyle w:val="BodyText"/>
              <w:tabs>
                <w:tab w:val="left" w:pos="2098"/>
              </w:tabs>
              <w:spacing w:before="80" w:after="80"/>
              <w:rPr>
                <w:rFonts w:ascii="Times New Roman" w:hAnsi="Times New Roman"/>
                <w:color w:val="000000"/>
                <w:sz w:val="24"/>
                <w:szCs w:val="24"/>
              </w:rPr>
            </w:pPr>
            <w:r>
              <w:rPr>
                <w:rFonts w:ascii="Times New Roman" w:hAnsi="Times New Roman"/>
                <w:color w:val="000000"/>
                <w:sz w:val="24"/>
                <w:szCs w:val="24"/>
              </w:rPr>
              <w:t>01/2015/NQ- H</w:t>
            </w:r>
            <w:r w:rsidRPr="001E16AE">
              <w:rPr>
                <w:rFonts w:ascii="Times New Roman" w:hAnsi="Times New Roman"/>
                <w:color w:val="000000"/>
                <w:sz w:val="24"/>
                <w:szCs w:val="24"/>
              </w:rPr>
              <w:t>Ð</w:t>
            </w:r>
            <w:r>
              <w:rPr>
                <w:rFonts w:ascii="Times New Roman" w:hAnsi="Times New Roman"/>
                <w:color w:val="000000"/>
                <w:sz w:val="24"/>
                <w:szCs w:val="24"/>
              </w:rPr>
              <w:t>QT</w:t>
            </w:r>
          </w:p>
          <w:p w:rsidR="00193D02" w:rsidRPr="007747D7" w:rsidRDefault="00193D02" w:rsidP="00614D31">
            <w:pPr>
              <w:pStyle w:val="BodyText"/>
              <w:spacing w:before="80" w:after="80"/>
              <w:rPr>
                <w:rFonts w:ascii="Times New Roman" w:hAnsi="Times New Roman"/>
                <w:color w:val="000000"/>
                <w:sz w:val="24"/>
                <w:szCs w:val="24"/>
              </w:rPr>
            </w:pPr>
          </w:p>
        </w:tc>
        <w:tc>
          <w:tcPr>
            <w:tcW w:w="1440" w:type="dxa"/>
          </w:tcPr>
          <w:p w:rsidR="00193D02" w:rsidRPr="007747D7"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27/3/2015</w:t>
            </w:r>
          </w:p>
        </w:tc>
        <w:tc>
          <w:tcPr>
            <w:tcW w:w="4770"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Đánh giá kết quả hoạt động SXKD năm 2014, kế hoạch hoạt động năm 2015</w:t>
            </w:r>
          </w:p>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 Thống nhất nội dung, chương trình, thời gian ĐHĐCĐ thường niên năm 2015.</w:t>
            </w:r>
          </w:p>
          <w:p w:rsidR="00193D02" w:rsidRPr="001E16AE"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 Một số nội dung khác…</w:t>
            </w:r>
          </w:p>
        </w:tc>
      </w:tr>
      <w:tr w:rsidR="00193D02" w:rsidTr="00781D3F">
        <w:trPr>
          <w:trHeight w:val="308"/>
        </w:trPr>
        <w:tc>
          <w:tcPr>
            <w:tcW w:w="653"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2</w:t>
            </w:r>
          </w:p>
        </w:tc>
        <w:tc>
          <w:tcPr>
            <w:tcW w:w="2445" w:type="dxa"/>
          </w:tcPr>
          <w:p w:rsidR="00193D02" w:rsidRDefault="00193D02" w:rsidP="008A50EF">
            <w:pPr>
              <w:pStyle w:val="BodyText"/>
              <w:spacing w:before="80" w:after="80"/>
              <w:rPr>
                <w:rFonts w:ascii="Times New Roman" w:hAnsi="Times New Roman"/>
                <w:color w:val="000000"/>
                <w:sz w:val="24"/>
                <w:szCs w:val="24"/>
              </w:rPr>
            </w:pPr>
            <w:r>
              <w:rPr>
                <w:rFonts w:ascii="Times New Roman" w:hAnsi="Times New Roman"/>
                <w:color w:val="000000"/>
                <w:sz w:val="24"/>
                <w:szCs w:val="24"/>
              </w:rPr>
              <w:t>02/2015/NQ-ĐHCĐ</w:t>
            </w:r>
          </w:p>
        </w:tc>
        <w:tc>
          <w:tcPr>
            <w:tcW w:w="1440"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21/5/2015</w:t>
            </w:r>
          </w:p>
        </w:tc>
        <w:tc>
          <w:tcPr>
            <w:tcW w:w="4770"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Tổ chức ĐHĐCĐ thường niên năm 2015 (Lần 1, 2)</w:t>
            </w:r>
          </w:p>
        </w:tc>
      </w:tr>
      <w:tr w:rsidR="00193D02" w:rsidTr="00781D3F">
        <w:trPr>
          <w:trHeight w:val="308"/>
        </w:trPr>
        <w:tc>
          <w:tcPr>
            <w:tcW w:w="653"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3</w:t>
            </w:r>
          </w:p>
        </w:tc>
        <w:tc>
          <w:tcPr>
            <w:tcW w:w="2445"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01QĐ/HĐQT-CTMG</w:t>
            </w:r>
          </w:p>
        </w:tc>
        <w:tc>
          <w:tcPr>
            <w:tcW w:w="1440"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19/8/2015</w:t>
            </w:r>
          </w:p>
        </w:tc>
        <w:tc>
          <w:tcPr>
            <w:tcW w:w="4770"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Miễn nhiệm Kế toán trưởng để chuyển công tác</w:t>
            </w:r>
          </w:p>
        </w:tc>
      </w:tr>
      <w:tr w:rsidR="00193D02" w:rsidTr="00781D3F">
        <w:trPr>
          <w:trHeight w:val="308"/>
        </w:trPr>
        <w:tc>
          <w:tcPr>
            <w:tcW w:w="653"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4</w:t>
            </w:r>
          </w:p>
        </w:tc>
        <w:tc>
          <w:tcPr>
            <w:tcW w:w="2445"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02QĐ/HĐQT-CTMG</w:t>
            </w:r>
          </w:p>
        </w:tc>
        <w:tc>
          <w:tcPr>
            <w:tcW w:w="1440"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21/8/2015</w:t>
            </w:r>
          </w:p>
        </w:tc>
        <w:tc>
          <w:tcPr>
            <w:tcW w:w="4770"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Bổ nhiệm người phụ trách Kế toán Công ty</w:t>
            </w:r>
          </w:p>
        </w:tc>
      </w:tr>
      <w:tr w:rsidR="00193D02" w:rsidTr="00781D3F">
        <w:trPr>
          <w:trHeight w:val="308"/>
        </w:trPr>
        <w:tc>
          <w:tcPr>
            <w:tcW w:w="653"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5</w:t>
            </w:r>
          </w:p>
        </w:tc>
        <w:tc>
          <w:tcPr>
            <w:tcW w:w="2445"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01NQ/HĐQT-CTMG</w:t>
            </w:r>
          </w:p>
        </w:tc>
        <w:tc>
          <w:tcPr>
            <w:tcW w:w="1440"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08/01/2016</w:t>
            </w:r>
          </w:p>
        </w:tc>
        <w:tc>
          <w:tcPr>
            <w:tcW w:w="4770" w:type="dxa"/>
          </w:tcPr>
          <w:p w:rsidR="00193D02" w:rsidRDefault="00193D02" w:rsidP="00614D31">
            <w:pPr>
              <w:pStyle w:val="BodyText"/>
              <w:spacing w:before="80" w:after="80"/>
              <w:rPr>
                <w:rFonts w:ascii="Times New Roman" w:hAnsi="Times New Roman"/>
                <w:color w:val="000000"/>
                <w:sz w:val="24"/>
                <w:szCs w:val="24"/>
              </w:rPr>
            </w:pPr>
            <w:r>
              <w:rPr>
                <w:rFonts w:ascii="Times New Roman" w:hAnsi="Times New Roman"/>
                <w:color w:val="000000"/>
                <w:sz w:val="24"/>
                <w:szCs w:val="24"/>
              </w:rPr>
              <w:t>Nghị quyết thông qua chủ trương thanh lý xe tải ben và máy xúc đào bánh xích, đã hết khấu hao không có nhu cầu sử dụng..;</w:t>
            </w:r>
          </w:p>
        </w:tc>
      </w:tr>
    </w:tbl>
    <w:p w:rsidR="00193D02" w:rsidRDefault="00193D02" w:rsidP="001A5746">
      <w:pPr>
        <w:pStyle w:val="BodyText"/>
        <w:numPr>
          <w:ilvl w:val="0"/>
          <w:numId w:val="2"/>
        </w:numPr>
        <w:tabs>
          <w:tab w:val="left" w:pos="993"/>
        </w:tabs>
        <w:spacing w:before="120"/>
        <w:ind w:left="0" w:right="142" w:firstLine="567"/>
        <w:rPr>
          <w:rFonts w:ascii="Times New Roman" w:hAnsi="Times New Roman"/>
          <w:i/>
          <w:sz w:val="26"/>
          <w:szCs w:val="26"/>
        </w:rPr>
      </w:pPr>
      <w:r>
        <w:rPr>
          <w:rFonts w:ascii="Times New Roman" w:hAnsi="Times New Roman"/>
          <w:b/>
          <w:sz w:val="26"/>
          <w:szCs w:val="26"/>
        </w:rPr>
        <w:t xml:space="preserve"> Ban kiểm soát</w:t>
      </w:r>
      <w:r>
        <w:rPr>
          <w:rFonts w:ascii="Times New Roman" w:hAnsi="Times New Roman"/>
          <w:sz w:val="26"/>
          <w:szCs w:val="26"/>
        </w:rPr>
        <w:t xml:space="preserve"> (Báo cáo năm 2015)</w:t>
      </w:r>
      <w:r>
        <w:rPr>
          <w:rFonts w:ascii="Times New Roman" w:hAnsi="Times New Roman"/>
          <w:i/>
          <w:sz w:val="26"/>
          <w:szCs w:val="26"/>
        </w:rPr>
        <w:t>:</w:t>
      </w:r>
    </w:p>
    <w:p w:rsidR="00193D02" w:rsidRDefault="00193D02" w:rsidP="001A5746">
      <w:pPr>
        <w:pStyle w:val="BodyText"/>
        <w:numPr>
          <w:ilvl w:val="0"/>
          <w:numId w:val="4"/>
        </w:numPr>
        <w:tabs>
          <w:tab w:val="left" w:pos="851"/>
        </w:tabs>
        <w:ind w:left="0" w:right="142" w:firstLine="567"/>
        <w:rPr>
          <w:rFonts w:ascii="Times New Roman" w:hAnsi="Times New Roman"/>
          <w:i/>
          <w:sz w:val="26"/>
          <w:szCs w:val="26"/>
        </w:rPr>
      </w:pPr>
      <w:r>
        <w:rPr>
          <w:rFonts w:ascii="Times New Roman" w:hAnsi="Times New Roman"/>
          <w:sz w:val="26"/>
          <w:szCs w:val="26"/>
        </w:rPr>
        <w:t>Thông tin về thành viên Ban Kiểm soát (BKS):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90"/>
        <w:gridCol w:w="1440"/>
        <w:gridCol w:w="1710"/>
        <w:gridCol w:w="1080"/>
        <w:gridCol w:w="870"/>
        <w:gridCol w:w="1650"/>
      </w:tblGrid>
      <w:tr w:rsidR="00193D02" w:rsidRPr="0027069D" w:rsidTr="0027069D">
        <w:trPr>
          <w:trHeight w:val="583"/>
        </w:trPr>
        <w:tc>
          <w:tcPr>
            <w:tcW w:w="710" w:type="dxa"/>
            <w:vAlign w:val="center"/>
          </w:tcPr>
          <w:p w:rsidR="00193D02" w:rsidRPr="0027069D" w:rsidRDefault="00193D02" w:rsidP="0027069D">
            <w:pPr>
              <w:pStyle w:val="BodyText"/>
              <w:ind w:right="142"/>
              <w:jc w:val="center"/>
              <w:rPr>
                <w:rFonts w:ascii="Times New Roman" w:hAnsi="Times New Roman"/>
                <w:b/>
                <w:sz w:val="24"/>
                <w:szCs w:val="24"/>
              </w:rPr>
            </w:pPr>
            <w:r w:rsidRPr="0027069D">
              <w:rPr>
                <w:rFonts w:ascii="Times New Roman" w:hAnsi="Times New Roman"/>
                <w:b/>
                <w:sz w:val="24"/>
                <w:szCs w:val="24"/>
              </w:rPr>
              <w:t>Stt</w:t>
            </w:r>
          </w:p>
          <w:p w:rsidR="00193D02" w:rsidRPr="0027069D" w:rsidRDefault="00193D02" w:rsidP="0027069D">
            <w:pPr>
              <w:pStyle w:val="BodyText"/>
              <w:ind w:right="-108"/>
              <w:jc w:val="center"/>
              <w:rPr>
                <w:rFonts w:ascii="Times New Roman" w:hAnsi="Times New Roman"/>
                <w:b/>
                <w:i/>
                <w:sz w:val="24"/>
                <w:szCs w:val="24"/>
              </w:rPr>
            </w:pPr>
          </w:p>
        </w:tc>
        <w:tc>
          <w:tcPr>
            <w:tcW w:w="1990" w:type="dxa"/>
            <w:vAlign w:val="center"/>
          </w:tcPr>
          <w:p w:rsidR="00193D02" w:rsidRPr="0027069D" w:rsidRDefault="00193D02" w:rsidP="0027069D">
            <w:pPr>
              <w:pStyle w:val="BodyText"/>
              <w:ind w:right="142"/>
              <w:jc w:val="center"/>
              <w:rPr>
                <w:rFonts w:ascii="Times New Roman" w:hAnsi="Times New Roman"/>
                <w:b/>
                <w:sz w:val="24"/>
                <w:szCs w:val="24"/>
              </w:rPr>
            </w:pPr>
            <w:r w:rsidRPr="0027069D">
              <w:rPr>
                <w:rFonts w:ascii="Times New Roman" w:hAnsi="Times New Roman"/>
                <w:b/>
                <w:sz w:val="24"/>
                <w:szCs w:val="24"/>
              </w:rPr>
              <w:t>Thành viên BKS</w:t>
            </w:r>
          </w:p>
          <w:p w:rsidR="00193D02" w:rsidRPr="0027069D" w:rsidRDefault="00193D02" w:rsidP="0027069D">
            <w:pPr>
              <w:pStyle w:val="BodyText"/>
              <w:ind w:left="-108"/>
              <w:jc w:val="center"/>
              <w:rPr>
                <w:rFonts w:ascii="Times New Roman" w:hAnsi="Times New Roman"/>
                <w:b/>
                <w:sz w:val="24"/>
                <w:szCs w:val="24"/>
              </w:rPr>
            </w:pPr>
          </w:p>
        </w:tc>
        <w:tc>
          <w:tcPr>
            <w:tcW w:w="1440" w:type="dxa"/>
            <w:vAlign w:val="center"/>
          </w:tcPr>
          <w:p w:rsidR="00193D02" w:rsidRPr="0027069D" w:rsidRDefault="00193D02" w:rsidP="0027069D">
            <w:pPr>
              <w:pStyle w:val="BodyText"/>
              <w:ind w:right="142"/>
              <w:jc w:val="center"/>
              <w:rPr>
                <w:rFonts w:ascii="Times New Roman" w:hAnsi="Times New Roman"/>
                <w:b/>
                <w:sz w:val="24"/>
                <w:szCs w:val="24"/>
              </w:rPr>
            </w:pPr>
            <w:r w:rsidRPr="0027069D">
              <w:rPr>
                <w:rFonts w:ascii="Times New Roman" w:hAnsi="Times New Roman"/>
                <w:b/>
                <w:sz w:val="24"/>
                <w:szCs w:val="24"/>
              </w:rPr>
              <w:t>Chức vụ</w:t>
            </w:r>
          </w:p>
          <w:p w:rsidR="00193D02" w:rsidRPr="0027069D" w:rsidRDefault="00193D02" w:rsidP="0027069D">
            <w:pPr>
              <w:pStyle w:val="BodyText"/>
              <w:ind w:right="34"/>
              <w:jc w:val="center"/>
              <w:rPr>
                <w:rFonts w:ascii="Times New Roman" w:hAnsi="Times New Roman"/>
                <w:b/>
                <w:sz w:val="24"/>
                <w:szCs w:val="24"/>
              </w:rPr>
            </w:pPr>
          </w:p>
        </w:tc>
        <w:tc>
          <w:tcPr>
            <w:tcW w:w="1710" w:type="dxa"/>
            <w:vAlign w:val="center"/>
          </w:tcPr>
          <w:p w:rsidR="00193D02" w:rsidRPr="0027069D" w:rsidRDefault="00193D02" w:rsidP="0027069D">
            <w:pPr>
              <w:pStyle w:val="BodyText"/>
              <w:ind w:right="142"/>
              <w:jc w:val="center"/>
              <w:rPr>
                <w:rFonts w:ascii="Times New Roman" w:hAnsi="Times New Roman"/>
                <w:b/>
                <w:sz w:val="24"/>
                <w:szCs w:val="24"/>
              </w:rPr>
            </w:pPr>
            <w:r w:rsidRPr="0027069D">
              <w:rPr>
                <w:rFonts w:ascii="Times New Roman" w:hAnsi="Times New Roman"/>
                <w:b/>
                <w:sz w:val="24"/>
                <w:szCs w:val="24"/>
              </w:rPr>
              <w:t>Ngày bắt đầu/không còn là thành viên BKS</w:t>
            </w:r>
          </w:p>
          <w:p w:rsidR="00193D02" w:rsidRPr="0027069D" w:rsidRDefault="00193D02" w:rsidP="0027069D">
            <w:pPr>
              <w:pStyle w:val="BodyText"/>
              <w:ind w:right="34"/>
              <w:jc w:val="center"/>
              <w:rPr>
                <w:rFonts w:ascii="Times New Roman" w:hAnsi="Times New Roman"/>
                <w:b/>
                <w:sz w:val="24"/>
                <w:szCs w:val="24"/>
              </w:rPr>
            </w:pPr>
          </w:p>
        </w:tc>
        <w:tc>
          <w:tcPr>
            <w:tcW w:w="1080" w:type="dxa"/>
            <w:vAlign w:val="center"/>
          </w:tcPr>
          <w:p w:rsidR="00193D02" w:rsidRPr="0027069D" w:rsidRDefault="00193D02" w:rsidP="0027069D">
            <w:pPr>
              <w:pStyle w:val="BodyText"/>
              <w:ind w:right="142"/>
              <w:jc w:val="center"/>
              <w:rPr>
                <w:rFonts w:ascii="Times New Roman" w:hAnsi="Times New Roman"/>
                <w:b/>
                <w:sz w:val="24"/>
                <w:szCs w:val="24"/>
              </w:rPr>
            </w:pPr>
            <w:r w:rsidRPr="0027069D">
              <w:rPr>
                <w:rFonts w:ascii="Times New Roman" w:hAnsi="Times New Roman"/>
                <w:b/>
                <w:sz w:val="24"/>
                <w:szCs w:val="24"/>
              </w:rPr>
              <w:t>Số buổi họp BKS tham dự</w:t>
            </w:r>
          </w:p>
          <w:p w:rsidR="00193D02" w:rsidRPr="0027069D" w:rsidRDefault="00193D02" w:rsidP="0027069D">
            <w:pPr>
              <w:pStyle w:val="BodyText"/>
              <w:ind w:right="142"/>
              <w:jc w:val="center"/>
              <w:rPr>
                <w:rFonts w:ascii="Times New Roman" w:hAnsi="Times New Roman"/>
                <w:b/>
                <w:sz w:val="24"/>
                <w:szCs w:val="24"/>
              </w:rPr>
            </w:pPr>
          </w:p>
        </w:tc>
        <w:tc>
          <w:tcPr>
            <w:tcW w:w="870" w:type="dxa"/>
            <w:vAlign w:val="center"/>
          </w:tcPr>
          <w:p w:rsidR="00193D02" w:rsidRPr="0027069D" w:rsidRDefault="00193D02" w:rsidP="00E41878">
            <w:pPr>
              <w:pStyle w:val="BodyText"/>
              <w:jc w:val="center"/>
              <w:rPr>
                <w:rFonts w:ascii="Times New Roman" w:hAnsi="Times New Roman"/>
                <w:b/>
                <w:sz w:val="24"/>
                <w:szCs w:val="24"/>
              </w:rPr>
            </w:pPr>
            <w:r w:rsidRPr="0027069D">
              <w:rPr>
                <w:rFonts w:ascii="Times New Roman" w:hAnsi="Times New Roman"/>
                <w:b/>
                <w:sz w:val="24"/>
                <w:szCs w:val="24"/>
              </w:rPr>
              <w:t>Tỷ lệ tham dự họp</w:t>
            </w:r>
          </w:p>
          <w:p w:rsidR="00193D02" w:rsidRPr="0027069D" w:rsidRDefault="00193D02" w:rsidP="0027069D">
            <w:pPr>
              <w:pStyle w:val="BodyText"/>
              <w:ind w:right="142"/>
              <w:jc w:val="center"/>
              <w:rPr>
                <w:rFonts w:ascii="Times New Roman" w:hAnsi="Times New Roman"/>
                <w:b/>
                <w:sz w:val="24"/>
                <w:szCs w:val="24"/>
              </w:rPr>
            </w:pPr>
          </w:p>
        </w:tc>
        <w:tc>
          <w:tcPr>
            <w:tcW w:w="1650" w:type="dxa"/>
            <w:vAlign w:val="center"/>
          </w:tcPr>
          <w:p w:rsidR="00193D02" w:rsidRPr="0027069D" w:rsidRDefault="00193D02" w:rsidP="0027069D">
            <w:pPr>
              <w:pStyle w:val="BodyText"/>
              <w:ind w:right="142"/>
              <w:jc w:val="center"/>
              <w:rPr>
                <w:rFonts w:ascii="Times New Roman" w:hAnsi="Times New Roman"/>
                <w:b/>
                <w:sz w:val="24"/>
                <w:szCs w:val="24"/>
              </w:rPr>
            </w:pPr>
            <w:r w:rsidRPr="0027069D">
              <w:rPr>
                <w:rFonts w:ascii="Times New Roman" w:hAnsi="Times New Roman"/>
                <w:b/>
                <w:sz w:val="24"/>
                <w:szCs w:val="24"/>
              </w:rPr>
              <w:t>Lý do không tham dự họp</w:t>
            </w:r>
          </w:p>
          <w:p w:rsidR="00193D02" w:rsidRPr="0027069D" w:rsidRDefault="00193D02" w:rsidP="0027069D">
            <w:pPr>
              <w:pStyle w:val="BodyText"/>
              <w:ind w:right="142"/>
              <w:jc w:val="center"/>
              <w:rPr>
                <w:rFonts w:ascii="Times New Roman" w:hAnsi="Times New Roman"/>
                <w:b/>
                <w:sz w:val="24"/>
                <w:szCs w:val="24"/>
              </w:rPr>
            </w:pPr>
          </w:p>
        </w:tc>
      </w:tr>
      <w:tr w:rsidR="00193D02" w:rsidTr="0027069D">
        <w:trPr>
          <w:trHeight w:val="314"/>
        </w:trPr>
        <w:tc>
          <w:tcPr>
            <w:tcW w:w="710"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1</w:t>
            </w:r>
          </w:p>
        </w:tc>
        <w:tc>
          <w:tcPr>
            <w:tcW w:w="1990"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Phùng Văn Tân</w:t>
            </w:r>
          </w:p>
        </w:tc>
        <w:tc>
          <w:tcPr>
            <w:tcW w:w="1440" w:type="dxa"/>
          </w:tcPr>
          <w:p w:rsidR="00193D02" w:rsidRDefault="00193D02" w:rsidP="00781D3F">
            <w:pPr>
              <w:pStyle w:val="BodyText"/>
              <w:tabs>
                <w:tab w:val="left" w:pos="1224"/>
              </w:tabs>
              <w:rPr>
                <w:rFonts w:ascii="Times New Roman" w:hAnsi="Times New Roman"/>
                <w:sz w:val="24"/>
                <w:szCs w:val="24"/>
              </w:rPr>
            </w:pPr>
            <w:r>
              <w:rPr>
                <w:rFonts w:ascii="Times New Roman" w:hAnsi="Times New Roman"/>
                <w:sz w:val="24"/>
                <w:szCs w:val="24"/>
              </w:rPr>
              <w:t>Trưởng ban</w:t>
            </w:r>
          </w:p>
        </w:tc>
        <w:tc>
          <w:tcPr>
            <w:tcW w:w="1710" w:type="dxa"/>
          </w:tcPr>
          <w:p w:rsidR="00193D02" w:rsidRDefault="00193D02" w:rsidP="00156748">
            <w:pPr>
              <w:pStyle w:val="BodyText"/>
              <w:ind w:right="142"/>
              <w:rPr>
                <w:rFonts w:ascii="Times New Roman" w:hAnsi="Times New Roman"/>
                <w:sz w:val="24"/>
                <w:szCs w:val="24"/>
              </w:rPr>
            </w:pPr>
          </w:p>
        </w:tc>
        <w:tc>
          <w:tcPr>
            <w:tcW w:w="1080"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4/4</w:t>
            </w:r>
          </w:p>
        </w:tc>
        <w:tc>
          <w:tcPr>
            <w:tcW w:w="870" w:type="dxa"/>
          </w:tcPr>
          <w:p w:rsidR="00193D02" w:rsidRDefault="00193D02" w:rsidP="00781D3F">
            <w:pPr>
              <w:pStyle w:val="BodyText"/>
              <w:rPr>
                <w:rFonts w:ascii="Times New Roman" w:hAnsi="Times New Roman"/>
                <w:sz w:val="24"/>
                <w:szCs w:val="24"/>
              </w:rPr>
            </w:pPr>
            <w:r>
              <w:rPr>
                <w:rFonts w:ascii="Times New Roman" w:hAnsi="Times New Roman"/>
                <w:sz w:val="24"/>
                <w:szCs w:val="24"/>
              </w:rPr>
              <w:t>100%</w:t>
            </w:r>
          </w:p>
        </w:tc>
        <w:tc>
          <w:tcPr>
            <w:tcW w:w="1650" w:type="dxa"/>
          </w:tcPr>
          <w:p w:rsidR="00193D02" w:rsidRDefault="00193D02" w:rsidP="00156748">
            <w:pPr>
              <w:pStyle w:val="BodyText"/>
              <w:ind w:right="142"/>
              <w:rPr>
                <w:rFonts w:ascii="Times New Roman" w:hAnsi="Times New Roman"/>
                <w:sz w:val="24"/>
                <w:szCs w:val="24"/>
              </w:rPr>
            </w:pPr>
          </w:p>
        </w:tc>
      </w:tr>
      <w:tr w:rsidR="00193D02" w:rsidTr="0027069D">
        <w:trPr>
          <w:trHeight w:val="314"/>
        </w:trPr>
        <w:tc>
          <w:tcPr>
            <w:tcW w:w="710"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2</w:t>
            </w:r>
          </w:p>
        </w:tc>
        <w:tc>
          <w:tcPr>
            <w:tcW w:w="1990"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Đào Anh Dũng</w:t>
            </w:r>
          </w:p>
        </w:tc>
        <w:tc>
          <w:tcPr>
            <w:tcW w:w="1440"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TV</w:t>
            </w:r>
          </w:p>
        </w:tc>
        <w:tc>
          <w:tcPr>
            <w:tcW w:w="1710" w:type="dxa"/>
          </w:tcPr>
          <w:p w:rsidR="00193D02" w:rsidRDefault="00193D02" w:rsidP="00156748">
            <w:pPr>
              <w:pStyle w:val="BodyText"/>
              <w:ind w:right="142"/>
              <w:rPr>
                <w:rFonts w:ascii="Times New Roman" w:hAnsi="Times New Roman"/>
                <w:sz w:val="24"/>
                <w:szCs w:val="24"/>
              </w:rPr>
            </w:pPr>
          </w:p>
        </w:tc>
        <w:tc>
          <w:tcPr>
            <w:tcW w:w="1080" w:type="dxa"/>
          </w:tcPr>
          <w:p w:rsidR="00193D02" w:rsidRDefault="00193D02" w:rsidP="00156748">
            <w:pPr>
              <w:pStyle w:val="BodyText"/>
              <w:ind w:right="142"/>
              <w:rPr>
                <w:rFonts w:ascii="Times New Roman" w:hAnsi="Times New Roman"/>
                <w:sz w:val="24"/>
                <w:szCs w:val="24"/>
              </w:rPr>
            </w:pPr>
            <w:r>
              <w:rPr>
                <w:rFonts w:ascii="Times New Roman" w:hAnsi="Times New Roman"/>
                <w:sz w:val="24"/>
                <w:szCs w:val="24"/>
              </w:rPr>
              <w:t>4/4</w:t>
            </w:r>
          </w:p>
        </w:tc>
        <w:tc>
          <w:tcPr>
            <w:tcW w:w="870" w:type="dxa"/>
          </w:tcPr>
          <w:p w:rsidR="00193D02" w:rsidRDefault="00193D02" w:rsidP="00781D3F">
            <w:pPr>
              <w:pStyle w:val="BodyText"/>
              <w:ind w:right="-48"/>
              <w:rPr>
                <w:rFonts w:ascii="Times New Roman" w:hAnsi="Times New Roman"/>
                <w:sz w:val="24"/>
                <w:szCs w:val="24"/>
              </w:rPr>
            </w:pPr>
            <w:r>
              <w:rPr>
                <w:rFonts w:ascii="Times New Roman" w:hAnsi="Times New Roman"/>
                <w:sz w:val="24"/>
                <w:szCs w:val="24"/>
              </w:rPr>
              <w:t>100%</w:t>
            </w:r>
          </w:p>
        </w:tc>
        <w:tc>
          <w:tcPr>
            <w:tcW w:w="1650" w:type="dxa"/>
          </w:tcPr>
          <w:p w:rsidR="00193D02" w:rsidRDefault="00193D02" w:rsidP="00156748">
            <w:pPr>
              <w:pStyle w:val="BodyText"/>
              <w:ind w:right="142"/>
              <w:rPr>
                <w:rFonts w:ascii="Times New Roman" w:hAnsi="Times New Roman"/>
                <w:sz w:val="24"/>
                <w:szCs w:val="24"/>
              </w:rPr>
            </w:pPr>
          </w:p>
        </w:tc>
      </w:tr>
    </w:tbl>
    <w:p w:rsidR="00193D02" w:rsidRDefault="00193D02" w:rsidP="00B335A2">
      <w:pPr>
        <w:pStyle w:val="BodyText"/>
        <w:tabs>
          <w:tab w:val="left" w:pos="851"/>
        </w:tabs>
        <w:spacing w:before="120"/>
        <w:ind w:right="142" w:firstLine="270"/>
        <w:rPr>
          <w:rFonts w:ascii="Times New Roman" w:hAnsi="Times New Roman"/>
          <w:sz w:val="26"/>
          <w:szCs w:val="26"/>
        </w:rPr>
      </w:pPr>
      <w:r>
        <w:rPr>
          <w:rFonts w:ascii="Times New Roman" w:hAnsi="Times New Roman"/>
          <w:sz w:val="26"/>
          <w:szCs w:val="26"/>
        </w:rPr>
        <w:t>2. Hoạt động giám sát của BKS đối với HĐQT, Ban Giám đốc điều hành và cổ đông:</w:t>
      </w:r>
    </w:p>
    <w:p w:rsidR="00193D02" w:rsidRDefault="00193D02" w:rsidP="00B335A2">
      <w:pPr>
        <w:pStyle w:val="BodyText"/>
        <w:tabs>
          <w:tab w:val="left" w:pos="851"/>
        </w:tabs>
        <w:ind w:right="142" w:firstLine="270"/>
        <w:rPr>
          <w:rFonts w:ascii="Times New Roman" w:hAnsi="Times New Roman"/>
          <w:sz w:val="26"/>
          <w:szCs w:val="26"/>
        </w:rPr>
      </w:pPr>
      <w:r>
        <w:rPr>
          <w:rFonts w:ascii="Times New Roman" w:hAnsi="Times New Roman"/>
          <w:sz w:val="26"/>
          <w:szCs w:val="26"/>
        </w:rPr>
        <w:t>3. Sự phối hợp hoạt động giữa BKS đối với hoạt động của HĐQT, Ban Giám đốc điều hành và các cán bộ quản lý khác:</w:t>
      </w:r>
    </w:p>
    <w:p w:rsidR="00193D02" w:rsidRDefault="00193D02" w:rsidP="00B335A2">
      <w:pPr>
        <w:pStyle w:val="BodyText"/>
        <w:tabs>
          <w:tab w:val="left" w:pos="851"/>
        </w:tabs>
        <w:ind w:right="142" w:firstLine="270"/>
        <w:rPr>
          <w:rFonts w:ascii="Times New Roman" w:hAnsi="Times New Roman"/>
          <w:i/>
          <w:sz w:val="26"/>
          <w:szCs w:val="26"/>
        </w:rPr>
      </w:pPr>
      <w:r>
        <w:rPr>
          <w:rFonts w:ascii="Times New Roman" w:hAnsi="Times New Roman"/>
          <w:sz w:val="26"/>
          <w:szCs w:val="26"/>
        </w:rPr>
        <w:t>4. Hoạt động khác của BKS (nếu có)</w:t>
      </w:r>
      <w:r>
        <w:rPr>
          <w:rFonts w:ascii="Times New Roman" w:hAnsi="Times New Roman"/>
          <w:i/>
          <w:sz w:val="26"/>
          <w:szCs w:val="26"/>
        </w:rPr>
        <w:t>:</w:t>
      </w:r>
    </w:p>
    <w:p w:rsidR="00193D02" w:rsidRDefault="00193D02" w:rsidP="00B335A2">
      <w:pPr>
        <w:pStyle w:val="BodyText"/>
        <w:numPr>
          <w:ilvl w:val="0"/>
          <w:numId w:val="2"/>
        </w:numPr>
        <w:tabs>
          <w:tab w:val="left" w:pos="630"/>
        </w:tabs>
        <w:ind w:left="0" w:right="142" w:firstLine="270"/>
        <w:rPr>
          <w:rFonts w:ascii="Times New Roman" w:hAnsi="Times New Roman"/>
          <w:b/>
          <w:i/>
          <w:sz w:val="26"/>
          <w:szCs w:val="26"/>
        </w:rPr>
      </w:pPr>
      <w:r>
        <w:rPr>
          <w:rFonts w:ascii="Times New Roman" w:hAnsi="Times New Roman"/>
          <w:b/>
          <w:sz w:val="26"/>
          <w:szCs w:val="26"/>
        </w:rPr>
        <w:t xml:space="preserve"> Đào tạo về quản trị công ty</w:t>
      </w:r>
      <w:r>
        <w:rPr>
          <w:rFonts w:ascii="Times New Roman" w:hAnsi="Times New Roman"/>
          <w:b/>
          <w:i/>
          <w:sz w:val="26"/>
          <w:szCs w:val="26"/>
        </w:rPr>
        <w:t>: Không có</w:t>
      </w:r>
    </w:p>
    <w:p w:rsidR="00193D02" w:rsidRDefault="00193D02" w:rsidP="00B335A2">
      <w:pPr>
        <w:pStyle w:val="BodyText"/>
        <w:tabs>
          <w:tab w:val="left" w:pos="630"/>
        </w:tabs>
        <w:ind w:right="142" w:firstLine="270"/>
        <w:rPr>
          <w:rFonts w:ascii="Times New Roman" w:hAnsi="Times New Roman"/>
          <w:sz w:val="26"/>
          <w:szCs w:val="26"/>
        </w:rPr>
      </w:pPr>
      <w:r>
        <w:rPr>
          <w:rFonts w:ascii="Times New Roman" w:hAnsi="Times New Roman"/>
          <w:b/>
          <w:sz w:val="26"/>
          <w:szCs w:val="26"/>
        </w:rPr>
        <w:t>V. Danh sách về người có liên quan của công ty niêm yết theo quy định tại khoản 34 Điều 6 Luật Chứng khoán và giao dịch của người có liên quan của công ty với chính Công ty</w:t>
      </w:r>
      <w:r>
        <w:rPr>
          <w:rFonts w:ascii="Times New Roman" w:hAnsi="Times New Roman"/>
          <w:sz w:val="26"/>
          <w:szCs w:val="26"/>
        </w:rPr>
        <w:t>: Không có</w:t>
      </w:r>
    </w:p>
    <w:p w:rsidR="00193D02" w:rsidRDefault="00193D02" w:rsidP="00B335A2">
      <w:pPr>
        <w:pStyle w:val="BodyText"/>
        <w:spacing w:after="120"/>
        <w:ind w:right="142" w:firstLine="270"/>
        <w:rPr>
          <w:rFonts w:ascii="Times New Roman" w:hAnsi="Times New Roman"/>
          <w:i/>
          <w:sz w:val="26"/>
          <w:szCs w:val="26"/>
        </w:rPr>
      </w:pPr>
      <w:r>
        <w:rPr>
          <w:rFonts w:ascii="Times New Roman" w:hAnsi="Times New Roman"/>
          <w:sz w:val="26"/>
          <w:szCs w:val="26"/>
        </w:rPr>
        <w:t>1. Giao dịch giữa công ty với người có liên quan của công ty; hoặc giữa công ty với cổ đông lớn, người nội bộ, người có liên quan của người nội bộ. Không có</w:t>
      </w:r>
    </w:p>
    <w:p w:rsidR="00193D02" w:rsidRDefault="00193D02" w:rsidP="00B335A2">
      <w:pPr>
        <w:pStyle w:val="BodyText"/>
        <w:spacing w:before="120"/>
        <w:ind w:right="142" w:firstLine="270"/>
        <w:rPr>
          <w:rFonts w:ascii="Times New Roman" w:hAnsi="Times New Roman"/>
          <w:sz w:val="26"/>
          <w:szCs w:val="26"/>
        </w:rPr>
      </w:pPr>
      <w:r>
        <w:rPr>
          <w:rFonts w:ascii="Times New Roman" w:hAnsi="Times New Roman"/>
          <w:sz w:val="26"/>
          <w:szCs w:val="26"/>
        </w:rPr>
        <w:t>2. Giao dịch giữa người nội bộ công ty niêm yết, người có liên quan của người nội bộ với công ty con, công ty do công ty niêm yết nắm quyền kiểm soát. Không có</w:t>
      </w:r>
    </w:p>
    <w:p w:rsidR="00193D02" w:rsidRDefault="00193D02" w:rsidP="00B335A2">
      <w:pPr>
        <w:pStyle w:val="BodyText"/>
        <w:spacing w:after="120" w:line="276" w:lineRule="auto"/>
        <w:ind w:right="142" w:firstLine="270"/>
        <w:rPr>
          <w:rFonts w:ascii="Times New Roman" w:hAnsi="Times New Roman"/>
          <w:sz w:val="26"/>
          <w:szCs w:val="26"/>
        </w:rPr>
      </w:pPr>
      <w:r>
        <w:rPr>
          <w:rFonts w:ascii="Times New Roman" w:hAnsi="Times New Roman"/>
          <w:sz w:val="26"/>
          <w:szCs w:val="26"/>
        </w:rPr>
        <w:t>3. Giao dịch giữa công ty với các đối tượng khác. Không có</w:t>
      </w:r>
    </w:p>
    <w:p w:rsidR="00193D02" w:rsidRDefault="00193D02" w:rsidP="00B335A2">
      <w:pPr>
        <w:pStyle w:val="BodyText"/>
        <w:spacing w:after="120" w:line="276" w:lineRule="auto"/>
        <w:ind w:right="142" w:firstLine="270"/>
        <w:rPr>
          <w:rFonts w:ascii="Times New Roman" w:hAnsi="Times New Roman"/>
          <w:i/>
          <w:sz w:val="26"/>
          <w:szCs w:val="26"/>
        </w:rPr>
      </w:pPr>
      <w:r>
        <w:rPr>
          <w:rFonts w:ascii="Times New Roman" w:hAnsi="Times New Roman"/>
          <w:sz w:val="26"/>
          <w:szCs w:val="26"/>
        </w:rPr>
        <w:t>3.1. Giao dịch giữa công ty với công ty mà thành viên HĐQT, thành viên Ban Kiểm soát, Giám đốc (Tổng Giám đốc) điều hành đã và đang là thành viên sáng lập hoặc thành viên HĐQT, Giám đốc (Tổng Giám đốc) điều hành trong thời gian ba (03) năm trở lại đây (tính tại thời điểm lập báo cáo)</w:t>
      </w:r>
      <w:r>
        <w:rPr>
          <w:rFonts w:ascii="Times New Roman" w:hAnsi="Times New Roman"/>
          <w:i/>
          <w:sz w:val="26"/>
          <w:szCs w:val="26"/>
        </w:rPr>
        <w:t>. Không có</w:t>
      </w:r>
    </w:p>
    <w:p w:rsidR="00193D02" w:rsidRDefault="00193D02" w:rsidP="00B335A2">
      <w:pPr>
        <w:pStyle w:val="BodyText"/>
        <w:spacing w:after="120" w:line="276" w:lineRule="auto"/>
        <w:ind w:right="142" w:firstLine="270"/>
        <w:rPr>
          <w:rFonts w:ascii="Times New Roman" w:hAnsi="Times New Roman"/>
          <w:sz w:val="26"/>
          <w:szCs w:val="26"/>
        </w:rPr>
      </w:pPr>
      <w:r>
        <w:rPr>
          <w:rFonts w:ascii="Times New Roman" w:hAnsi="Times New Roman"/>
          <w:sz w:val="26"/>
          <w:szCs w:val="26"/>
        </w:rPr>
        <w:t>3.2. Giao dịch giữa công ty với công ty mà người có liên quan của thành viên HĐQT, thành viên Ban Kiểm soát, Giám đốc (Tổng Giám đốc) điều hành là thành viên HĐQT, Giám đốc (Tổng Giám đốc) điều hành. Không có</w:t>
      </w:r>
    </w:p>
    <w:p w:rsidR="00193D02" w:rsidRDefault="00193D02" w:rsidP="00B335A2">
      <w:pPr>
        <w:pStyle w:val="BodyText"/>
        <w:spacing w:after="120" w:line="276" w:lineRule="auto"/>
        <w:ind w:right="142" w:firstLine="270"/>
        <w:rPr>
          <w:rFonts w:ascii="Times New Roman" w:hAnsi="Times New Roman"/>
          <w:i/>
          <w:sz w:val="26"/>
          <w:szCs w:val="26"/>
        </w:rPr>
      </w:pPr>
      <w:r>
        <w:rPr>
          <w:rFonts w:ascii="Times New Roman" w:hAnsi="Times New Roman"/>
          <w:sz w:val="26"/>
          <w:szCs w:val="26"/>
        </w:rPr>
        <w:t>3.3. Các giao dịch khác của công ty (nếu có) có thể mang lại lợi ích vật chất hoặc phi vật chất đối với thành viên HĐQT, thành viên Ban Kiểm soát, Giám đốc (Tổng Giám đốc) điều hành</w:t>
      </w:r>
      <w:r>
        <w:rPr>
          <w:rFonts w:ascii="Times New Roman" w:hAnsi="Times New Roman"/>
          <w:i/>
          <w:sz w:val="26"/>
          <w:szCs w:val="26"/>
        </w:rPr>
        <w:t>. Không có</w:t>
      </w:r>
    </w:p>
    <w:p w:rsidR="00193D02" w:rsidRDefault="00193D02" w:rsidP="00B335A2">
      <w:pPr>
        <w:pStyle w:val="BodyText"/>
        <w:spacing w:after="120" w:line="276" w:lineRule="auto"/>
        <w:ind w:right="142" w:firstLine="270"/>
        <w:rPr>
          <w:rFonts w:ascii="Times New Roman" w:hAnsi="Times New Roman"/>
          <w:i/>
          <w:sz w:val="26"/>
          <w:szCs w:val="26"/>
        </w:rPr>
      </w:pPr>
      <w:r>
        <w:rPr>
          <w:rFonts w:ascii="Times New Roman" w:hAnsi="Times New Roman"/>
          <w:b/>
          <w:spacing w:val="-6"/>
          <w:sz w:val="26"/>
          <w:szCs w:val="26"/>
        </w:rPr>
        <w:t xml:space="preserve">VI.    Giao dịch cổ phiếu của người nội bộ và người liên quan của người nội bộ </w:t>
      </w:r>
      <w:r>
        <w:rPr>
          <w:rFonts w:ascii="Times New Roman" w:hAnsi="Times New Roman"/>
          <w:sz w:val="26"/>
          <w:szCs w:val="26"/>
        </w:rPr>
        <w:t xml:space="preserve"> Danh sách người nội bộ và người có liên quan của người nội bộ. Không có</w:t>
      </w:r>
    </w:p>
    <w:p w:rsidR="00193D02" w:rsidRDefault="00193D02" w:rsidP="00B335A2">
      <w:pPr>
        <w:pStyle w:val="BodyText"/>
        <w:ind w:right="142" w:firstLine="270"/>
        <w:rPr>
          <w:rFonts w:ascii="Times New Roman" w:hAnsi="Times New Roman"/>
          <w:sz w:val="26"/>
          <w:szCs w:val="26"/>
        </w:rPr>
      </w:pPr>
      <w:r>
        <w:rPr>
          <w:rFonts w:ascii="Times New Roman" w:hAnsi="Times New Roman"/>
          <w:b/>
          <w:sz w:val="26"/>
          <w:szCs w:val="26"/>
        </w:rPr>
        <w:t>VII.      Các vấn đề cần lưu ý khác</w:t>
      </w:r>
    </w:p>
    <w:p w:rsidR="00193D02" w:rsidRDefault="00193D02" w:rsidP="001A5746">
      <w:pPr>
        <w:pStyle w:val="BodyText"/>
        <w:ind w:left="720" w:right="142"/>
        <w:rPr>
          <w:rFonts w:ascii="Times New Roman" w:hAnsi="Times New Roman"/>
          <w:sz w:val="26"/>
          <w:szCs w:val="26"/>
        </w:rPr>
      </w:pPr>
    </w:p>
    <w:p w:rsidR="00193D02" w:rsidRDefault="00193D02" w:rsidP="005076F2">
      <w:pPr>
        <w:pStyle w:val="Heading1"/>
        <w:ind w:left="4770" w:right="142"/>
        <w:rPr>
          <w:rFonts w:ascii="Times New Roman" w:hAnsi="Times New Roman"/>
          <w:sz w:val="26"/>
          <w:szCs w:val="26"/>
        </w:rPr>
      </w:pPr>
      <w:r>
        <w:rPr>
          <w:rFonts w:ascii="Times New Roman" w:hAnsi="Times New Roman"/>
          <w:sz w:val="26"/>
          <w:szCs w:val="26"/>
        </w:rPr>
        <w:t>TV. HĐQT</w:t>
      </w:r>
    </w:p>
    <w:p w:rsidR="00193D02" w:rsidRDefault="00193D02" w:rsidP="005076F2">
      <w:pPr>
        <w:pStyle w:val="Heading1"/>
        <w:ind w:left="4770" w:right="142"/>
        <w:rPr>
          <w:rFonts w:ascii="Times New Roman" w:hAnsi="Times New Roman"/>
          <w:sz w:val="26"/>
          <w:szCs w:val="26"/>
        </w:rPr>
      </w:pPr>
      <w:r>
        <w:rPr>
          <w:rFonts w:ascii="Times New Roman" w:hAnsi="Times New Roman"/>
          <w:sz w:val="26"/>
          <w:szCs w:val="26"/>
        </w:rPr>
        <w:t>GIÁM ĐỐC CÔNG TY</w:t>
      </w:r>
    </w:p>
    <w:p w:rsidR="00193D02" w:rsidRDefault="00193D02" w:rsidP="008D3C29">
      <w:pPr>
        <w:pStyle w:val="Heading1"/>
        <w:ind w:right="142"/>
        <w:jc w:val="both"/>
        <w:rPr>
          <w:rFonts w:ascii="Times New Roman" w:hAnsi="Times New Roman"/>
          <w:bCs/>
          <w:i/>
          <w:iCs/>
          <w:sz w:val="26"/>
          <w:szCs w:val="26"/>
        </w:rPr>
      </w:pPr>
      <w:r>
        <w:rPr>
          <w:rFonts w:ascii="Times New Roman" w:hAnsi="Times New Roman"/>
          <w:i/>
          <w:sz w:val="26"/>
          <w:szCs w:val="26"/>
        </w:rPr>
        <w:t xml:space="preserve">                                                                                     </w:t>
      </w:r>
      <w:r>
        <w:rPr>
          <w:rFonts w:ascii="Times New Roman" w:hAnsi="Times New Roman"/>
          <w:bCs/>
          <w:i/>
          <w:iCs/>
          <w:sz w:val="26"/>
          <w:szCs w:val="26"/>
        </w:rPr>
        <w:t xml:space="preserve">      </w:t>
      </w:r>
    </w:p>
    <w:p w:rsidR="00193D02" w:rsidRDefault="00193D02" w:rsidP="005076F2"/>
    <w:p w:rsidR="00193D02" w:rsidRDefault="00193D02" w:rsidP="005076F2"/>
    <w:p w:rsidR="00193D02" w:rsidRDefault="00193D02" w:rsidP="005076F2"/>
    <w:p w:rsidR="00193D02" w:rsidRPr="005076F2" w:rsidRDefault="00193D02" w:rsidP="005076F2">
      <w:pPr>
        <w:jc w:val="both"/>
      </w:pPr>
      <w:r>
        <w:t xml:space="preserve">                                                                                                 Hoàng Đại Lợi</w:t>
      </w:r>
    </w:p>
    <w:p w:rsidR="00193D02" w:rsidRDefault="00193D02" w:rsidP="005076F2"/>
    <w:p w:rsidR="00193D02" w:rsidRDefault="00193D02" w:rsidP="005076F2"/>
    <w:p w:rsidR="00193D02" w:rsidRDefault="00193D02" w:rsidP="005076F2"/>
    <w:p w:rsidR="00193D02" w:rsidRDefault="00193D02" w:rsidP="005076F2"/>
    <w:p w:rsidR="00193D02" w:rsidRDefault="00193D02" w:rsidP="001A5746"/>
    <w:p w:rsidR="00193D02" w:rsidRDefault="00193D02"/>
    <w:sectPr w:rsidR="00193D02" w:rsidSect="005076F2">
      <w:footerReference w:type="default" r:id="rId7"/>
      <w:pgSz w:w="12240" w:h="15840"/>
      <w:pgMar w:top="99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02" w:rsidRPr="00DB5B98" w:rsidRDefault="00193D02" w:rsidP="00DB5B98">
      <w:pPr>
        <w:pStyle w:val="BodyText"/>
        <w:rPr>
          <w:rFonts w:ascii="Times New Roman" w:hAnsi="Times New Roman"/>
          <w:b/>
          <w:sz w:val="26"/>
          <w:szCs w:val="26"/>
        </w:rPr>
      </w:pPr>
      <w:r>
        <w:separator/>
      </w:r>
    </w:p>
  </w:endnote>
  <w:endnote w:type="continuationSeparator" w:id="0">
    <w:p w:rsidR="00193D02" w:rsidRPr="00DB5B98" w:rsidRDefault="00193D02" w:rsidP="00DB5B98">
      <w:pPr>
        <w:pStyle w:val="BodyText"/>
        <w:rPr>
          <w:rFonts w:ascii="Times New Roman" w:hAnsi="Times New Roman"/>
          <w:b/>
          <w:sz w:val="26"/>
          <w:szCs w:val="26"/>
        </w:rPr>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02" w:rsidRPr="00DB5B98" w:rsidRDefault="00193D02">
    <w:pPr>
      <w:pStyle w:val="Footer"/>
      <w:rPr>
        <w:sz w:val="24"/>
        <w:szCs w:val="24"/>
      </w:rPr>
    </w:pPr>
    <w:r w:rsidRPr="00DB5B98">
      <w:rPr>
        <w:b w:val="0"/>
        <w:sz w:val="24"/>
        <w:szCs w:val="24"/>
      </w:rPr>
      <w:fldChar w:fldCharType="begin"/>
    </w:r>
    <w:r w:rsidRPr="00DB5B98">
      <w:rPr>
        <w:b w:val="0"/>
        <w:sz w:val="24"/>
        <w:szCs w:val="24"/>
      </w:rPr>
      <w:instrText xml:space="preserve"> PAGE   \* MERGEFORMAT </w:instrText>
    </w:r>
    <w:r w:rsidRPr="00DB5B98">
      <w:rPr>
        <w:b w:val="0"/>
        <w:sz w:val="24"/>
        <w:szCs w:val="24"/>
      </w:rPr>
      <w:fldChar w:fldCharType="separate"/>
    </w:r>
    <w:r>
      <w:rPr>
        <w:b w:val="0"/>
        <w:noProof/>
        <w:sz w:val="24"/>
        <w:szCs w:val="24"/>
      </w:rPr>
      <w:t>1</w:t>
    </w:r>
    <w:r w:rsidRPr="00DB5B98">
      <w:rPr>
        <w:b w:val="0"/>
        <w:sz w:val="24"/>
        <w:szCs w:val="24"/>
      </w:rPr>
      <w:fldChar w:fldCharType="end"/>
    </w:r>
  </w:p>
  <w:p w:rsidR="00193D02" w:rsidRDefault="00193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02" w:rsidRPr="00DB5B98" w:rsidRDefault="00193D02" w:rsidP="00DB5B98">
      <w:pPr>
        <w:pStyle w:val="BodyText"/>
        <w:rPr>
          <w:rFonts w:ascii="Times New Roman" w:hAnsi="Times New Roman"/>
          <w:b/>
          <w:sz w:val="26"/>
          <w:szCs w:val="26"/>
        </w:rPr>
      </w:pPr>
      <w:r>
        <w:separator/>
      </w:r>
    </w:p>
  </w:footnote>
  <w:footnote w:type="continuationSeparator" w:id="0">
    <w:p w:rsidR="00193D02" w:rsidRPr="00DB5B98" w:rsidRDefault="00193D02" w:rsidP="00DB5B98">
      <w:pPr>
        <w:pStyle w:val="BodyText"/>
        <w:rPr>
          <w:rFonts w:ascii="Times New Roman" w:hAnsi="Times New Roman"/>
          <w:b/>
          <w:sz w:val="26"/>
          <w:szCs w:val="26"/>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pPr>
      <w:rPr>
        <w:rFonts w:ascii=".VnTime"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3D42C33"/>
    <w:multiLevelType w:val="hybridMultilevel"/>
    <w:tmpl w:val="72C6AFA4"/>
    <w:lvl w:ilvl="0" w:tplc="7474EE52">
      <w:start w:val="1"/>
      <w:numFmt w:val="decimal"/>
      <w:lvlText w:val="%1."/>
      <w:lvlJc w:val="left"/>
      <w:pPr>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6467213"/>
    <w:multiLevelType w:val="hybridMultilevel"/>
    <w:tmpl w:val="3C423A5C"/>
    <w:lvl w:ilvl="0" w:tplc="6714F8A4">
      <w:start w:val="1"/>
      <w:numFmt w:val="decimal"/>
      <w:lvlText w:val="%1."/>
      <w:lvlJc w:val="left"/>
      <w:pPr>
        <w:ind w:left="502"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C170021"/>
    <w:multiLevelType w:val="hybridMultilevel"/>
    <w:tmpl w:val="1A1294E6"/>
    <w:lvl w:ilvl="0" w:tplc="B9266A32">
      <w:start w:val="1"/>
      <w:numFmt w:val="decimal"/>
      <w:lvlText w:val="%1."/>
      <w:lvlJc w:val="left"/>
      <w:pPr>
        <w:ind w:left="720"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0053765"/>
    <w:multiLevelType w:val="hybridMultilevel"/>
    <w:tmpl w:val="6212C19C"/>
    <w:lvl w:ilvl="0" w:tplc="0B7CE656">
      <w:start w:val="1"/>
      <w:numFmt w:val="decimal"/>
      <w:lvlText w:val="%1."/>
      <w:lvlJc w:val="left"/>
      <w:pPr>
        <w:ind w:left="720"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87C6D18"/>
    <w:multiLevelType w:val="hybridMultilevel"/>
    <w:tmpl w:val="CD444F7C"/>
    <w:lvl w:ilvl="0" w:tplc="C19E4C9A">
      <w:start w:val="1"/>
      <w:numFmt w:val="upperRoman"/>
      <w:lvlText w:val="%1."/>
      <w:lvlJc w:val="left"/>
      <w:pPr>
        <w:ind w:left="1170" w:hanging="720"/>
      </w:pPr>
      <w:rPr>
        <w:rFonts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746"/>
    <w:rsid w:val="000606F0"/>
    <w:rsid w:val="000B64FC"/>
    <w:rsid w:val="000E174A"/>
    <w:rsid w:val="000F6290"/>
    <w:rsid w:val="001244BC"/>
    <w:rsid w:val="00156748"/>
    <w:rsid w:val="001748DD"/>
    <w:rsid w:val="00193D02"/>
    <w:rsid w:val="001A5746"/>
    <w:rsid w:val="001E16AE"/>
    <w:rsid w:val="00207DE9"/>
    <w:rsid w:val="002303CF"/>
    <w:rsid w:val="0027069D"/>
    <w:rsid w:val="002C03AE"/>
    <w:rsid w:val="00350E6F"/>
    <w:rsid w:val="00366811"/>
    <w:rsid w:val="003968C2"/>
    <w:rsid w:val="00472022"/>
    <w:rsid w:val="004B63C6"/>
    <w:rsid w:val="004E4BFE"/>
    <w:rsid w:val="004F6CEA"/>
    <w:rsid w:val="005076F2"/>
    <w:rsid w:val="005261A6"/>
    <w:rsid w:val="005348E6"/>
    <w:rsid w:val="005B5947"/>
    <w:rsid w:val="00614D31"/>
    <w:rsid w:val="00716F9B"/>
    <w:rsid w:val="007562E6"/>
    <w:rsid w:val="00765EA9"/>
    <w:rsid w:val="007747D7"/>
    <w:rsid w:val="00781D3F"/>
    <w:rsid w:val="008200C3"/>
    <w:rsid w:val="00864554"/>
    <w:rsid w:val="00897BCB"/>
    <w:rsid w:val="008A50EF"/>
    <w:rsid w:val="008D3C29"/>
    <w:rsid w:val="008F3663"/>
    <w:rsid w:val="00966E0D"/>
    <w:rsid w:val="009743B9"/>
    <w:rsid w:val="0098757C"/>
    <w:rsid w:val="00AE078F"/>
    <w:rsid w:val="00B335A2"/>
    <w:rsid w:val="00C86D4C"/>
    <w:rsid w:val="00CA3170"/>
    <w:rsid w:val="00D47F01"/>
    <w:rsid w:val="00DB1ADB"/>
    <w:rsid w:val="00DB5B98"/>
    <w:rsid w:val="00DD03A3"/>
    <w:rsid w:val="00E144D4"/>
    <w:rsid w:val="00E41878"/>
    <w:rsid w:val="00E63ADB"/>
    <w:rsid w:val="00E74CE4"/>
    <w:rsid w:val="00E847B1"/>
    <w:rsid w:val="00EC04A7"/>
    <w:rsid w:val="00ED686B"/>
    <w:rsid w:val="00F652E4"/>
    <w:rsid w:val="00F7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46"/>
    <w:pPr>
      <w:spacing w:line="276" w:lineRule="auto"/>
      <w:jc w:val="center"/>
    </w:pPr>
    <w:rPr>
      <w:rFonts w:ascii="Times New Roman" w:hAnsi="Times New Roman"/>
      <w:b/>
      <w:sz w:val="26"/>
      <w:szCs w:val="26"/>
    </w:rPr>
  </w:style>
  <w:style w:type="paragraph" w:styleId="Heading1">
    <w:name w:val="heading 1"/>
    <w:basedOn w:val="Normal"/>
    <w:next w:val="Normal"/>
    <w:link w:val="Heading1Char"/>
    <w:uiPriority w:val="99"/>
    <w:qFormat/>
    <w:rsid w:val="001A5746"/>
    <w:pPr>
      <w:keepNext/>
      <w:snapToGrid w:val="0"/>
      <w:spacing w:line="240" w:lineRule="auto"/>
      <w:outlineLvl w:val="0"/>
    </w:pPr>
    <w:rPr>
      <w:rFonts w:ascii=".VnTimeH" w:eastAsia="Times New Roman" w:hAnsi=".VnTimeH"/>
      <w:sz w:val="24"/>
      <w:szCs w:val="20"/>
    </w:rPr>
  </w:style>
  <w:style w:type="paragraph" w:styleId="Heading7">
    <w:name w:val="heading 7"/>
    <w:basedOn w:val="Normal"/>
    <w:next w:val="Normal"/>
    <w:link w:val="Heading7Char"/>
    <w:uiPriority w:val="99"/>
    <w:qFormat/>
    <w:rsid w:val="001A5746"/>
    <w:pPr>
      <w:keepNext/>
      <w:snapToGrid w:val="0"/>
      <w:spacing w:line="240" w:lineRule="auto"/>
      <w:ind w:left="4320" w:firstLine="720"/>
      <w:outlineLvl w:val="6"/>
    </w:pPr>
    <w:rPr>
      <w:rFonts w:ascii=".VnTime" w:eastAsia="Times New Roman" w:hAnsi=".VnTime"/>
      <w:b w:val="0"/>
      <w:i/>
      <w:szCs w:val="20"/>
    </w:rPr>
  </w:style>
  <w:style w:type="paragraph" w:styleId="Heading8">
    <w:name w:val="heading 8"/>
    <w:basedOn w:val="Normal"/>
    <w:next w:val="Normal"/>
    <w:link w:val="Heading8Char"/>
    <w:uiPriority w:val="99"/>
    <w:qFormat/>
    <w:rsid w:val="001A5746"/>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746"/>
    <w:rPr>
      <w:rFonts w:ascii=".VnTimeH" w:hAnsi=".VnTimeH" w:cs="Times New Roman"/>
      <w:b/>
      <w:sz w:val="20"/>
      <w:szCs w:val="20"/>
    </w:rPr>
  </w:style>
  <w:style w:type="character" w:customStyle="1" w:styleId="Heading7Char">
    <w:name w:val="Heading 7 Char"/>
    <w:basedOn w:val="DefaultParagraphFont"/>
    <w:link w:val="Heading7"/>
    <w:uiPriority w:val="99"/>
    <w:semiHidden/>
    <w:locked/>
    <w:rsid w:val="001A5746"/>
    <w:rPr>
      <w:rFonts w:ascii=".VnTime" w:hAnsi=".VnTime" w:cs="Times New Roman"/>
      <w:i/>
      <w:sz w:val="20"/>
      <w:szCs w:val="20"/>
    </w:rPr>
  </w:style>
  <w:style w:type="character" w:customStyle="1" w:styleId="Heading8Char">
    <w:name w:val="Heading 8 Char"/>
    <w:basedOn w:val="DefaultParagraphFont"/>
    <w:link w:val="Heading8"/>
    <w:uiPriority w:val="99"/>
    <w:semiHidden/>
    <w:locked/>
    <w:rsid w:val="001A5746"/>
    <w:rPr>
      <w:rFonts w:ascii=".VnTime" w:hAnsi=".VnTime" w:cs="Times New Roman"/>
      <w:b/>
      <w:bCs/>
      <w:sz w:val="24"/>
      <w:szCs w:val="24"/>
    </w:rPr>
  </w:style>
  <w:style w:type="paragraph" w:styleId="Title">
    <w:name w:val="Title"/>
    <w:basedOn w:val="Normal"/>
    <w:link w:val="TitleChar"/>
    <w:uiPriority w:val="99"/>
    <w:qFormat/>
    <w:rsid w:val="001A5746"/>
    <w:pPr>
      <w:snapToGrid w:val="0"/>
      <w:spacing w:line="240" w:lineRule="auto"/>
    </w:pPr>
    <w:rPr>
      <w:rFonts w:ascii=".VnTimeH" w:eastAsia="Times New Roman" w:hAnsi=".VnTimeH"/>
      <w:sz w:val="24"/>
      <w:szCs w:val="20"/>
    </w:rPr>
  </w:style>
  <w:style w:type="character" w:customStyle="1" w:styleId="TitleChar">
    <w:name w:val="Title Char"/>
    <w:basedOn w:val="DefaultParagraphFont"/>
    <w:link w:val="Title"/>
    <w:uiPriority w:val="99"/>
    <w:locked/>
    <w:rsid w:val="001A5746"/>
    <w:rPr>
      <w:rFonts w:ascii=".VnTimeH" w:hAnsi=".VnTimeH" w:cs="Times New Roman"/>
      <w:b/>
      <w:sz w:val="20"/>
      <w:szCs w:val="20"/>
    </w:rPr>
  </w:style>
  <w:style w:type="paragraph" w:styleId="BodyText">
    <w:name w:val="Body Text"/>
    <w:basedOn w:val="Normal"/>
    <w:link w:val="BodyTextChar"/>
    <w:uiPriority w:val="99"/>
    <w:rsid w:val="001A5746"/>
    <w:pPr>
      <w:snapToGrid w:val="0"/>
      <w:spacing w:line="240" w:lineRule="auto"/>
      <w:jc w:val="both"/>
    </w:pPr>
    <w:rPr>
      <w:rFonts w:ascii=".VnTimeH" w:eastAsia="Times New Roman" w:hAnsi=".VnTimeH"/>
      <w:b w:val="0"/>
      <w:sz w:val="28"/>
      <w:szCs w:val="20"/>
    </w:rPr>
  </w:style>
  <w:style w:type="character" w:customStyle="1" w:styleId="BodyTextChar">
    <w:name w:val="Body Text Char"/>
    <w:basedOn w:val="DefaultParagraphFont"/>
    <w:link w:val="BodyText"/>
    <w:uiPriority w:val="99"/>
    <w:locked/>
    <w:rsid w:val="001A5746"/>
    <w:rPr>
      <w:rFonts w:ascii=".VnTimeH" w:hAnsi=".VnTimeH" w:cs="Times New Roman"/>
      <w:sz w:val="20"/>
      <w:szCs w:val="20"/>
    </w:rPr>
  </w:style>
  <w:style w:type="paragraph" w:styleId="Header">
    <w:name w:val="header"/>
    <w:basedOn w:val="Normal"/>
    <w:link w:val="HeaderChar"/>
    <w:uiPriority w:val="99"/>
    <w:semiHidden/>
    <w:rsid w:val="00DB5B9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DB5B98"/>
    <w:rPr>
      <w:rFonts w:ascii="Times New Roman" w:hAnsi="Times New Roman" w:cs="Times New Roman"/>
      <w:b/>
      <w:sz w:val="26"/>
      <w:szCs w:val="26"/>
    </w:rPr>
  </w:style>
  <w:style w:type="paragraph" w:styleId="Footer">
    <w:name w:val="footer"/>
    <w:basedOn w:val="Normal"/>
    <w:link w:val="FooterChar"/>
    <w:uiPriority w:val="99"/>
    <w:rsid w:val="00DB5B98"/>
    <w:pPr>
      <w:tabs>
        <w:tab w:val="center" w:pos="4680"/>
        <w:tab w:val="right" w:pos="9360"/>
      </w:tabs>
      <w:spacing w:line="240" w:lineRule="auto"/>
    </w:pPr>
  </w:style>
  <w:style w:type="character" w:customStyle="1" w:styleId="FooterChar">
    <w:name w:val="Footer Char"/>
    <w:basedOn w:val="DefaultParagraphFont"/>
    <w:link w:val="Footer"/>
    <w:uiPriority w:val="99"/>
    <w:locked/>
    <w:rsid w:val="00DB5B98"/>
    <w:rPr>
      <w:rFonts w:ascii="Times New Roman" w:hAnsi="Times New Roman" w:cs="Times New Roman"/>
      <w:b/>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4</Pages>
  <Words>774</Words>
  <Characters>4412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Home User</cp:lastModifiedBy>
  <cp:revision>38</cp:revision>
  <dcterms:created xsi:type="dcterms:W3CDTF">2016-02-24T04:29:00Z</dcterms:created>
  <dcterms:modified xsi:type="dcterms:W3CDTF">2016-03-30T07:48:00Z</dcterms:modified>
</cp:coreProperties>
</file>