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1" w:type="dxa"/>
        <w:tblInd w:w="18" w:type="dxa"/>
        <w:tblLayout w:type="fixed"/>
        <w:tblLook w:val="0000"/>
      </w:tblPr>
      <w:tblGrid>
        <w:gridCol w:w="4768"/>
        <w:gridCol w:w="5103"/>
      </w:tblGrid>
      <w:tr w:rsidR="006B173A" w:rsidRPr="00A97613" w:rsidTr="006B173A">
        <w:trPr>
          <w:trHeight w:val="803"/>
        </w:trPr>
        <w:tc>
          <w:tcPr>
            <w:tcW w:w="4768" w:type="dxa"/>
          </w:tcPr>
          <w:p w:rsidR="006B173A" w:rsidRPr="006B173A" w:rsidRDefault="006B173A" w:rsidP="006B173A">
            <w:pPr>
              <w:spacing w:line="0" w:lineRule="atLeast"/>
              <w:jc w:val="both"/>
              <w:rPr>
                <w:rFonts w:ascii="Arial" w:hAnsi="Arial" w:cs="Arial"/>
                <w:bCs/>
                <w:sz w:val="22"/>
                <w:lang w:val="nl-NL"/>
              </w:rPr>
            </w:pPr>
            <w:r w:rsidRPr="006B173A">
              <w:rPr>
                <w:rFonts w:ascii="Arial" w:hAnsi="Arial" w:cs="Arial"/>
                <w:b/>
                <w:sz w:val="22"/>
                <w:lang w:val="nl-NL"/>
              </w:rPr>
              <w:t>Công ty CP Cung ứng và DVKT Hàng Hải</w:t>
            </w:r>
          </w:p>
          <w:p w:rsidR="006B173A" w:rsidRPr="006B173A" w:rsidRDefault="006B173A" w:rsidP="006B173A">
            <w:pPr>
              <w:spacing w:line="0" w:lineRule="atLeast"/>
              <w:jc w:val="both"/>
              <w:rPr>
                <w:rFonts w:ascii="Arial" w:hAnsi="Arial" w:cs="Arial"/>
                <w:b/>
                <w:sz w:val="22"/>
                <w:lang w:val="nl-NL"/>
              </w:rPr>
            </w:pPr>
            <w:r w:rsidRPr="006B173A">
              <w:rPr>
                <w:rFonts w:ascii="Arial" w:hAnsi="Arial" w:cs="Arial"/>
                <w:b/>
                <w:sz w:val="22"/>
                <w:lang w:val="nl-NL"/>
              </w:rPr>
              <w:t>Địa chỉ:</w:t>
            </w:r>
            <w:r w:rsidRPr="006B173A">
              <w:rPr>
                <w:rFonts w:ascii="Arial" w:hAnsi="Arial" w:cs="Arial"/>
                <w:bCs/>
                <w:sz w:val="22"/>
                <w:lang w:val="nl-NL"/>
              </w:rPr>
              <w:t xml:space="preserve"> Số 8A đường vòng Vạn Mỹ - NQ - HP</w:t>
            </w:r>
          </w:p>
        </w:tc>
        <w:tc>
          <w:tcPr>
            <w:tcW w:w="5103" w:type="dxa"/>
          </w:tcPr>
          <w:p w:rsidR="006B173A" w:rsidRPr="006B173A" w:rsidRDefault="006B173A" w:rsidP="006B173A">
            <w:pPr>
              <w:spacing w:line="0" w:lineRule="atLeast"/>
              <w:jc w:val="right"/>
              <w:rPr>
                <w:rFonts w:ascii="Arial" w:hAnsi="Arial" w:cs="Arial"/>
                <w:b/>
                <w:sz w:val="22"/>
                <w:lang w:val="nl-NL"/>
              </w:rPr>
            </w:pPr>
            <w:r w:rsidRPr="006B173A">
              <w:rPr>
                <w:rFonts w:ascii="Arial" w:hAnsi="Arial" w:cs="Arial"/>
                <w:b/>
                <w:sz w:val="22"/>
                <w:lang w:val="nl-NL"/>
              </w:rPr>
              <w:t>Mẫu số B09 – DN</w:t>
            </w:r>
          </w:p>
          <w:p w:rsidR="006B173A" w:rsidRPr="006B173A" w:rsidRDefault="006B173A" w:rsidP="006B173A">
            <w:pPr>
              <w:spacing w:line="0" w:lineRule="atLeast"/>
              <w:ind w:firstLine="176"/>
              <w:jc w:val="center"/>
              <w:rPr>
                <w:rFonts w:ascii="Arial" w:hAnsi="Arial" w:cs="Arial"/>
                <w:bCs/>
                <w:i/>
                <w:sz w:val="22"/>
                <w:lang w:val="nl-NL"/>
              </w:rPr>
            </w:pPr>
            <w:r w:rsidRPr="006B173A">
              <w:rPr>
                <w:rFonts w:ascii="Arial" w:hAnsi="Arial" w:cs="Arial"/>
                <w:bCs/>
                <w:i/>
                <w:sz w:val="22"/>
                <w:lang w:val="nl-NL"/>
              </w:rPr>
              <w:t>(Ban hành theo Thông tư số 200/2014/TT-BTC</w:t>
            </w:r>
          </w:p>
          <w:p w:rsidR="006B173A" w:rsidRPr="006B173A" w:rsidRDefault="006B173A" w:rsidP="006B173A">
            <w:pPr>
              <w:tabs>
                <w:tab w:val="left" w:pos="884"/>
                <w:tab w:val="left" w:pos="3614"/>
              </w:tabs>
              <w:spacing w:line="0" w:lineRule="atLeast"/>
              <w:ind w:firstLine="176"/>
              <w:jc w:val="right"/>
              <w:rPr>
                <w:rFonts w:ascii="Arial" w:hAnsi="Arial" w:cs="Arial"/>
                <w:b/>
                <w:sz w:val="22"/>
                <w:lang w:val="nl-NL"/>
              </w:rPr>
            </w:pPr>
            <w:r w:rsidRPr="006B173A">
              <w:rPr>
                <w:rFonts w:ascii="Arial" w:hAnsi="Arial" w:cs="Arial"/>
                <w:bCs/>
                <w:i/>
                <w:sz w:val="22"/>
                <w:lang w:val="nl-NL"/>
              </w:rPr>
              <w:t xml:space="preserve">             Ngày 22/12/2014 của Bộ Tài chính)</w:t>
            </w:r>
          </w:p>
        </w:tc>
      </w:tr>
    </w:tbl>
    <w:p w:rsidR="006B173A" w:rsidRPr="00A97613" w:rsidRDefault="006B173A" w:rsidP="006B173A">
      <w:pPr>
        <w:spacing w:line="0" w:lineRule="atLeast"/>
        <w:ind w:left="720" w:firstLine="720"/>
        <w:jc w:val="both"/>
        <w:rPr>
          <w:rFonts w:ascii="Arial" w:hAnsi="Arial" w:cs="Arial"/>
          <w:b/>
          <w:sz w:val="26"/>
          <w:szCs w:val="24"/>
          <w:lang w:val="nl-NL"/>
        </w:rPr>
      </w:pPr>
    </w:p>
    <w:p w:rsidR="006B173A" w:rsidRPr="00A97613" w:rsidRDefault="006B173A" w:rsidP="006B173A">
      <w:pPr>
        <w:spacing w:line="0" w:lineRule="atLeast"/>
        <w:jc w:val="center"/>
        <w:rPr>
          <w:rFonts w:ascii="Arial" w:hAnsi="Arial" w:cs="Arial"/>
          <w:b/>
          <w:sz w:val="36"/>
          <w:szCs w:val="36"/>
          <w:lang w:val="nl-NL"/>
        </w:rPr>
      </w:pPr>
      <w:r w:rsidRPr="00A97613">
        <w:rPr>
          <w:rFonts w:ascii="Arial" w:hAnsi="Arial" w:cs="Arial"/>
          <w:b/>
          <w:sz w:val="36"/>
          <w:szCs w:val="36"/>
          <w:lang w:val="nl-NL"/>
        </w:rPr>
        <w:t>BẢN THUYẾT MINH BÁO CÁO TÀI CHÍNH</w:t>
      </w:r>
    </w:p>
    <w:p w:rsidR="006B173A" w:rsidRPr="00A97613" w:rsidRDefault="006B173A" w:rsidP="006B173A">
      <w:pPr>
        <w:spacing w:line="0" w:lineRule="atLeast"/>
        <w:jc w:val="center"/>
        <w:rPr>
          <w:rFonts w:ascii="Arial" w:hAnsi="Arial" w:cs="Arial"/>
          <w:i/>
          <w:sz w:val="26"/>
          <w:szCs w:val="24"/>
          <w:lang w:val="nl-NL"/>
        </w:rPr>
      </w:pPr>
      <w:r w:rsidRPr="00A97613">
        <w:rPr>
          <w:rFonts w:ascii="Arial" w:hAnsi="Arial" w:cs="Arial"/>
          <w:i/>
          <w:sz w:val="26"/>
          <w:szCs w:val="24"/>
          <w:lang w:val="nl-NL"/>
        </w:rPr>
        <w:t xml:space="preserve">Quí </w:t>
      </w:r>
      <w:r>
        <w:rPr>
          <w:rFonts w:ascii="Arial" w:hAnsi="Arial" w:cs="Arial"/>
          <w:i/>
          <w:sz w:val="26"/>
          <w:szCs w:val="24"/>
          <w:lang w:val="nl-NL"/>
        </w:rPr>
        <w:t>3</w:t>
      </w:r>
      <w:r w:rsidRPr="00A97613">
        <w:rPr>
          <w:rFonts w:ascii="Arial" w:hAnsi="Arial" w:cs="Arial"/>
          <w:i/>
          <w:sz w:val="26"/>
          <w:szCs w:val="24"/>
          <w:lang w:val="nl-NL"/>
        </w:rPr>
        <w:t xml:space="preserve"> năm 201</w:t>
      </w:r>
      <w:r>
        <w:rPr>
          <w:rFonts w:ascii="Arial" w:hAnsi="Arial" w:cs="Arial"/>
          <w:i/>
          <w:sz w:val="26"/>
          <w:szCs w:val="24"/>
          <w:lang w:val="nl-NL"/>
        </w:rPr>
        <w:t>5</w:t>
      </w:r>
    </w:p>
    <w:p w:rsidR="006B173A" w:rsidRPr="006B173A" w:rsidRDefault="006B173A" w:rsidP="006B173A">
      <w:pPr>
        <w:jc w:val="both"/>
        <w:rPr>
          <w:rFonts w:ascii="Arial" w:hAnsi="Arial" w:cs="Arial"/>
          <w:b/>
          <w:sz w:val="24"/>
          <w:szCs w:val="24"/>
          <w:lang w:val="nl-NL"/>
        </w:rPr>
      </w:pPr>
      <w:r w:rsidRPr="006B173A">
        <w:rPr>
          <w:rFonts w:ascii="Arial" w:hAnsi="Arial" w:cs="Arial"/>
          <w:b/>
          <w:sz w:val="24"/>
          <w:szCs w:val="24"/>
          <w:lang w:val="nl-NL"/>
        </w:rPr>
        <w:t>I- Đặc điểm hoạt động của doanh nghiệp</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1- Hình thức sở hữu vốn: Công ty CP Cung ứng và dịch vụ kỹ thuật Hàng Hải được thành lập theo Quyết định số 2375/QĐ- BGTVT ngày 14/8/2003 của Bộ trưởng Bộ GTVT về việc chuyển doanh nghiệp Nhà nước thành Công ty cổ phần. Giấy chứng nhận đăng ký kinh doanh thay đổi lần thứ 12 vào ngày 26/2/2014 với vốn điều lệ là 63.331.230.000 đồng tương đương 6.333.123 cổ phiếu.</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2- Ngành nghề kinh doanh: Hoạt động dịch vụ hỗ trợ liên quan đến vận tải, sửa chữa bảo dưỡng phương tiện vận tải thủy bộ, sửa chữa máy móc thiết bị, gia công cơ khí, bán lẻ thực phẩm trong các cửa hàng chuyên doanh:sữa, sản phẩm chế biến từ sữa, thịt và các sản phẩm từ thị gia cầm.</w:t>
      </w:r>
    </w:p>
    <w:p w:rsidR="006B173A" w:rsidRPr="006B173A" w:rsidRDefault="006B173A" w:rsidP="006B173A">
      <w:pPr>
        <w:tabs>
          <w:tab w:val="left" w:pos="7914"/>
        </w:tabs>
        <w:jc w:val="both"/>
        <w:rPr>
          <w:rFonts w:ascii="Arial" w:hAnsi="Arial" w:cs="Arial"/>
          <w:sz w:val="24"/>
          <w:szCs w:val="24"/>
          <w:lang w:val="nl-NL"/>
        </w:rPr>
      </w:pPr>
      <w:r w:rsidRPr="006B173A">
        <w:rPr>
          <w:rFonts w:ascii="Arial" w:hAnsi="Arial" w:cs="Arial"/>
          <w:sz w:val="24"/>
          <w:szCs w:val="24"/>
          <w:lang w:val="nl-NL"/>
        </w:rPr>
        <w:tab/>
      </w:r>
    </w:p>
    <w:p w:rsidR="006B173A" w:rsidRPr="006B173A" w:rsidRDefault="006B173A" w:rsidP="006B173A">
      <w:pPr>
        <w:jc w:val="both"/>
        <w:rPr>
          <w:rFonts w:ascii="Arial" w:hAnsi="Arial" w:cs="Arial"/>
          <w:b/>
          <w:sz w:val="24"/>
          <w:szCs w:val="24"/>
          <w:lang w:val="nl-NL"/>
        </w:rPr>
      </w:pPr>
      <w:r w:rsidRPr="006B173A">
        <w:rPr>
          <w:rFonts w:ascii="Arial" w:hAnsi="Arial" w:cs="Arial"/>
          <w:b/>
          <w:sz w:val="24"/>
          <w:szCs w:val="24"/>
          <w:lang w:val="nl-NL"/>
        </w:rPr>
        <w:t>II- Kỳ kế toán, đơn vị tiền tệ sử dụng trong kế toán</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1- Kỳ kế toán quý (bắt đầu từ ngày 01/07/2015 kết thúc vào ngày 30/09/2015).</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2- Đơn vị tiền tệ sử dụng trong kế toán: đồng Việt Nam ( VND).</w:t>
      </w:r>
    </w:p>
    <w:p w:rsidR="006B173A" w:rsidRPr="006B173A" w:rsidRDefault="006B173A" w:rsidP="006B173A">
      <w:pPr>
        <w:jc w:val="both"/>
        <w:rPr>
          <w:rFonts w:ascii="Arial" w:hAnsi="Arial" w:cs="Arial"/>
          <w:b/>
          <w:sz w:val="24"/>
          <w:szCs w:val="24"/>
          <w:lang w:val="nl-NL"/>
        </w:rPr>
      </w:pPr>
      <w:r w:rsidRPr="006B173A">
        <w:rPr>
          <w:rFonts w:ascii="Arial" w:hAnsi="Arial" w:cs="Arial"/>
          <w:b/>
          <w:sz w:val="24"/>
          <w:szCs w:val="24"/>
          <w:lang w:val="nl-NL"/>
        </w:rPr>
        <w:t>III- Chuẩn mực và Chế độ kế toán áp dụng</w:t>
      </w:r>
    </w:p>
    <w:p w:rsidR="006B173A" w:rsidRPr="006B173A" w:rsidRDefault="006B173A" w:rsidP="006B173A">
      <w:pPr>
        <w:pStyle w:val="Level0"/>
        <w:tabs>
          <w:tab w:val="clear" w:pos="576"/>
          <w:tab w:val="clear" w:pos="1152"/>
          <w:tab w:val="clear" w:pos="1728"/>
          <w:tab w:val="clear" w:pos="2304"/>
        </w:tabs>
        <w:spacing w:before="0" w:line="240" w:lineRule="auto"/>
        <w:ind w:left="284" w:hanging="284"/>
        <w:jc w:val="both"/>
        <w:rPr>
          <w:rFonts w:ascii="Arial" w:eastAsiaTheme="minorHAnsi" w:hAnsi="Arial" w:cs="Arial"/>
          <w:sz w:val="24"/>
          <w:szCs w:val="24"/>
          <w:lang w:val="nl-NL"/>
        </w:rPr>
      </w:pPr>
      <w:r w:rsidRPr="006B173A">
        <w:rPr>
          <w:sz w:val="24"/>
          <w:szCs w:val="24"/>
          <w:lang w:val="es-MX"/>
        </w:rPr>
        <w:t xml:space="preserve">1. </w:t>
      </w:r>
      <w:r w:rsidRPr="006B173A">
        <w:rPr>
          <w:rFonts w:ascii="Arial" w:eastAsiaTheme="minorHAnsi" w:hAnsi="Arial" w:cs="Arial"/>
          <w:sz w:val="24"/>
          <w:szCs w:val="24"/>
          <w:lang w:val="nl-NL"/>
        </w:rPr>
        <w:t>Tuyên bố về việc tuân thủ Chuẩn mực kế toán và Chế độ kế toán: Báo cáo tài chính được trình bày bằng Đồng Việt Nam (VND), được lập dựa trên các nguyên tắc kế toán phù hợp với quy định của Chế độ kế toán doanh nghiệp Việt Nam ban hành theo Thông tư số 200/2014/TT-BTC ngày 22/12/2014 của Bộ Tài chính, chuẩn mực kế toán Việt Nam và các quy định pháp lý có liên quan đến việc lập và trình bày báo cáo tài chính.</w:t>
      </w:r>
    </w:p>
    <w:p w:rsidR="006B173A" w:rsidRPr="006B173A" w:rsidRDefault="006B173A" w:rsidP="006B173A">
      <w:pPr>
        <w:pStyle w:val="Level0"/>
        <w:tabs>
          <w:tab w:val="clear" w:pos="576"/>
          <w:tab w:val="clear" w:pos="1152"/>
          <w:tab w:val="clear" w:pos="1728"/>
          <w:tab w:val="clear" w:pos="2304"/>
        </w:tabs>
        <w:spacing w:before="0" w:line="240" w:lineRule="auto"/>
        <w:ind w:left="360" w:firstLine="0"/>
        <w:jc w:val="both"/>
        <w:rPr>
          <w:sz w:val="24"/>
          <w:szCs w:val="24"/>
          <w:lang w:val="es-MX"/>
        </w:rPr>
      </w:pP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2- Hình thức kế toán áp dụng: Chứng từ ghi sổ.</w:t>
      </w:r>
    </w:p>
    <w:p w:rsidR="006B173A" w:rsidRPr="006B173A" w:rsidRDefault="006B173A" w:rsidP="006B173A">
      <w:pPr>
        <w:jc w:val="both"/>
        <w:rPr>
          <w:rFonts w:ascii="Arial" w:hAnsi="Arial" w:cs="Arial"/>
          <w:b/>
          <w:sz w:val="24"/>
          <w:szCs w:val="24"/>
          <w:lang w:val="nl-NL"/>
        </w:rPr>
      </w:pPr>
      <w:r w:rsidRPr="006B173A">
        <w:rPr>
          <w:rFonts w:ascii="Arial" w:hAnsi="Arial" w:cs="Arial"/>
          <w:b/>
          <w:sz w:val="24"/>
          <w:szCs w:val="24"/>
          <w:lang w:val="nl-NL"/>
        </w:rPr>
        <w:t>IV- Các chính sách kế toán áp dụng</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1- Nguyên tắc ghi nhận các khoản tiền và các khoản tương đương tiền: phản ánh toàn bộ số tiền hiện có của Công ty bao gồm tiền mặt và tiền gửi ngân hàng. Các khoản tương đương tiền phản ánh các khoản đầu tư ngắn hạn có thời hạn thu hồi hoặc đáo hạn không quá 3 tháng và có khả năng chuyển đổi dễ dàng thành một lượng tiền xác định và không có rủi ro trong chuyển đổi thành tiền kể từ ngày mua khoản đầu tư đó đến thời điểm báo cáo và được ghi nhận theo chuẩn mực kế toán Việt Nam số 24 “ Báo cáo lưu chuyển tiền tệ”.</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t>Các nghiệp vụ kinh tế phát sinh bằng ngoại tệ được qui đổi sang VND theo tỉ giá thực tế tại ngày phát sinh.</w:t>
      </w:r>
    </w:p>
    <w:p w:rsidR="006B173A" w:rsidRPr="006B173A" w:rsidRDefault="006B173A" w:rsidP="006B173A">
      <w:pPr>
        <w:jc w:val="both"/>
        <w:rPr>
          <w:rFonts w:ascii="Arial" w:hAnsi="Arial" w:cs="Arial"/>
          <w:sz w:val="24"/>
          <w:szCs w:val="24"/>
          <w:lang w:val="nl-NL"/>
        </w:rPr>
      </w:pPr>
      <w:r w:rsidRPr="006B173A">
        <w:rPr>
          <w:rFonts w:ascii="Arial" w:hAnsi="Arial" w:cs="Arial"/>
          <w:sz w:val="24"/>
          <w:szCs w:val="24"/>
          <w:lang w:val="nl-NL"/>
        </w:rPr>
        <w:lastRenderedPageBreak/>
        <w:t>2- Nguyên tắc ghi nhận hàng tồn kho:</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hàng tồn kho: theo giá gốc</w:t>
      </w:r>
    </w:p>
    <w:p w:rsidR="006B173A" w:rsidRPr="006B173A" w:rsidRDefault="006B173A" w:rsidP="006B173A">
      <w:pPr>
        <w:spacing w:line="0" w:lineRule="atLeast"/>
        <w:ind w:left="880" w:hanging="160"/>
        <w:jc w:val="both"/>
        <w:rPr>
          <w:rFonts w:ascii="Arial" w:hAnsi="Arial" w:cs="Arial"/>
          <w:sz w:val="24"/>
          <w:szCs w:val="24"/>
          <w:lang w:val="nl-NL"/>
        </w:rPr>
      </w:pPr>
      <w:r w:rsidRPr="006B173A">
        <w:rPr>
          <w:rFonts w:ascii="Arial" w:hAnsi="Arial" w:cs="Arial"/>
          <w:sz w:val="24"/>
          <w:szCs w:val="24"/>
          <w:lang w:val="nl-NL"/>
        </w:rPr>
        <w:t>- Phương pháp tính giá trị hàng tồn kho: bình quân gia quyền</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Phương pháp hạch toán hàng tồn kho: kê khai thường xuyên.</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3- Nguyên tắc ghi nhận và khấu hao TSCĐ và bất động sản đầu tư:</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TSCĐ (hữu hình, vô hình): Tài sản cố định hữu hình và vô hình được trình bày theo nguyên giá trừ giá trị hao mòn.</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Nguyên giá TSCĐ hữu hình hình thành từ mua sắm và xây dựng chuyển giao là toàn bộ chi phí mà Công ty phải bỏ ra để có TSCĐ tính đến thời điểm đưa tài sản đó vào trạng thái sẵn sàng sử dụng.</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Phương pháp khấu hao TSCĐ (hữu hình, vô hình): tài sản cố định được khấu hao theo phương pháp đường thẳng, dựa trên thời gian hữu dụng ước tính, phù hợp với các qui định tại thông tư số 45/2013/TT-BTC ngày 25/4/2013 của Bộ trưởng Bộ tài chính.Cụ thể như sau:</w:t>
      </w:r>
    </w:p>
    <w:p w:rsidR="006B173A" w:rsidRPr="006B173A" w:rsidRDefault="006B173A" w:rsidP="006B173A">
      <w:pPr>
        <w:spacing w:line="0" w:lineRule="atLeast"/>
        <w:ind w:firstLine="720"/>
        <w:jc w:val="both"/>
        <w:rPr>
          <w:rFonts w:ascii="Arial" w:hAnsi="Arial" w:cs="Arial"/>
          <w:sz w:val="24"/>
          <w:szCs w:val="24"/>
          <w:lang w:val="nl-NL"/>
        </w:rPr>
      </w:pP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xml:space="preserve">    Loại tài sản                            Số năm khấu hao</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Nhà cửa, vật kiến trúc                           05 – 15</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Máy móc thiết bị                                    03 – 15</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Phương tiện vận tải                               06 – 15</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Dụng cụ quản lý                                    03 - 07</w:t>
      </w:r>
    </w:p>
    <w:p w:rsidR="006B173A" w:rsidRPr="006B173A" w:rsidRDefault="006B173A" w:rsidP="006B173A">
      <w:pPr>
        <w:spacing w:line="0" w:lineRule="atLeast"/>
        <w:ind w:firstLine="720"/>
        <w:jc w:val="both"/>
        <w:rPr>
          <w:rFonts w:ascii="Arial" w:hAnsi="Arial" w:cs="Arial"/>
          <w:sz w:val="24"/>
          <w:szCs w:val="24"/>
          <w:lang w:val="nl-NL"/>
        </w:rPr>
      </w:pP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4- Nguyên tắc ghi nhận các khoản đầu tư tài chính:</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Các khoản đầu tư chứng khoán ngắn hạn khác: là khoản đầu tư chứng chỉ quĩ trái phiếu Công ty CP quản lý quỹ đầu tư MB</w:t>
      </w:r>
    </w:p>
    <w:p w:rsidR="006B173A" w:rsidRPr="006B173A" w:rsidRDefault="006B173A" w:rsidP="006B173A">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 xml:space="preserve">   - Các khoản đầu tư dài hạn khác: Đầu tư dài hạn khác bao gồm các khoản góp vốn vào Công ty Cổ phần Hải Minh, Công ty Cổ phần Vận tải và Xếp dỡ Hải An, Công ty Cổ phần Hàng Hải Nam Dương, Công ty TNHH Dịch vụ Container Maserco, Công ty CP thực phẩm Vijais.</w:t>
      </w:r>
    </w:p>
    <w:p w:rsidR="006B173A" w:rsidRPr="006B173A" w:rsidRDefault="006B173A" w:rsidP="006B173A">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 xml:space="preserve">  - Phương pháp lập dự phòng giảm giá đầu tư ngắn hạn, dài hạn: là số chênh lệch giữa giá gốc của khoản đầu tư phần sở hữu tính theo sổ kế toán của bên nhận đầu tư được trích lập theo quy định tại Thông tư số 228/2009/TT-BTC ngày 07/12/2009 và Thông tư số 89/2013/TT-BTC ngày 28/6/2013 của Bộ Tài chính.</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5- Nguyên tắc ghi nhận và vốn hóa các khoản chi phí đi vay:</w:t>
      </w:r>
    </w:p>
    <w:p w:rsidR="006B173A" w:rsidRPr="006B173A" w:rsidRDefault="006B173A" w:rsidP="006B173A">
      <w:pPr>
        <w:spacing w:line="0" w:lineRule="atLeast"/>
        <w:ind w:firstLine="720"/>
        <w:jc w:val="both"/>
        <w:rPr>
          <w:rFonts w:ascii="Arial" w:hAnsi="Arial" w:cs="Arial"/>
          <w:sz w:val="24"/>
          <w:szCs w:val="24"/>
          <w:lang w:val="nl-NL"/>
        </w:rPr>
      </w:pPr>
      <w:r w:rsidRPr="006B173A">
        <w:rPr>
          <w:rFonts w:ascii="Arial" w:hAnsi="Arial" w:cs="Arial"/>
          <w:sz w:val="24"/>
          <w:szCs w:val="24"/>
          <w:lang w:val="nl-NL"/>
        </w:rPr>
        <w:t>- Nguyên tắc ghi nhận chi phí đi vay:Chi phí lãi vay được ghi nhận vào chi phí sản xuất, kinh doanh trong kỳ khi phát sinh</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6- Nguyên tắc ghi nhận và vốn hóa các khoản chi phí khác:</w:t>
      </w:r>
    </w:p>
    <w:p w:rsidR="006B173A" w:rsidRPr="006B173A" w:rsidRDefault="006B173A" w:rsidP="006B173A">
      <w:pPr>
        <w:pStyle w:val="Header"/>
        <w:tabs>
          <w:tab w:val="left" w:pos="357"/>
        </w:tabs>
        <w:ind w:left="357"/>
        <w:jc w:val="both"/>
        <w:rPr>
          <w:rFonts w:ascii="Arial" w:eastAsiaTheme="minorHAnsi" w:hAnsi="Arial" w:cs="Arial"/>
          <w:kern w:val="0"/>
          <w:sz w:val="24"/>
          <w:szCs w:val="24"/>
          <w:lang w:val="nl-NL" w:eastAsia="en-US"/>
        </w:rPr>
      </w:pPr>
      <w:r w:rsidRPr="006B173A">
        <w:rPr>
          <w:rFonts w:ascii="Arial" w:eastAsiaTheme="minorHAnsi" w:hAnsi="Arial" w:cs="Arial"/>
          <w:kern w:val="0"/>
          <w:sz w:val="24"/>
          <w:szCs w:val="24"/>
          <w:lang w:val="nl-NL" w:eastAsia="en-US"/>
        </w:rPr>
        <w:lastRenderedPageBreak/>
        <w:t>Chi phí trả trước ngắn hạn là giá trị công cụ, dụng cụ được phân bổ dần vào kết quả hoạt động kinh doanh theo thời gian sử dụng ước tính dưới 12 tháng, kể từ tháng đưa vào sử dụng.</w:t>
      </w:r>
    </w:p>
    <w:p w:rsidR="006B173A" w:rsidRPr="006B173A" w:rsidRDefault="006B173A" w:rsidP="006B173A">
      <w:pPr>
        <w:pStyle w:val="Header"/>
        <w:tabs>
          <w:tab w:val="left" w:pos="357"/>
        </w:tabs>
        <w:ind w:left="360"/>
        <w:jc w:val="both"/>
        <w:rPr>
          <w:rFonts w:ascii="Arial" w:eastAsiaTheme="minorHAnsi" w:hAnsi="Arial" w:cs="Arial"/>
          <w:kern w:val="0"/>
          <w:sz w:val="24"/>
          <w:szCs w:val="24"/>
          <w:lang w:val="nl-NL" w:eastAsia="en-US"/>
        </w:rPr>
      </w:pPr>
      <w:r w:rsidRPr="006B173A">
        <w:rPr>
          <w:rFonts w:ascii="Arial" w:eastAsiaTheme="minorHAnsi" w:hAnsi="Arial" w:cs="Arial"/>
          <w:kern w:val="0"/>
          <w:sz w:val="24"/>
          <w:szCs w:val="24"/>
          <w:lang w:val="nl-NL" w:eastAsia="en-US"/>
        </w:rPr>
        <w:t>Chi phí trả trước dài hạn là giá trị công cụ, dụng cụ được phân bổ dần vào kết quả hoạt động kinh doanh theo thời gian sử dụng ước tính từ 12 tháng đến 36 tháng, kể từ tháng đưa vào sử dụng. Riêng các công cụ dụng cụ là giá trị còn lại của các tài sản có nguyên giá không đủ tiêu chuẩn ghi nhận tài sản cố định theo quy định tại Thông tư số 45/2013/TT-BTC ngày 25/4/2013 của Bộ Tài chính và Quyết định số 1173/QĐ-BTC ngày 21/5/2013 của Bộ trưởng Bộ Tài chính, được phân bổ dần vào kết quả hoạt động kinh doanh theo phương pháp đường thẳng trong 36 tháng, kể từ tháng 6 năm 2013.</w:t>
      </w:r>
    </w:p>
    <w:p w:rsidR="006B173A" w:rsidRPr="006B173A" w:rsidRDefault="006B173A" w:rsidP="006B173A">
      <w:pPr>
        <w:tabs>
          <w:tab w:val="left" w:pos="0"/>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jc w:val="both"/>
        <w:rPr>
          <w:rFonts w:ascii="Arial" w:hAnsi="Arial" w:cs="Arial"/>
          <w:sz w:val="24"/>
          <w:szCs w:val="24"/>
          <w:lang w:val="nl-NL"/>
        </w:rPr>
      </w:pPr>
      <w:r w:rsidRPr="006B173A">
        <w:rPr>
          <w:rFonts w:ascii="Arial" w:hAnsi="Arial" w:cs="Arial"/>
          <w:sz w:val="24"/>
          <w:szCs w:val="24"/>
          <w:lang w:val="nl-NL"/>
        </w:rPr>
        <w:t>7- Nguyên tắc ghi nhận chi phí phải trả.</w:t>
      </w:r>
    </w:p>
    <w:p w:rsidR="006B173A" w:rsidRPr="006B173A" w:rsidRDefault="006B173A" w:rsidP="006B173A">
      <w:pPr>
        <w:tabs>
          <w:tab w:val="left" w:pos="357"/>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380"/>
        <w:jc w:val="both"/>
        <w:rPr>
          <w:rFonts w:ascii="Arial" w:hAnsi="Arial" w:cs="Arial"/>
          <w:sz w:val="24"/>
          <w:szCs w:val="24"/>
          <w:lang w:val="nl-NL"/>
        </w:rPr>
      </w:pPr>
      <w:r w:rsidRPr="006B173A">
        <w:rPr>
          <w:rFonts w:ascii="Arial" w:hAnsi="Arial" w:cs="Arial"/>
          <w:sz w:val="24"/>
          <w:szCs w:val="24"/>
          <w:lang w:val="nl-NL"/>
        </w:rPr>
        <w:t>Chi phí phải trả được ghi nhận dựa trên các ước tính hợp lý về số tiền phải trả cho các hàng hoá, dịch vụ đã sử dụng trong kỳ. Chi phí phải trả bao gồm các khoản chi phí lãi vay phải trả và một số chi phí phải trả khác.</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8- Nguyên tắc ghi nhận vốn chủ sở hữu:</w:t>
      </w:r>
    </w:p>
    <w:p w:rsidR="006B173A" w:rsidRPr="006B173A" w:rsidRDefault="006B173A" w:rsidP="006B173A">
      <w:pPr>
        <w:spacing w:line="0" w:lineRule="atLeast"/>
        <w:ind w:left="426" w:firstLine="114"/>
        <w:jc w:val="both"/>
        <w:rPr>
          <w:rFonts w:ascii="Arial" w:hAnsi="Arial" w:cs="Arial"/>
          <w:sz w:val="24"/>
          <w:szCs w:val="24"/>
          <w:lang w:val="nl-NL"/>
        </w:rPr>
      </w:pPr>
      <w:r w:rsidRPr="006B173A">
        <w:rPr>
          <w:rFonts w:ascii="Arial" w:hAnsi="Arial" w:cs="Arial"/>
          <w:sz w:val="24"/>
          <w:szCs w:val="24"/>
          <w:lang w:val="nl-NL"/>
        </w:rPr>
        <w:t xml:space="preserve"> - Nguyên tắc ghi nhận vốn đầu tư của chủ sở hữu: bao gồm vốn góp của các cổ đông, được ghi nhận theo số vốn thực góp của các cổ đông góp cổ phần, tính theo mệnh giá đã phát hành.</w:t>
      </w:r>
    </w:p>
    <w:p w:rsidR="006B173A" w:rsidRPr="006B173A" w:rsidRDefault="006B173A" w:rsidP="006B173A">
      <w:pPr>
        <w:spacing w:line="0" w:lineRule="atLeast"/>
        <w:ind w:left="426" w:firstLine="114"/>
        <w:jc w:val="both"/>
        <w:rPr>
          <w:rFonts w:ascii="Arial" w:hAnsi="Arial" w:cs="Arial"/>
          <w:sz w:val="24"/>
          <w:szCs w:val="24"/>
          <w:lang w:val="nl-NL"/>
        </w:rPr>
      </w:pPr>
      <w:r w:rsidRPr="006B173A">
        <w:rPr>
          <w:rFonts w:ascii="Arial" w:hAnsi="Arial" w:cs="Arial"/>
          <w:sz w:val="24"/>
          <w:szCs w:val="24"/>
          <w:lang w:val="nl-NL"/>
        </w:rPr>
        <w:t>- Theo nghị quyết số 02/NQ- ĐHĐCĐ  ngày 28 tháng 3 năm 2015, thông qua kế hoạch phân phối lợi nhuận sau thuế thu nhập doanh nghiệp năm 2014 nh</w:t>
      </w:r>
      <w:r w:rsidRPr="006B173A">
        <w:rPr>
          <w:rFonts w:ascii="Arial" w:hAnsi="Arial" w:cs="Arial" w:hint="cs"/>
          <w:sz w:val="24"/>
          <w:szCs w:val="24"/>
          <w:lang w:val="nl-NL"/>
        </w:rPr>
        <w:t>ư</w:t>
      </w:r>
      <w:r w:rsidRPr="006B173A">
        <w:rPr>
          <w:rFonts w:ascii="Arial" w:hAnsi="Arial" w:cs="Arial"/>
          <w:sz w:val="24"/>
          <w:szCs w:val="24"/>
          <w:lang w:val="nl-NL"/>
        </w:rPr>
        <w:t xml:space="preserve"> sau: Chia cổ tức 7% bằng cổ phiếu, trích lập Quĩ đầu t</w:t>
      </w:r>
      <w:r w:rsidRPr="006B173A">
        <w:rPr>
          <w:rFonts w:ascii="Arial" w:hAnsi="Arial" w:cs="Arial" w:hint="cs"/>
          <w:sz w:val="24"/>
          <w:szCs w:val="24"/>
          <w:lang w:val="nl-NL"/>
        </w:rPr>
        <w:t>ư</w:t>
      </w:r>
      <w:r w:rsidRPr="006B173A">
        <w:rPr>
          <w:rFonts w:ascii="Arial" w:hAnsi="Arial" w:cs="Arial"/>
          <w:sz w:val="24"/>
          <w:szCs w:val="24"/>
          <w:lang w:val="nl-NL"/>
        </w:rPr>
        <w:t xml:space="preserve"> phát triển: 5% và Quĩ khen th</w:t>
      </w:r>
      <w:r w:rsidRPr="006B173A">
        <w:rPr>
          <w:rFonts w:ascii="Arial" w:hAnsi="Arial" w:cs="Arial" w:hint="cs"/>
          <w:sz w:val="24"/>
          <w:szCs w:val="24"/>
          <w:lang w:val="nl-NL"/>
        </w:rPr>
        <w:t>ư</w:t>
      </w:r>
      <w:r w:rsidRPr="006B173A">
        <w:rPr>
          <w:rFonts w:ascii="Arial" w:hAnsi="Arial" w:cs="Arial"/>
          <w:sz w:val="24"/>
          <w:szCs w:val="24"/>
          <w:lang w:val="nl-NL"/>
        </w:rPr>
        <w:t>ởng phúc lợi: 10%.</w:t>
      </w:r>
    </w:p>
    <w:p w:rsidR="006B173A" w:rsidRPr="006B173A" w:rsidRDefault="006B173A" w:rsidP="006B173A">
      <w:pPr>
        <w:spacing w:line="0" w:lineRule="atLeast"/>
        <w:ind w:left="426" w:hanging="180"/>
        <w:jc w:val="both"/>
        <w:rPr>
          <w:rFonts w:ascii="Arial" w:hAnsi="Arial" w:cs="Arial"/>
          <w:sz w:val="24"/>
          <w:szCs w:val="24"/>
          <w:lang w:val="nl-NL"/>
        </w:rPr>
      </w:pPr>
      <w:r w:rsidRPr="006B173A">
        <w:rPr>
          <w:rFonts w:ascii="Arial" w:hAnsi="Arial" w:cs="Arial"/>
          <w:sz w:val="24"/>
          <w:szCs w:val="24"/>
          <w:lang w:val="nl-NL"/>
        </w:rPr>
        <w:t xml:space="preserve">    - Nguyên tắc ghi nhận lợi nhuận sau thuế chưa phân phối: là số lãi từ các hoạt động của Công ty đến thời điểm 30/0</w:t>
      </w:r>
      <w:r>
        <w:rPr>
          <w:rFonts w:ascii="Arial" w:hAnsi="Arial" w:cs="Arial"/>
          <w:sz w:val="24"/>
          <w:szCs w:val="24"/>
          <w:lang w:val="nl-NL"/>
        </w:rPr>
        <w:t>9</w:t>
      </w:r>
      <w:r w:rsidRPr="006B173A">
        <w:rPr>
          <w:rFonts w:ascii="Arial" w:hAnsi="Arial" w:cs="Arial"/>
          <w:sz w:val="24"/>
          <w:szCs w:val="24"/>
          <w:lang w:val="nl-NL"/>
        </w:rPr>
        <w:t>/2015.</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9- Nguyên tắc và phương pháp ghi nhận doanh thu:</w:t>
      </w:r>
    </w:p>
    <w:p w:rsidR="006B173A" w:rsidRPr="006B173A" w:rsidRDefault="006B173A" w:rsidP="006B173A">
      <w:pPr>
        <w:spacing w:line="0" w:lineRule="atLeast"/>
        <w:ind w:left="284"/>
        <w:jc w:val="both"/>
        <w:rPr>
          <w:rFonts w:ascii="Arial" w:hAnsi="Arial" w:cs="Arial"/>
          <w:sz w:val="24"/>
          <w:szCs w:val="24"/>
          <w:lang w:val="nl-NL"/>
        </w:rPr>
      </w:pPr>
      <w:r w:rsidRPr="006B173A">
        <w:rPr>
          <w:rFonts w:ascii="Arial" w:hAnsi="Arial" w:cs="Arial"/>
          <w:sz w:val="24"/>
          <w:szCs w:val="24"/>
          <w:lang w:val="nl-NL"/>
        </w:rPr>
        <w:t xml:space="preserve">   - Doanh thu bán hàng hóa: được ghi nhận khi quyền sở hữu hàng hóa được chuyển sang người mua. </w:t>
      </w:r>
    </w:p>
    <w:p w:rsidR="006B173A" w:rsidRPr="006B173A" w:rsidRDefault="006B173A" w:rsidP="006B173A">
      <w:pPr>
        <w:spacing w:line="0" w:lineRule="atLeast"/>
        <w:ind w:left="284" w:firstLine="256"/>
        <w:jc w:val="both"/>
        <w:rPr>
          <w:rFonts w:ascii="Arial" w:hAnsi="Arial" w:cs="Arial"/>
          <w:sz w:val="24"/>
          <w:szCs w:val="24"/>
          <w:lang w:val="nl-NL"/>
        </w:rPr>
      </w:pPr>
      <w:r w:rsidRPr="006B173A">
        <w:rPr>
          <w:rFonts w:ascii="Arial" w:hAnsi="Arial" w:cs="Arial"/>
          <w:sz w:val="24"/>
          <w:szCs w:val="24"/>
          <w:lang w:val="nl-NL"/>
        </w:rPr>
        <w:t>- Doanh thu cung cấp dịch vụ: được ghi nhận khi hoàn thành dịch vụ cung cấp cho khách hàng và được khách hàng chấp nhận thanh toán</w:t>
      </w:r>
    </w:p>
    <w:p w:rsidR="006B173A" w:rsidRPr="006B173A" w:rsidRDefault="006B173A" w:rsidP="006B173A">
      <w:pPr>
        <w:tabs>
          <w:tab w:val="left" w:pos="284"/>
          <w:tab w:val="left" w:pos="630"/>
          <w:tab w:val="left" w:pos="1440"/>
          <w:tab w:val="left" w:pos="2268"/>
          <w:tab w:val="left" w:pos="2880"/>
          <w:tab w:val="left" w:pos="3600"/>
          <w:tab w:val="left" w:pos="4320"/>
          <w:tab w:val="left" w:pos="5040"/>
          <w:tab w:val="left" w:pos="5760"/>
          <w:tab w:val="left" w:pos="6480"/>
          <w:tab w:val="left" w:pos="7200"/>
          <w:tab w:val="left" w:pos="7920"/>
          <w:tab w:val="left" w:pos="8647"/>
        </w:tabs>
        <w:suppressAutoHyphens/>
        <w:ind w:left="142" w:hanging="96"/>
        <w:jc w:val="both"/>
        <w:rPr>
          <w:rFonts w:ascii="Arial" w:hAnsi="Arial" w:cs="Arial"/>
          <w:sz w:val="24"/>
          <w:szCs w:val="24"/>
          <w:lang w:val="nl-NL"/>
        </w:rPr>
      </w:pPr>
      <w:r w:rsidRPr="006B173A">
        <w:rPr>
          <w:rFonts w:ascii="Arial" w:hAnsi="Arial" w:cs="Arial"/>
          <w:sz w:val="24"/>
          <w:szCs w:val="24"/>
          <w:lang w:val="nl-NL"/>
        </w:rPr>
        <w:t xml:space="preserve">       - Doanh thu hoạt động tài chính:bao gồm doanh thu phát sinh từ lãi tiền gửi, tiền cho vay, cổ tức, lợi nhuận được chia và chênh lệch tỷ giá.</w:t>
      </w:r>
    </w:p>
    <w:p w:rsidR="006B173A" w:rsidRPr="006B173A" w:rsidRDefault="006B173A" w:rsidP="006B173A">
      <w:pPr>
        <w:spacing w:line="0" w:lineRule="atLeast"/>
        <w:jc w:val="both"/>
        <w:rPr>
          <w:rFonts w:ascii="Arial" w:hAnsi="Arial" w:cs="Arial"/>
          <w:sz w:val="24"/>
          <w:szCs w:val="24"/>
          <w:lang w:val="nl-NL"/>
        </w:rPr>
      </w:pPr>
      <w:r w:rsidRPr="006B173A">
        <w:rPr>
          <w:rFonts w:ascii="Arial" w:hAnsi="Arial" w:cs="Arial"/>
          <w:sz w:val="24"/>
          <w:szCs w:val="24"/>
          <w:lang w:val="nl-NL"/>
        </w:rPr>
        <w:t>10. Nguyên tắc và phương pháp ghi nhận chi phí tài chính: là lãi tiền vay được ghi nhận theo thực tế phát sinh trên cơ sở số tiền vay và lãi suất vay từng kỳ thực tế.</w:t>
      </w:r>
    </w:p>
    <w:p w:rsidR="006B173A" w:rsidRPr="006B173A" w:rsidRDefault="006B173A" w:rsidP="006B173A">
      <w:pPr>
        <w:spacing w:line="0" w:lineRule="atLeast"/>
        <w:ind w:left="360" w:hanging="360"/>
        <w:jc w:val="both"/>
        <w:rPr>
          <w:rFonts w:ascii="Arial" w:hAnsi="Arial" w:cs="Arial"/>
          <w:sz w:val="24"/>
          <w:szCs w:val="24"/>
          <w:lang w:val="nl-NL"/>
        </w:rPr>
      </w:pPr>
      <w:r w:rsidRPr="006B173A">
        <w:rPr>
          <w:rFonts w:ascii="Arial" w:hAnsi="Arial" w:cs="Arial"/>
          <w:sz w:val="24"/>
          <w:szCs w:val="24"/>
          <w:lang w:val="nl-NL"/>
        </w:rPr>
        <w:t>11. Nguyên tắc và phương pháp ghi nhận chi phí thuế thu nhập doanh nghiệp hiện hành: được xác định trên cơ sở thu nhập chịu thuế và thuế suất thuế TNDN. Thuế suất thuế TNDN áp dụng là 22%.</w:t>
      </w:r>
    </w:p>
    <w:p w:rsidR="006B173A" w:rsidRPr="006B173A" w:rsidRDefault="006B173A" w:rsidP="006B173A">
      <w:pPr>
        <w:spacing w:line="0" w:lineRule="atLeast"/>
        <w:ind w:left="360" w:hanging="360"/>
        <w:jc w:val="both"/>
        <w:rPr>
          <w:rFonts w:ascii="Arial" w:hAnsi="Arial" w:cs="Arial"/>
          <w:sz w:val="26"/>
          <w:szCs w:val="26"/>
          <w:lang w:val="nl-NL"/>
        </w:rPr>
      </w:pPr>
    </w:p>
    <w:p w:rsidR="006B173A" w:rsidRPr="006B173A" w:rsidRDefault="006B173A" w:rsidP="006B173A">
      <w:pPr>
        <w:spacing w:line="0" w:lineRule="atLeast"/>
        <w:ind w:left="360" w:hanging="360"/>
        <w:jc w:val="both"/>
        <w:rPr>
          <w:rFonts w:ascii="Arial" w:hAnsi="Arial" w:cs="Arial"/>
          <w:sz w:val="26"/>
          <w:szCs w:val="26"/>
          <w:lang w:val="nl-NL"/>
        </w:rPr>
      </w:pPr>
    </w:p>
    <w:p w:rsidR="006B173A" w:rsidRPr="006B173A" w:rsidRDefault="006B173A" w:rsidP="006B173A">
      <w:pPr>
        <w:spacing w:line="0" w:lineRule="atLeast"/>
        <w:ind w:left="360" w:hanging="360"/>
        <w:jc w:val="both"/>
        <w:rPr>
          <w:rFonts w:ascii="Arial" w:hAnsi="Arial" w:cs="Arial"/>
          <w:sz w:val="26"/>
          <w:szCs w:val="26"/>
          <w:lang w:val="nl-NL"/>
        </w:rPr>
      </w:pPr>
    </w:p>
    <w:p w:rsidR="006B173A" w:rsidRPr="006B173A" w:rsidRDefault="006B173A">
      <w:pPr>
        <w:rPr>
          <w:sz w:val="22"/>
        </w:rPr>
      </w:pPr>
    </w:p>
    <w:p w:rsidR="006B173A" w:rsidRDefault="006B173A"/>
    <w:tbl>
      <w:tblPr>
        <w:tblW w:w="9824" w:type="dxa"/>
        <w:jc w:val="right"/>
        <w:tblInd w:w="108" w:type="dxa"/>
        <w:tblLook w:val="04A0"/>
      </w:tblPr>
      <w:tblGrid>
        <w:gridCol w:w="876"/>
        <w:gridCol w:w="4462"/>
        <w:gridCol w:w="1714"/>
        <w:gridCol w:w="976"/>
        <w:gridCol w:w="1796"/>
      </w:tblGrid>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lastRenderedPageBreak/>
              <w:t>1</w:t>
            </w:r>
          </w:p>
        </w:tc>
        <w:tc>
          <w:tcPr>
            <w:tcW w:w="6176" w:type="dxa"/>
            <w:gridSpan w:val="2"/>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TIỀN VÀ CÁC KHOẢN TƯƠNG ĐƯƠNG TIỀN</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Tiền mặt</w:t>
            </w: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          634,057,817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          229,748,414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Tiền gửi ngân hàng</w:t>
            </w: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       7,101,505,280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       3,472,414,488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Các khoản tương đương tiền</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ascii=".VnArial" w:eastAsia="Times New Roman" w:hAnsi=".VnArial" w:cs="Times New Roman"/>
                <w:sz w:val="20"/>
                <w:szCs w:val="20"/>
              </w:rPr>
            </w:pPr>
            <w:r w:rsidRPr="006B173A">
              <w:rPr>
                <w:rFonts w:ascii=".VnArial" w:eastAsia="Times New Roman" w:hAnsi=".VnArial" w:cs="Times New Roman"/>
                <w:sz w:val="20"/>
                <w:szCs w:val="20"/>
              </w:rPr>
              <w:t>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i/>
                <w:iCs/>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       4,000,000,000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7,735,563,097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7,702,162,902 </w:t>
            </w: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i/>
                <w:iCs/>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i/>
                <w:iCs/>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2</w:t>
            </w:r>
          </w:p>
        </w:tc>
        <w:tc>
          <w:tcPr>
            <w:tcW w:w="6176" w:type="dxa"/>
            <w:gridSpan w:val="2"/>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CÁC KHOẢN ĐẦU TƯ TÀI CHÍNH NGẮN HẠN</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Tiền gửi có kỳ hạn</w:t>
            </w: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 xml:space="preserve">                          -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Chứng khoán đầu tư ngắn hạn</w:t>
            </w: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Cho vay ngắn hạn</w:t>
            </w: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i/>
                <w:iCs/>
                <w:sz w:val="22"/>
              </w:rPr>
            </w:pP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i/>
                <w:iCs/>
                <w:sz w:val="22"/>
              </w:rPr>
            </w:pPr>
            <w:r w:rsidRPr="006B173A">
              <w:rPr>
                <w:rFonts w:eastAsia="Times New Roman" w:cs="Times New Roman"/>
                <w:i/>
                <w:iCs/>
                <w:sz w:val="22"/>
              </w:rPr>
              <w:t>Chứng chỉ quĩ Cty CP quản lý quỹ đầu tư MB</w:t>
            </w: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500,000,000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500,000,000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i/>
                <w:iCs/>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500,000,000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500,000,000 </w:t>
            </w: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3</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CÁC KHOẢN PHẢI THU NGẮN HẠN KHÁC</w:t>
            </w: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color w:val="000000"/>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14,287,202,685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16,213,015,516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Phải thu Cty Nam Dương</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12,693,570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12,693,570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Cty CP vận tải và Xếp dỡ Hải An</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2,042,320,326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4,392,320,326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Cty TNHH DV Container Maserco</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353,311,562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287,304,362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Cty CP thực phẩm Vijais</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9,500,000,000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i/>
                <w:iCs/>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9,500,000,000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Đặt cọc</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2,108,000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i/>
                <w:iCs/>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2,108,000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Tạm ứng</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1,114,075,570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i/>
                <w:iCs/>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1,263,776,017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Phải thu khác</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1,262,693,657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i/>
                <w:iCs/>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754,813,241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14,287,202,685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16,213,015,516 </w:t>
            </w: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4</w:t>
            </w: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HÀNG TỒN KHO</w:t>
            </w: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Hàng mua đang đi trên đường</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58,932,834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41,028,570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Nguyên vật liệu</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9,605,052,723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6,842,455,685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CCDC</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854,277,943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790,767,991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Chi phí SXKD dở dang</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2,148,563,008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1,480,430,981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Thành phẩm</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695,759,587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551,717,640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Hàng hóa</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25,806,893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25,806,893 </w:t>
            </w: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13,388,392,988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9,732,207,760 </w:t>
            </w: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5</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CHI PHÍ XÂY DỰNG CƠ BẢN DỞ DANG</w:t>
            </w: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p>
        </w:tc>
        <w:tc>
          <w:tcPr>
            <w:tcW w:w="1796"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6B173A" w:rsidRPr="006B173A" w:rsidTr="006B173A">
        <w:trPr>
          <w:trHeight w:val="300"/>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sz w:val="20"/>
                <w:szCs w:val="20"/>
              </w:rPr>
            </w:pPr>
            <w:r w:rsidRPr="006B173A">
              <w:rPr>
                <w:rFonts w:ascii=".VnArial" w:eastAsia="Times New Roman" w:hAnsi=".VnArial" w:cs="Times New Roman"/>
                <w:sz w:val="20"/>
                <w:szCs w:val="20"/>
              </w:rPr>
              <w:t> </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w:t>
            </w:r>
          </w:p>
        </w:tc>
      </w:tr>
      <w:tr w:rsidR="006B173A" w:rsidRPr="006B173A" w:rsidTr="006B173A">
        <w:trPr>
          <w:trHeight w:val="300"/>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 xml:space="preserve"> Mở rộng bãi dọc kè chắn </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279,404,729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178,787,799 </w:t>
            </w:r>
          </w:p>
        </w:tc>
      </w:tr>
      <w:tr w:rsidR="006B173A" w:rsidRPr="006B173A" w:rsidTr="006B173A">
        <w:trPr>
          <w:trHeight w:val="300"/>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00"/>
                <w:sz w:val="22"/>
              </w:rPr>
            </w:pPr>
            <w:r w:rsidRPr="006B173A">
              <w:rPr>
                <w:rFonts w:eastAsia="Times New Roman" w:cs="Times New Roman"/>
                <w:b/>
                <w:bCs/>
                <w:color w:val="000000"/>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Time" w:eastAsia="Times New Roman" w:hAnsi=".VnTime" w:cs="Times New Roman"/>
                <w:color w:val="FF0000"/>
                <w:sz w:val="20"/>
                <w:szCs w:val="20"/>
              </w:rPr>
            </w:pPr>
            <w:r w:rsidRPr="006B173A">
              <w:rPr>
                <w:rFonts w:ascii=".VnTime" w:eastAsia="Times New Roman" w:hAnsi=".VnTime" w:cs="Times New Roman"/>
                <w:color w:val="FF0000"/>
                <w:sz w:val="20"/>
                <w:szCs w:val="20"/>
              </w:rPr>
              <w:t>XD nhà kho, x</w:t>
            </w:r>
            <w:r w:rsidRPr="006B173A">
              <w:rPr>
                <w:rFonts w:ascii="Arial" w:eastAsia="Times New Roman" w:hAnsi="Arial" w:cs="Arial"/>
                <w:color w:val="FF0000"/>
                <w:sz w:val="20"/>
                <w:szCs w:val="20"/>
              </w:rPr>
              <w:t>ưở</w:t>
            </w:r>
            <w:r w:rsidRPr="006B173A">
              <w:rPr>
                <w:rFonts w:ascii=".VnTime" w:eastAsia="Times New Roman" w:hAnsi=".VnTime" w:cs=".VnTime"/>
                <w:color w:val="FF0000"/>
                <w:sz w:val="20"/>
                <w:szCs w:val="20"/>
              </w:rPr>
              <w:t xml:space="preserve">ng t¹i 173 NQ giai </w:t>
            </w:r>
            <w:r w:rsidRPr="006B173A">
              <w:rPr>
                <w:rFonts w:ascii="Arial" w:eastAsia="Times New Roman" w:hAnsi="Arial" w:cs="Arial"/>
                <w:color w:val="FF0000"/>
                <w:sz w:val="20"/>
                <w:szCs w:val="20"/>
              </w:rPr>
              <w:t>đ</w:t>
            </w:r>
            <w:r w:rsidRPr="006B173A">
              <w:rPr>
                <w:rFonts w:ascii=".VnTime" w:eastAsia="Times New Roman" w:hAnsi=".VnTime" w:cs=".VnTime"/>
                <w:color w:val="FF0000"/>
                <w:sz w:val="20"/>
                <w:szCs w:val="20"/>
              </w:rPr>
              <w:t>o</w:t>
            </w:r>
            <w:r w:rsidRPr="006B173A">
              <w:rPr>
                <w:rFonts w:ascii="Arial" w:eastAsia="Times New Roman" w:hAnsi="Arial" w:cs="Arial"/>
                <w:color w:val="FF0000"/>
                <w:sz w:val="20"/>
                <w:szCs w:val="20"/>
              </w:rPr>
              <w:t>ạ</w:t>
            </w:r>
            <w:r w:rsidRPr="006B173A">
              <w:rPr>
                <w:rFonts w:ascii=".VnTime" w:eastAsia="Times New Roman" w:hAnsi=".VnTime" w:cs=".VnTime"/>
                <w:color w:val="FF0000"/>
                <w:sz w:val="20"/>
                <w:szCs w:val="20"/>
              </w:rPr>
              <w:t xml:space="preserve">n </w:t>
            </w:r>
            <w:r w:rsidRPr="006B173A">
              <w:rPr>
                <w:rFonts w:ascii=".VnTime" w:eastAsia="Times New Roman" w:hAnsi=".VnTime" w:cs="Times New Roman"/>
                <w:color w:val="FF0000"/>
                <w:sz w:val="20"/>
                <w:szCs w:val="20"/>
              </w:rPr>
              <w:t>3</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1,509,253,953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1,043,873,254 </w:t>
            </w:r>
          </w:p>
        </w:tc>
      </w:tr>
      <w:tr w:rsidR="006B173A" w:rsidRPr="006B173A" w:rsidTr="006B173A">
        <w:trPr>
          <w:trHeight w:val="300"/>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Cẩu dàn</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28,938,547 </w:t>
            </w:r>
          </w:p>
        </w:tc>
      </w:tr>
      <w:tr w:rsidR="006B173A" w:rsidRPr="006B173A" w:rsidTr="006B173A">
        <w:trPr>
          <w:trHeight w:val="300"/>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2"/>
              </w:rPr>
            </w:pPr>
            <w:r w:rsidRPr="006B173A">
              <w:rPr>
                <w:rFonts w:eastAsia="Times New Roman" w:cs="Times New Roman"/>
                <w:sz w:val="22"/>
              </w:rPr>
              <w:t>Máy làm phẳng tôn</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Nhà kho SITC</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225,135,133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211,480,333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XD nhà tại Đà Nẵng</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477,815,418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Nhà xưởng tại CNMN</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17,624,000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Máy chấn tôn</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48,000,000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Nhà rửa xe 8A</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184,717,846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18,336,295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Nhà hội trường</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673,862,595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Nhà giao nhận</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46,986,500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Motachi ĐV</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397,262,151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Motachi ĐS</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13,559,159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Xe nâng Kalma</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4,769,327,013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r>
      <w:tr w:rsidR="006B173A" w:rsidRPr="006B173A" w:rsidTr="006B173A">
        <w:trPr>
          <w:trHeight w:val="315"/>
          <w:jc w:val="right"/>
        </w:trPr>
        <w:tc>
          <w:tcPr>
            <w:tcW w:w="8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Nhà xưởng HCM</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121,317,920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sz w:val="24"/>
                <w:szCs w:val="24"/>
              </w:rPr>
            </w:pPr>
            <w:r w:rsidRPr="006B173A">
              <w:rPr>
                <w:rFonts w:eastAsia="Times New Roman" w:cs="Times New Roman"/>
                <w:sz w:val="24"/>
                <w:szCs w:val="24"/>
              </w:rPr>
              <w:t> </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nil"/>
              <w:left w:val="nil"/>
              <w:bottom w:val="double" w:sz="6" w:space="0" w:color="auto"/>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8,220,826,999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w:t>
            </w:r>
          </w:p>
        </w:tc>
        <w:tc>
          <w:tcPr>
            <w:tcW w:w="1796" w:type="dxa"/>
            <w:tcBorders>
              <w:top w:val="nil"/>
              <w:left w:val="nil"/>
              <w:bottom w:val="double" w:sz="6" w:space="0" w:color="auto"/>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2,024,855,646 </w:t>
            </w: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 xml:space="preserve">    </w:t>
            </w: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6B173A">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6</w:t>
            </w:r>
          </w:p>
        </w:tc>
        <w:tc>
          <w:tcPr>
            <w:tcW w:w="6176" w:type="dxa"/>
            <w:gridSpan w:val="2"/>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r w:rsidRPr="006B173A">
              <w:rPr>
                <w:rFonts w:eastAsia="Times New Roman" w:cs="Times New Roman"/>
                <w:b/>
                <w:bCs/>
                <w:color w:val="0000FF"/>
                <w:sz w:val="22"/>
              </w:rPr>
              <w:t>CÁC KHOẢN PHẢI THU DÀI HẠN KHÁC</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6B173A" w:rsidRPr="006B173A" w:rsidRDefault="006B173A" w:rsidP="006B173A">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b/>
                <w:bCs/>
                <w:color w:val="000000"/>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Cty CP Motachi</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5,291,168,000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color w:val="000000"/>
                <w:sz w:val="22"/>
              </w:rPr>
            </w:pPr>
            <w:r w:rsidRPr="006B173A">
              <w:rPr>
                <w:rFonts w:eastAsia="Times New Roman" w:cs="Times New Roman"/>
                <w:color w:val="000000"/>
                <w:sz w:val="22"/>
              </w:rPr>
              <w:t>Ký quỹ, ký cược</w:t>
            </w: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2,003,200,000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jc w:val="right"/>
              <w:rPr>
                <w:rFonts w:eastAsia="Times New Roman" w:cs="Times New Roman"/>
                <w:sz w:val="22"/>
              </w:rPr>
            </w:pPr>
            <w:r w:rsidRPr="006B173A">
              <w:rPr>
                <w:rFonts w:eastAsia="Times New Roman" w:cs="Times New Roman"/>
                <w:sz w:val="22"/>
              </w:rPr>
              <w:t xml:space="preserve">3,200,000 </w:t>
            </w: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6B173A" w:rsidRPr="006B173A" w:rsidRDefault="006B173A" w:rsidP="006B173A">
            <w:pPr>
              <w:spacing w:after="0" w:line="240" w:lineRule="auto"/>
              <w:rPr>
                <w:rFonts w:ascii=".VnArial" w:eastAsia="Times New Roman" w:hAnsi=".VnArial" w:cs="Times New Roman"/>
                <w:color w:val="000000"/>
                <w:sz w:val="20"/>
                <w:szCs w:val="20"/>
              </w:rPr>
            </w:pPr>
            <w:r w:rsidRPr="006B173A">
              <w:rPr>
                <w:rFonts w:ascii=".VnArial" w:eastAsia="Times New Roman" w:hAnsi=".VnArial" w:cs="Times New Roman"/>
                <w:color w:val="000000"/>
                <w:sz w:val="20"/>
                <w:szCs w:val="20"/>
              </w:rPr>
              <w:t> </w:t>
            </w: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00"/>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6B173A" w:rsidRPr="006B173A" w:rsidRDefault="006B173A" w:rsidP="006B173A">
            <w:pPr>
              <w:spacing w:after="0" w:line="240" w:lineRule="auto"/>
              <w:rPr>
                <w:rFonts w:eastAsia="Times New Roman" w:cs="Times New Roman"/>
                <w:color w:val="000000"/>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7,294,368,000 </w:t>
            </w:r>
          </w:p>
        </w:tc>
        <w:tc>
          <w:tcPr>
            <w:tcW w:w="976"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w:t>
            </w:r>
          </w:p>
        </w:tc>
        <w:tc>
          <w:tcPr>
            <w:tcW w:w="1796" w:type="dxa"/>
            <w:tcBorders>
              <w:top w:val="single" w:sz="4" w:space="0" w:color="auto"/>
              <w:left w:val="nil"/>
              <w:bottom w:val="double" w:sz="6" w:space="0" w:color="auto"/>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sz w:val="22"/>
              </w:rPr>
            </w:pPr>
            <w:r w:rsidRPr="006B173A">
              <w:rPr>
                <w:rFonts w:eastAsia="Times New Roman" w:cs="Times New Roman"/>
                <w:b/>
                <w:bCs/>
                <w:sz w:val="22"/>
              </w:rPr>
              <w:t xml:space="preserve">           3,200,000 </w:t>
            </w:r>
          </w:p>
        </w:tc>
      </w:tr>
      <w:tr w:rsidR="006B173A" w:rsidRPr="006B173A" w:rsidTr="006B173A">
        <w:trPr>
          <w:trHeight w:val="315"/>
          <w:jc w:val="right"/>
        </w:trPr>
        <w:tc>
          <w:tcPr>
            <w:tcW w:w="8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6B173A" w:rsidRPr="006B173A" w:rsidRDefault="006B173A" w:rsidP="006B173A">
            <w:pPr>
              <w:spacing w:after="0" w:line="240" w:lineRule="auto"/>
              <w:rPr>
                <w:rFonts w:eastAsia="Times New Roman" w:cs="Times New Roman"/>
                <w:b/>
                <w:bCs/>
                <w:color w:val="FF0000"/>
                <w:sz w:val="22"/>
              </w:rPr>
            </w:pPr>
          </w:p>
        </w:tc>
      </w:tr>
    </w:tbl>
    <w:p w:rsidR="008F1DB5" w:rsidRDefault="008F1DB5"/>
    <w:p w:rsidR="00D940D0" w:rsidRDefault="00D940D0"/>
    <w:p w:rsidR="00D940D0" w:rsidRDefault="00D940D0"/>
    <w:tbl>
      <w:tblPr>
        <w:tblW w:w="10307" w:type="dxa"/>
        <w:jc w:val="right"/>
        <w:tblInd w:w="108" w:type="dxa"/>
        <w:tblLook w:val="04A0"/>
      </w:tblPr>
      <w:tblGrid>
        <w:gridCol w:w="2928"/>
        <w:gridCol w:w="1635"/>
        <w:gridCol w:w="1394"/>
        <w:gridCol w:w="1493"/>
        <w:gridCol w:w="1391"/>
        <w:gridCol w:w="1466"/>
      </w:tblGrid>
      <w:tr w:rsidR="00D940D0" w:rsidRPr="00460603" w:rsidTr="00D940D0">
        <w:trPr>
          <w:trHeight w:val="300"/>
          <w:jc w:val="right"/>
        </w:trPr>
        <w:tc>
          <w:tcPr>
            <w:tcW w:w="4563" w:type="dxa"/>
            <w:gridSpan w:val="2"/>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b/>
                <w:bCs/>
                <w:color w:val="0000FF"/>
                <w:sz w:val="22"/>
              </w:rPr>
            </w:pPr>
            <w:r w:rsidRPr="00460603">
              <w:rPr>
                <w:rFonts w:eastAsia="Times New Roman" w:cs="Times New Roman"/>
                <w:b/>
                <w:bCs/>
                <w:color w:val="0000FF"/>
                <w:sz w:val="22"/>
              </w:rPr>
              <w:lastRenderedPageBreak/>
              <w:t>7. TÀI SẢN CỐ ĐỊNH HỮU HÌNH</w:t>
            </w:r>
          </w:p>
        </w:tc>
        <w:tc>
          <w:tcPr>
            <w:tcW w:w="1394"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493"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391"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466"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r>
      <w:tr w:rsidR="00D940D0" w:rsidRPr="00460603" w:rsidTr="00D940D0">
        <w:trPr>
          <w:trHeight w:val="300"/>
          <w:jc w:val="right"/>
        </w:trPr>
        <w:tc>
          <w:tcPr>
            <w:tcW w:w="2928"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635"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394"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493"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391"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c>
          <w:tcPr>
            <w:tcW w:w="1466"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p>
        </w:tc>
      </w:tr>
      <w:tr w:rsidR="00D940D0" w:rsidRPr="00460603" w:rsidTr="00D940D0">
        <w:trPr>
          <w:trHeight w:val="510"/>
          <w:jc w:val="right"/>
        </w:trPr>
        <w:tc>
          <w:tcPr>
            <w:tcW w:w="2928" w:type="dxa"/>
            <w:tcBorders>
              <w:top w:val="single" w:sz="4" w:space="0" w:color="auto"/>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Khoản mục</w:t>
            </w:r>
          </w:p>
        </w:tc>
        <w:tc>
          <w:tcPr>
            <w:tcW w:w="1635" w:type="dxa"/>
            <w:tcBorders>
              <w:top w:val="single" w:sz="4" w:space="0" w:color="auto"/>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center"/>
              <w:rPr>
                <w:rFonts w:eastAsia="Times New Roman" w:cs="Times New Roman"/>
                <w:b/>
                <w:bCs/>
                <w:sz w:val="20"/>
                <w:szCs w:val="20"/>
              </w:rPr>
            </w:pPr>
            <w:r w:rsidRPr="00460603">
              <w:rPr>
                <w:rFonts w:eastAsia="Times New Roman" w:cs="Times New Roman"/>
                <w:b/>
                <w:bCs/>
                <w:sz w:val="20"/>
                <w:szCs w:val="20"/>
              </w:rPr>
              <w:t xml:space="preserve">  Nhà cửa, vật kiến trúc  </w:t>
            </w:r>
          </w:p>
        </w:tc>
        <w:tc>
          <w:tcPr>
            <w:tcW w:w="1394" w:type="dxa"/>
            <w:tcBorders>
              <w:top w:val="single" w:sz="4" w:space="0" w:color="auto"/>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center"/>
              <w:rPr>
                <w:rFonts w:eastAsia="Times New Roman" w:cs="Times New Roman"/>
                <w:b/>
                <w:bCs/>
                <w:sz w:val="20"/>
                <w:szCs w:val="20"/>
              </w:rPr>
            </w:pPr>
            <w:r w:rsidRPr="00460603">
              <w:rPr>
                <w:rFonts w:eastAsia="Times New Roman" w:cs="Times New Roman"/>
                <w:b/>
                <w:bCs/>
                <w:sz w:val="20"/>
                <w:szCs w:val="20"/>
              </w:rPr>
              <w:t xml:space="preserve">  Máy móc thiết bị  </w:t>
            </w:r>
          </w:p>
        </w:tc>
        <w:tc>
          <w:tcPr>
            <w:tcW w:w="1493" w:type="dxa"/>
            <w:tcBorders>
              <w:top w:val="single" w:sz="4" w:space="0" w:color="auto"/>
              <w:left w:val="nil"/>
              <w:bottom w:val="single" w:sz="4" w:space="0" w:color="auto"/>
              <w:right w:val="single" w:sz="4" w:space="0" w:color="auto"/>
            </w:tcBorders>
            <w:shd w:val="clear" w:color="auto" w:fill="auto"/>
            <w:noWrap/>
            <w:hideMark/>
          </w:tcPr>
          <w:p w:rsidR="00D940D0" w:rsidRPr="00460603" w:rsidRDefault="00D940D0" w:rsidP="00D940D0">
            <w:pPr>
              <w:spacing w:after="0" w:line="240" w:lineRule="auto"/>
              <w:jc w:val="center"/>
              <w:rPr>
                <w:rFonts w:eastAsia="Times New Roman" w:cs="Times New Roman"/>
                <w:b/>
                <w:bCs/>
                <w:sz w:val="20"/>
                <w:szCs w:val="20"/>
              </w:rPr>
            </w:pPr>
            <w:r w:rsidRPr="00460603">
              <w:rPr>
                <w:rFonts w:eastAsia="Times New Roman" w:cs="Times New Roman"/>
                <w:b/>
                <w:bCs/>
                <w:sz w:val="20"/>
                <w:szCs w:val="20"/>
              </w:rPr>
              <w:t xml:space="preserve">  Phương tiện vận tải  </w:t>
            </w:r>
          </w:p>
        </w:tc>
        <w:tc>
          <w:tcPr>
            <w:tcW w:w="1391" w:type="dxa"/>
            <w:tcBorders>
              <w:top w:val="single" w:sz="4" w:space="0" w:color="auto"/>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center"/>
              <w:rPr>
                <w:rFonts w:eastAsia="Times New Roman" w:cs="Times New Roman"/>
                <w:b/>
                <w:bCs/>
                <w:sz w:val="20"/>
                <w:szCs w:val="20"/>
              </w:rPr>
            </w:pPr>
            <w:r w:rsidRPr="00460603">
              <w:rPr>
                <w:rFonts w:eastAsia="Times New Roman" w:cs="Times New Roman"/>
                <w:b/>
                <w:bCs/>
                <w:sz w:val="20"/>
                <w:szCs w:val="20"/>
              </w:rPr>
              <w:t xml:space="preserve">  Dụng cụ quản lý  </w:t>
            </w:r>
          </w:p>
        </w:tc>
        <w:tc>
          <w:tcPr>
            <w:tcW w:w="1466" w:type="dxa"/>
            <w:tcBorders>
              <w:top w:val="single" w:sz="4" w:space="0" w:color="auto"/>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center"/>
              <w:rPr>
                <w:rFonts w:eastAsia="Times New Roman" w:cs="Times New Roman"/>
                <w:b/>
                <w:bCs/>
                <w:sz w:val="20"/>
                <w:szCs w:val="20"/>
              </w:rPr>
            </w:pPr>
            <w:r w:rsidRPr="00460603">
              <w:rPr>
                <w:rFonts w:eastAsia="Times New Roman" w:cs="Times New Roman"/>
                <w:b/>
                <w:bCs/>
                <w:sz w:val="20"/>
                <w:szCs w:val="20"/>
              </w:rPr>
              <w:t xml:space="preserve">  Tổng cộng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 </w:t>
            </w:r>
          </w:p>
        </w:tc>
        <w:tc>
          <w:tcPr>
            <w:tcW w:w="1635"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0"/>
                <w:szCs w:val="20"/>
              </w:rPr>
            </w:pPr>
            <w:r w:rsidRPr="00460603">
              <w:rPr>
                <w:rFonts w:eastAsia="Times New Roman" w:cs="Times New Roman"/>
                <w:sz w:val="20"/>
                <w:szCs w:val="20"/>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 xml:space="preserve">NGUYÊN GIÁ </w:t>
            </w:r>
          </w:p>
        </w:tc>
        <w:tc>
          <w:tcPr>
            <w:tcW w:w="1635"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b/>
                <w:bCs/>
                <w:sz w:val="20"/>
                <w:szCs w:val="20"/>
              </w:rPr>
            </w:pPr>
            <w:r w:rsidRPr="00460603">
              <w:rPr>
                <w:rFonts w:eastAsia="Times New Roman" w:cs="Times New Roman"/>
                <w:b/>
                <w:bCs/>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eastAsia="Times New Roman" w:cs="Times New Roman"/>
                <w:sz w:val="20"/>
                <w:szCs w:val="20"/>
              </w:rPr>
            </w:pPr>
            <w:r w:rsidRPr="00460603">
              <w:rPr>
                <w:rFonts w:eastAsia="Times New Roman" w:cs="Times New Roman"/>
                <w:sz w:val="20"/>
                <w:szCs w:val="20"/>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01/01/2015</w:t>
            </w:r>
          </w:p>
        </w:tc>
        <w:tc>
          <w:tcPr>
            <w:tcW w:w="1635"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19,334,150,884 </w:t>
            </w:r>
          </w:p>
        </w:tc>
        <w:tc>
          <w:tcPr>
            <w:tcW w:w="1394"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4,032,169,552 </w:t>
            </w:r>
          </w:p>
        </w:tc>
        <w:tc>
          <w:tcPr>
            <w:tcW w:w="1493"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15,396,521,885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35,496,000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38,798,338,321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Mua trong năm</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xml:space="preserve">           31,454,545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ascii=".VnTime" w:eastAsia="Times New Roman" w:hAnsi=".VnTime" w:cs="Times New Roman"/>
                <w:color w:val="000000"/>
                <w:sz w:val="20"/>
                <w:szCs w:val="20"/>
              </w:rPr>
            </w:pPr>
            <w:r w:rsidRPr="00460603">
              <w:rPr>
                <w:rFonts w:ascii="Arial" w:eastAsia="Times New Roman" w:hAnsi="Arial" w:cs="Arial"/>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31,454,545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Đầu tư XDCB hoàn thành</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color w:val="FF0000"/>
                <w:sz w:val="22"/>
              </w:rPr>
            </w:pPr>
            <w:r w:rsidRPr="00460603">
              <w:rPr>
                <w:rFonts w:eastAsia="Times New Roman" w:cs="Times New Roman"/>
                <w:color w:val="FF0000"/>
                <w:sz w:val="22"/>
              </w:rPr>
              <w:t xml:space="preserve">   1,014,647,605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xml:space="preserve">      1,283,516,676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2,298,164,281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Tăng khác</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Chuyển sang BĐS đầu tư</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Thanh lý, nhượng bán</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xml:space="preserve">         522,255,454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522,255,454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Giảm khác</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30/09/2015</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20,348,798,489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4,824,885,319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15,396,521,885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35,496,000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40,605,701,693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 </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GIÁ TRỊ HAO MÒN LUỸ KẾ</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01/01/2015</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3,593,390,319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2,644,668,600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3,421,994,646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17,290,045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9,677,343,610 </w:t>
            </w:r>
          </w:p>
        </w:tc>
      </w:tr>
      <w:tr w:rsidR="00D940D0" w:rsidRPr="00460603" w:rsidTr="00D940D0">
        <w:trPr>
          <w:trHeight w:val="315"/>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Khấu hao trong năm</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color w:val="FF0000"/>
                <w:sz w:val="20"/>
                <w:szCs w:val="20"/>
              </w:rPr>
            </w:pPr>
            <w:r w:rsidRPr="00460603">
              <w:rPr>
                <w:rFonts w:eastAsia="Times New Roman" w:cs="Times New Roman"/>
                <w:color w:val="FF0000"/>
                <w:sz w:val="20"/>
                <w:szCs w:val="20"/>
              </w:rPr>
              <w:t xml:space="preserve">           882,350,708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color w:val="FF0000"/>
                <w:sz w:val="20"/>
                <w:szCs w:val="20"/>
              </w:rPr>
            </w:pPr>
            <w:r w:rsidRPr="00460603">
              <w:rPr>
                <w:rFonts w:eastAsia="Times New Roman" w:cs="Times New Roman"/>
                <w:color w:val="FF0000"/>
                <w:sz w:val="20"/>
                <w:szCs w:val="20"/>
              </w:rPr>
              <w:t xml:space="preserve">         290,831,674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color w:val="FF0000"/>
                <w:sz w:val="20"/>
                <w:szCs w:val="20"/>
              </w:rPr>
            </w:pPr>
            <w:r w:rsidRPr="00460603">
              <w:rPr>
                <w:rFonts w:eastAsia="Times New Roman" w:cs="Times New Roman"/>
                <w:color w:val="FF0000"/>
                <w:sz w:val="20"/>
                <w:szCs w:val="20"/>
              </w:rPr>
              <w:t xml:space="preserve">           1,085,839,849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xml:space="preserve">              6,655,500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2,265,677,731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Tăng khác</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Chuyển sang BĐS đầu tư</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Thanh lý, nhượng bán</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xml:space="preserve">           46,702,465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46,702,465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Giảm khác</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30/09/2015</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4,475,741,027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2,888,797,809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4,507,834,495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23,945,545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11,896,318,876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 </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 xml:space="preserve">GIÁ TRỊ CÒN LẠI </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01/01/2015</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15,740,760,565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1,387,500,952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11,974,527,239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18,205,955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29,120,994,711 </w:t>
            </w:r>
          </w:p>
        </w:tc>
      </w:tr>
      <w:tr w:rsidR="00D940D0" w:rsidRPr="00460603" w:rsidTr="00D940D0">
        <w:trPr>
          <w:trHeight w:val="315"/>
          <w:jc w:val="right"/>
        </w:trPr>
        <w:tc>
          <w:tcPr>
            <w:tcW w:w="2928" w:type="dxa"/>
            <w:tcBorders>
              <w:top w:val="nil"/>
              <w:left w:val="single" w:sz="4" w:space="0" w:color="auto"/>
              <w:bottom w:val="single" w:sz="8"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30/09/2015</w:t>
            </w:r>
          </w:p>
        </w:tc>
        <w:tc>
          <w:tcPr>
            <w:tcW w:w="1635"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15,873,057,462 </w:t>
            </w:r>
          </w:p>
        </w:tc>
        <w:tc>
          <w:tcPr>
            <w:tcW w:w="1394"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1,936,087,510 </w:t>
            </w:r>
          </w:p>
        </w:tc>
        <w:tc>
          <w:tcPr>
            <w:tcW w:w="1493"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10,888,687,390 </w:t>
            </w:r>
          </w:p>
        </w:tc>
        <w:tc>
          <w:tcPr>
            <w:tcW w:w="1391"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11,550,455 </w:t>
            </w:r>
          </w:p>
        </w:tc>
        <w:tc>
          <w:tcPr>
            <w:tcW w:w="1466" w:type="dxa"/>
            <w:tcBorders>
              <w:top w:val="nil"/>
              <w:left w:val="nil"/>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xml:space="preserve">  28,709,382,817 </w:t>
            </w:r>
          </w:p>
        </w:tc>
      </w:tr>
      <w:tr w:rsidR="00D940D0" w:rsidRPr="00460603" w:rsidTr="00D940D0">
        <w:trPr>
          <w:trHeight w:val="300"/>
          <w:jc w:val="right"/>
        </w:trPr>
        <w:tc>
          <w:tcPr>
            <w:tcW w:w="2928"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 </w:t>
            </w:r>
          </w:p>
        </w:tc>
        <w:tc>
          <w:tcPr>
            <w:tcW w:w="1635"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66"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r>
      <w:tr w:rsidR="00D940D0" w:rsidRPr="00460603" w:rsidTr="00D940D0">
        <w:trPr>
          <w:trHeight w:val="300"/>
          <w:jc w:val="right"/>
        </w:trPr>
        <w:tc>
          <w:tcPr>
            <w:tcW w:w="2928"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rPr>
                <w:rFonts w:eastAsia="Times New Roman" w:cs="Times New Roman"/>
                <w:sz w:val="22"/>
              </w:rPr>
            </w:pPr>
            <w:r w:rsidRPr="00460603">
              <w:rPr>
                <w:rFonts w:eastAsia="Times New Roman" w:cs="Times New Roman"/>
                <w:sz w:val="22"/>
              </w:rPr>
              <w:t> </w:t>
            </w:r>
          </w:p>
        </w:tc>
        <w:tc>
          <w:tcPr>
            <w:tcW w:w="1635"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493"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391"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c>
          <w:tcPr>
            <w:tcW w:w="1466"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b/>
                <w:bCs/>
                <w:sz w:val="20"/>
                <w:szCs w:val="20"/>
              </w:rPr>
            </w:pPr>
            <w:r w:rsidRPr="00460603">
              <w:rPr>
                <w:rFonts w:eastAsia="Times New Roman" w:cs="Times New Roman"/>
                <w:b/>
                <w:bCs/>
                <w:sz w:val="20"/>
                <w:szCs w:val="20"/>
              </w:rPr>
              <w:t> </w:t>
            </w:r>
          </w:p>
        </w:tc>
      </w:tr>
      <w:tr w:rsidR="00D940D0" w:rsidRPr="00460603" w:rsidTr="00D940D0">
        <w:trPr>
          <w:trHeight w:val="300"/>
          <w:jc w:val="right"/>
        </w:trPr>
        <w:tc>
          <w:tcPr>
            <w:tcW w:w="2928"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rPr>
                <w:rFonts w:eastAsia="Times New Roman" w:cs="Times New Roman"/>
                <w:b/>
                <w:bCs/>
                <w:color w:val="0000FF"/>
                <w:sz w:val="22"/>
              </w:rPr>
            </w:pPr>
            <w:r w:rsidRPr="00460603">
              <w:rPr>
                <w:rFonts w:eastAsia="Times New Roman" w:cs="Times New Roman"/>
                <w:b/>
                <w:bCs/>
                <w:color w:val="0000FF"/>
                <w:sz w:val="22"/>
              </w:rPr>
              <w:t xml:space="preserve">TÀI SẢN CỐ ĐỊNH VÔ </w:t>
            </w:r>
            <w:r>
              <w:rPr>
                <w:rFonts w:eastAsia="Times New Roman" w:cs="Times New Roman"/>
                <w:b/>
                <w:bCs/>
                <w:color w:val="0000FF"/>
                <w:sz w:val="22"/>
              </w:rPr>
              <w:t>H</w:t>
            </w:r>
            <w:r w:rsidRPr="00460603">
              <w:rPr>
                <w:rFonts w:eastAsia="Times New Roman" w:cs="Times New Roman"/>
                <w:b/>
                <w:bCs/>
                <w:color w:val="0000FF"/>
                <w:sz w:val="22"/>
              </w:rPr>
              <w:t>ÌNH</w:t>
            </w:r>
          </w:p>
        </w:tc>
        <w:tc>
          <w:tcPr>
            <w:tcW w:w="1635"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4"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493"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c>
          <w:tcPr>
            <w:tcW w:w="1391" w:type="dxa"/>
            <w:tcBorders>
              <w:top w:val="nil"/>
              <w:left w:val="nil"/>
              <w:bottom w:val="nil"/>
              <w:right w:val="nil"/>
            </w:tcBorders>
            <w:shd w:val="clear" w:color="auto" w:fill="auto"/>
            <w:noWrap/>
            <w:vAlign w:val="bottom"/>
            <w:hideMark/>
          </w:tcPr>
          <w:p w:rsidR="00D940D0" w:rsidRPr="00460603" w:rsidRDefault="00D940D0" w:rsidP="00D940D0">
            <w:pPr>
              <w:spacing w:after="0" w:line="240" w:lineRule="auto"/>
              <w:jc w:val="right"/>
              <w:rPr>
                <w:rFonts w:ascii=".VnArial" w:eastAsia="Times New Roman" w:hAnsi=".VnArial" w:cs="Times New Roman"/>
                <w:sz w:val="20"/>
                <w:szCs w:val="20"/>
              </w:rPr>
            </w:pPr>
          </w:p>
        </w:tc>
        <w:tc>
          <w:tcPr>
            <w:tcW w:w="1466" w:type="dxa"/>
            <w:tcBorders>
              <w:top w:val="nil"/>
              <w:left w:val="nil"/>
              <w:bottom w:val="nil"/>
              <w:right w:val="nil"/>
            </w:tcBorders>
            <w:shd w:val="clear" w:color="000000" w:fill="FFFFFF"/>
            <w:noWrap/>
            <w:vAlign w:val="bottom"/>
            <w:hideMark/>
          </w:tcPr>
          <w:p w:rsidR="00D940D0" w:rsidRPr="00460603" w:rsidRDefault="00D940D0" w:rsidP="00D940D0">
            <w:pPr>
              <w:spacing w:after="0" w:line="240" w:lineRule="auto"/>
              <w:jc w:val="right"/>
              <w:rPr>
                <w:rFonts w:eastAsia="Times New Roman" w:cs="Times New Roman"/>
                <w:sz w:val="20"/>
                <w:szCs w:val="20"/>
              </w:rPr>
            </w:pPr>
            <w:r w:rsidRPr="00460603">
              <w:rPr>
                <w:rFonts w:eastAsia="Times New Roman" w:cs="Times New Roman"/>
                <w:sz w:val="20"/>
                <w:szCs w:val="20"/>
              </w:rPr>
              <w:t> </w:t>
            </w:r>
          </w:p>
        </w:tc>
      </w:tr>
      <w:tr w:rsidR="00D940D0" w:rsidRPr="00460603" w:rsidTr="00D940D0">
        <w:trPr>
          <w:trHeight w:val="300"/>
          <w:jc w:val="right"/>
        </w:trPr>
        <w:tc>
          <w:tcPr>
            <w:tcW w:w="2928" w:type="dxa"/>
            <w:tcBorders>
              <w:top w:val="single" w:sz="4" w:space="0" w:color="auto"/>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Khoản mục</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Giá trị sử dụng đất</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xml:space="preserve"> Phần mềm máy tính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xml:space="preserve"> Cộng </w:t>
            </w:r>
          </w:p>
        </w:tc>
      </w:tr>
      <w:tr w:rsidR="00D940D0" w:rsidRPr="00460603" w:rsidTr="00D940D0">
        <w:trPr>
          <w:trHeight w:val="300"/>
          <w:jc w:val="right"/>
        </w:trPr>
        <w:tc>
          <w:tcPr>
            <w:tcW w:w="7450" w:type="dxa"/>
            <w:gridSpan w:val="4"/>
            <w:tcBorders>
              <w:top w:val="single" w:sz="4" w:space="0" w:color="auto"/>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sz w:val="22"/>
              </w:rPr>
            </w:pPr>
            <w:r w:rsidRPr="00460603">
              <w:rPr>
                <w:rFonts w:eastAsia="Times New Roman" w:cs="Times New Roman"/>
                <w:sz w:val="22"/>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sz w:val="22"/>
              </w:rPr>
            </w:pPr>
            <w:r w:rsidRPr="00460603">
              <w:rPr>
                <w:rFonts w:eastAsia="Times New Roman" w:cs="Times New Roman"/>
                <w:sz w:val="22"/>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 xml:space="preserve">NGUYÊN GIÁ </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sz w:val="22"/>
              </w:rPr>
            </w:pPr>
            <w:r w:rsidRPr="00460603">
              <w:rPr>
                <w:rFonts w:eastAsia="Times New Roman" w:cs="Times New Roman"/>
                <w:sz w:val="22"/>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sz w:val="22"/>
              </w:rPr>
            </w:pPr>
            <w:r w:rsidRPr="00460603">
              <w:rPr>
                <w:rFonts w:eastAsia="Times New Roman" w:cs="Times New Roman"/>
                <w:sz w:val="22"/>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01/01/2015</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xml:space="preserve">633,632,000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xml:space="preserve">    40,000,000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xml:space="preserve">   673,632,000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Mua trong năm</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sz w:val="22"/>
              </w:rPr>
            </w:pPr>
            <w:r w:rsidRPr="00460603">
              <w:rPr>
                <w:rFonts w:eastAsia="Times New Roman" w:cs="Times New Roman"/>
                <w:sz w:val="22"/>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xml:space="preserve">                    -   </w:t>
            </w:r>
          </w:p>
        </w:tc>
      </w:tr>
      <w:tr w:rsidR="00D940D0" w:rsidRPr="00460603" w:rsidTr="00D940D0">
        <w:trPr>
          <w:trHeight w:val="285"/>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30/09/2015</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xml:space="preserve">633,632,000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40,000,000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673,632,000 </w:t>
            </w:r>
          </w:p>
        </w:tc>
      </w:tr>
      <w:tr w:rsidR="00D940D0" w:rsidRPr="00460603" w:rsidTr="00D940D0">
        <w:trPr>
          <w:trHeight w:val="300"/>
          <w:jc w:val="right"/>
        </w:trPr>
        <w:tc>
          <w:tcPr>
            <w:tcW w:w="7450" w:type="dxa"/>
            <w:gridSpan w:val="4"/>
            <w:tcBorders>
              <w:top w:val="single" w:sz="4" w:space="0" w:color="auto"/>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lastRenderedPageBreak/>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r>
      <w:tr w:rsidR="00D940D0" w:rsidRPr="00460603" w:rsidTr="00D940D0">
        <w:trPr>
          <w:trHeight w:val="57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GIÁ TRỊ HAO MÒN LUỸ KẾ</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01/01/2015</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16,000,008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16,000,008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Khấu hao trong năm</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xml:space="preserve">           6,000,003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xml:space="preserve">            6,000,003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30/09/2015</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22,000,011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22,000,011 </w:t>
            </w:r>
          </w:p>
        </w:tc>
      </w:tr>
      <w:tr w:rsidR="00D940D0" w:rsidRPr="00460603" w:rsidTr="00D940D0">
        <w:trPr>
          <w:trHeight w:val="300"/>
          <w:jc w:val="right"/>
        </w:trPr>
        <w:tc>
          <w:tcPr>
            <w:tcW w:w="7450" w:type="dxa"/>
            <w:gridSpan w:val="4"/>
            <w:tcBorders>
              <w:top w:val="single" w:sz="4" w:space="0" w:color="auto"/>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r>
      <w:tr w:rsidR="00D940D0" w:rsidRPr="00460603" w:rsidTr="00D940D0">
        <w:trPr>
          <w:trHeight w:val="300"/>
          <w:jc w:val="right"/>
        </w:trPr>
        <w:tc>
          <w:tcPr>
            <w:tcW w:w="7450" w:type="dxa"/>
            <w:gridSpan w:val="4"/>
            <w:tcBorders>
              <w:top w:val="single" w:sz="4" w:space="0" w:color="auto"/>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 xml:space="preserve">GIÁ TRỊ CÒN LẠI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auto" w:fill="auto"/>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01/01/2015</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23,999,992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657,631,992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D940D0" w:rsidRPr="00460603" w:rsidRDefault="00D940D0" w:rsidP="00D940D0">
            <w:pPr>
              <w:spacing w:after="0" w:line="240" w:lineRule="auto"/>
              <w:rPr>
                <w:rFonts w:eastAsia="Times New Roman" w:cs="Times New Roman"/>
                <w:b/>
                <w:bCs/>
                <w:sz w:val="22"/>
              </w:rPr>
            </w:pPr>
            <w:r w:rsidRPr="00460603">
              <w:rPr>
                <w:rFonts w:eastAsia="Times New Roman" w:cs="Times New Roman"/>
                <w:b/>
                <w:bCs/>
                <w:sz w:val="22"/>
              </w:rPr>
              <w:t>Số dư tại 30/09/2015</w:t>
            </w:r>
          </w:p>
        </w:tc>
        <w:tc>
          <w:tcPr>
            <w:tcW w:w="1635"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4"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493" w:type="dxa"/>
            <w:tcBorders>
              <w:top w:val="nil"/>
              <w:left w:val="nil"/>
              <w:bottom w:val="single" w:sz="4" w:space="0" w:color="auto"/>
              <w:right w:val="single" w:sz="4" w:space="0" w:color="auto"/>
            </w:tcBorders>
            <w:shd w:val="clear" w:color="auto" w:fill="auto"/>
            <w:hideMark/>
          </w:tcPr>
          <w:p w:rsidR="00D940D0" w:rsidRPr="00460603" w:rsidRDefault="00D940D0" w:rsidP="00D940D0">
            <w:pPr>
              <w:spacing w:after="0" w:line="240" w:lineRule="auto"/>
              <w:jc w:val="right"/>
              <w:rPr>
                <w:rFonts w:eastAsia="Times New Roman" w:cs="Times New Roman"/>
                <w:b/>
                <w:bCs/>
                <w:sz w:val="22"/>
              </w:rPr>
            </w:pPr>
            <w:r w:rsidRPr="00460603">
              <w:rPr>
                <w:rFonts w:eastAsia="Times New Roman" w:cs="Times New Roman"/>
                <w:b/>
                <w:bCs/>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17,999,989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jc w:val="right"/>
              <w:rPr>
                <w:rFonts w:ascii="Arial" w:eastAsia="Times New Roman" w:hAnsi="Arial" w:cs="Arial"/>
                <w:b/>
                <w:bCs/>
                <w:sz w:val="20"/>
                <w:szCs w:val="20"/>
              </w:rPr>
            </w:pPr>
            <w:r w:rsidRPr="00460603">
              <w:rPr>
                <w:rFonts w:ascii="Arial" w:eastAsia="Times New Roman" w:hAnsi="Arial" w:cs="Arial"/>
                <w:b/>
                <w:bCs/>
                <w:sz w:val="20"/>
                <w:szCs w:val="20"/>
              </w:rPr>
              <w:t xml:space="preserve">     651,631,989 </w:t>
            </w:r>
          </w:p>
        </w:tc>
      </w:tr>
      <w:tr w:rsidR="00D940D0" w:rsidRPr="00460603" w:rsidTr="00D940D0">
        <w:trPr>
          <w:trHeight w:val="300"/>
          <w:jc w:val="right"/>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635"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394"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493"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c>
          <w:tcPr>
            <w:tcW w:w="1466" w:type="dxa"/>
            <w:tcBorders>
              <w:top w:val="nil"/>
              <w:left w:val="nil"/>
              <w:bottom w:val="single" w:sz="4" w:space="0" w:color="auto"/>
              <w:right w:val="single" w:sz="4" w:space="0" w:color="auto"/>
            </w:tcBorders>
            <w:shd w:val="clear" w:color="auto" w:fill="auto"/>
            <w:noWrap/>
            <w:vAlign w:val="bottom"/>
            <w:hideMark/>
          </w:tcPr>
          <w:p w:rsidR="00D940D0" w:rsidRPr="00460603" w:rsidRDefault="00D940D0" w:rsidP="00D940D0">
            <w:pPr>
              <w:spacing w:after="0" w:line="240" w:lineRule="auto"/>
              <w:rPr>
                <w:rFonts w:ascii="Calibri" w:eastAsia="Times New Roman" w:hAnsi="Calibri" w:cs="Times New Roman"/>
                <w:color w:val="000000"/>
                <w:sz w:val="22"/>
              </w:rPr>
            </w:pPr>
            <w:r w:rsidRPr="00460603">
              <w:rPr>
                <w:rFonts w:ascii="Calibri" w:eastAsia="Times New Roman" w:hAnsi="Calibri" w:cs="Times New Roman"/>
                <w:color w:val="000000"/>
                <w:sz w:val="22"/>
              </w:rPr>
              <w:t> </w:t>
            </w:r>
          </w:p>
        </w:tc>
      </w:tr>
    </w:tbl>
    <w:p w:rsidR="00D940D0" w:rsidRDefault="00D940D0"/>
    <w:tbl>
      <w:tblPr>
        <w:tblW w:w="9824" w:type="dxa"/>
        <w:jc w:val="right"/>
        <w:tblInd w:w="108" w:type="dxa"/>
        <w:tblLook w:val="04A0"/>
      </w:tblPr>
      <w:tblGrid>
        <w:gridCol w:w="876"/>
        <w:gridCol w:w="4462"/>
        <w:gridCol w:w="1714"/>
        <w:gridCol w:w="976"/>
        <w:gridCol w:w="1796"/>
      </w:tblGrid>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CF7740" w:rsidP="00D940D0">
            <w:pPr>
              <w:spacing w:after="0" w:line="240" w:lineRule="auto"/>
              <w:jc w:val="right"/>
              <w:rPr>
                <w:rFonts w:eastAsia="Times New Roman" w:cs="Times New Roman"/>
                <w:b/>
                <w:bCs/>
                <w:color w:val="0000FF"/>
                <w:sz w:val="22"/>
              </w:rPr>
            </w:pPr>
            <w:r>
              <w:rPr>
                <w:rFonts w:eastAsia="Times New Roman" w:cs="Times New Roman"/>
                <w:b/>
                <w:bCs/>
                <w:color w:val="0000FF"/>
                <w:sz w:val="22"/>
              </w:rPr>
              <w:t>8</w:t>
            </w: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CÁC KHOẢN ĐẦU TƯ DÀI HẠN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D940D0" w:rsidRPr="006B173A" w:rsidTr="00D940D0">
        <w:trPr>
          <w:trHeight w:val="300"/>
          <w:jc w:val="right"/>
        </w:trPr>
        <w:tc>
          <w:tcPr>
            <w:tcW w:w="876" w:type="dxa"/>
            <w:tcBorders>
              <w:top w:val="nil"/>
              <w:left w:val="nil"/>
              <w:bottom w:val="nil"/>
              <w:right w:val="nil"/>
            </w:tcBorders>
            <w:shd w:val="clear" w:color="auto" w:fill="auto"/>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single" w:sz="4" w:space="0" w:color="auto"/>
              <w:right w:val="nil"/>
            </w:tcBorders>
            <w:shd w:val="clear" w:color="auto" w:fill="auto"/>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w:t>
            </w:r>
          </w:p>
        </w:tc>
        <w:tc>
          <w:tcPr>
            <w:tcW w:w="1796" w:type="dxa"/>
            <w:tcBorders>
              <w:top w:val="nil"/>
              <w:left w:val="nil"/>
              <w:bottom w:val="single" w:sz="4" w:space="0" w:color="auto"/>
              <w:right w:val="nil"/>
            </w:tcBorders>
            <w:shd w:val="clear" w:color="auto" w:fill="auto"/>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Đầu tư dài hạn khác</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21,995,730,000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21,795,730,000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xml:space="preserve">Công ty Cổ phần Hải Minh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2,500,000,000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2,500,000,000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Công ty CP xếp dỡ Hải An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16,409,680,000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16,409,680,000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Công ty Cổ phần Hàng hải Nam Dương</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1,800,000,000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1,800,000,000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Công ty TNHH Dịch vụ Container Maserco</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886,050,000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886,050,000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Cty CP thực phẩm Vijais</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400,000,000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200,000,000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21,995,730,000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21,795,730,000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CF7740" w:rsidP="00D940D0">
            <w:pPr>
              <w:spacing w:after="0" w:line="240" w:lineRule="auto"/>
              <w:jc w:val="right"/>
              <w:rPr>
                <w:rFonts w:eastAsia="Times New Roman" w:cs="Times New Roman"/>
                <w:b/>
                <w:bCs/>
                <w:color w:val="0000FF"/>
                <w:sz w:val="22"/>
              </w:rPr>
            </w:pPr>
            <w:r>
              <w:rPr>
                <w:rFonts w:eastAsia="Times New Roman" w:cs="Times New Roman"/>
                <w:b/>
                <w:bCs/>
                <w:color w:val="0000FF"/>
                <w:sz w:val="22"/>
              </w:rPr>
              <w:t>9</w:t>
            </w: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xml:space="preserve"> Vay và nợ thuê tài chính </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3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u w:val="single"/>
              </w:rPr>
            </w:pPr>
            <w:r w:rsidRPr="006B173A">
              <w:rPr>
                <w:rFonts w:eastAsia="Times New Roman" w:cs="Times New Roman"/>
                <w:sz w:val="20"/>
                <w:szCs w:val="20"/>
                <w:u w:val="single"/>
              </w:rPr>
              <w:t>Ngắn hạn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sz w:val="22"/>
                <w:u w:val="single"/>
              </w:rPr>
            </w:pPr>
            <w:r w:rsidRPr="006B173A">
              <w:rPr>
                <w:rFonts w:eastAsia="Times New Roman" w:cs="Times New Roman"/>
                <w:b/>
                <w:bCs/>
                <w:sz w:val="22"/>
                <w:u w:val="single"/>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ascii=".VnArial" w:eastAsia="Times New Roman" w:hAnsi=".VnArial" w:cs="Times New Roman"/>
                <w:sz w:val="16"/>
                <w:szCs w:val="16"/>
              </w:rPr>
            </w:pPr>
            <w:r w:rsidRPr="006B173A">
              <w:rPr>
                <w:rFonts w:ascii=".VnArial" w:eastAsia="Times New Roman" w:hAnsi=".VnArial" w:cs="Times New Roman"/>
                <w:sz w:val="16"/>
                <w:szCs w:val="16"/>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sz w:val="22"/>
                <w:u w:val="single"/>
              </w:rPr>
            </w:pPr>
            <w:r w:rsidRPr="006B173A">
              <w:rPr>
                <w:rFonts w:eastAsia="Times New Roman" w:cs="Times New Roman"/>
                <w:b/>
                <w:bCs/>
                <w:sz w:val="22"/>
                <w:u w:val="single"/>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r w:rsidRPr="006B173A">
              <w:rPr>
                <w:rFonts w:eastAsia="Times New Roman" w:cs="Times New Roman"/>
                <w:sz w:val="20"/>
                <w:szCs w:val="20"/>
              </w:rPr>
              <w:t>Ngân hàng TM CP Công thương VN- CN Ngô Quyền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16,069,044,207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7,623,737,462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r w:rsidRPr="006B173A">
              <w:rPr>
                <w:rFonts w:eastAsia="Times New Roman" w:cs="Times New Roman"/>
                <w:sz w:val="20"/>
                <w:szCs w:val="20"/>
              </w:rPr>
              <w:t>Ngân hàng TMCP Hàng Hải VM - CN HCM</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22,500,000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90,000,000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16,091,544,207 </w:t>
            </w:r>
          </w:p>
        </w:tc>
        <w:tc>
          <w:tcPr>
            <w:tcW w:w="97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w:t>
            </w: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7,713,737,462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u w:val="single"/>
              </w:rPr>
            </w:pPr>
            <w:r w:rsidRPr="006B173A">
              <w:rPr>
                <w:rFonts w:eastAsia="Times New Roman" w:cs="Times New Roman"/>
                <w:sz w:val="22"/>
                <w:u w:val="single"/>
              </w:rPr>
              <w:t>Dài hạn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r w:rsidRPr="006B173A">
              <w:rPr>
                <w:rFonts w:eastAsia="Times New Roman" w:cs="Times New Roman"/>
                <w:sz w:val="20"/>
                <w:szCs w:val="20"/>
              </w:rPr>
              <w:t>Ngân hàng TM CP Công thương VN- CN Ngô Quyền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2,996,000,000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616,000,000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2,996,000,000 </w:t>
            </w:r>
          </w:p>
        </w:tc>
        <w:tc>
          <w:tcPr>
            <w:tcW w:w="97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 </w:t>
            </w: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616,000,000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CF7740" w:rsidP="00D940D0">
            <w:pPr>
              <w:spacing w:after="0" w:line="240" w:lineRule="auto"/>
              <w:jc w:val="right"/>
              <w:rPr>
                <w:rFonts w:eastAsia="Times New Roman" w:cs="Times New Roman"/>
                <w:b/>
                <w:bCs/>
                <w:color w:val="0000FF"/>
                <w:sz w:val="22"/>
              </w:rPr>
            </w:pPr>
            <w:r>
              <w:rPr>
                <w:rFonts w:eastAsia="Times New Roman" w:cs="Times New Roman"/>
                <w:b/>
                <w:bCs/>
                <w:color w:val="0000FF"/>
                <w:sz w:val="22"/>
              </w:rPr>
              <w:t>10</w:t>
            </w:r>
          </w:p>
        </w:tc>
        <w:tc>
          <w:tcPr>
            <w:tcW w:w="6176" w:type="dxa"/>
            <w:gridSpan w:val="2"/>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THUẾ VÀ CÁC KHOẢN PHẢI NỘP NHÀ NƯỚC</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r w:rsidRPr="006B173A">
              <w:rPr>
                <w:rFonts w:eastAsia="Times New Roman" w:cs="Times New Roman"/>
                <w:sz w:val="20"/>
                <w:szCs w:val="20"/>
              </w:rPr>
              <w:t>Thuế GTGT</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907,415,512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570,288,165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r w:rsidRPr="006B173A">
              <w:rPr>
                <w:rFonts w:eastAsia="Times New Roman" w:cs="Times New Roman"/>
                <w:sz w:val="20"/>
                <w:szCs w:val="20"/>
              </w:rPr>
              <w:t>Thuế thu nhập doanh nghiệp</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1,866,201,258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209,606,983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r w:rsidRPr="006B173A">
              <w:rPr>
                <w:rFonts w:eastAsia="Times New Roman" w:cs="Times New Roman"/>
                <w:sz w:val="20"/>
                <w:szCs w:val="20"/>
              </w:rPr>
              <w:t xml:space="preserve">Thuế TNCN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11,367,331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r w:rsidRPr="006B173A">
              <w:rPr>
                <w:rFonts w:eastAsia="Times New Roman" w:cs="Times New Roman"/>
                <w:sz w:val="20"/>
                <w:szCs w:val="20"/>
              </w:rPr>
              <w:t>Thuế nhà đất và tiền thuê đất</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326,580,500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500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0"/>
                <w:szCs w:val="20"/>
              </w:rPr>
            </w:pPr>
            <w:r w:rsidRPr="006B173A">
              <w:rPr>
                <w:rFonts w:eastAsia="Times New Roman" w:cs="Times New Roman"/>
                <w:sz w:val="20"/>
                <w:szCs w:val="20"/>
              </w:rPr>
              <w:t>Phí, lệ phí phải nộp khác</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2,093,903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2,093,903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3,102,291,173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793,356,882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3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CF7740" w:rsidP="00D940D0">
            <w:pPr>
              <w:spacing w:after="0" w:line="240" w:lineRule="auto"/>
              <w:jc w:val="right"/>
              <w:rPr>
                <w:rFonts w:eastAsia="Times New Roman" w:cs="Times New Roman"/>
                <w:b/>
                <w:bCs/>
                <w:color w:val="0000FF"/>
                <w:sz w:val="22"/>
              </w:rPr>
            </w:pPr>
            <w:r>
              <w:rPr>
                <w:rFonts w:eastAsia="Times New Roman" w:cs="Times New Roman"/>
                <w:b/>
                <w:bCs/>
                <w:color w:val="0000FF"/>
                <w:sz w:val="22"/>
              </w:rPr>
              <w:t>11</w:t>
            </w: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CHI PHÍ PHẢI TRẢ</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Trích trước tiền điện, nước, điện thoại phải trả</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197,457,287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197,457,287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CF7740" w:rsidP="00D940D0">
            <w:pPr>
              <w:spacing w:after="0" w:line="240" w:lineRule="auto"/>
              <w:jc w:val="right"/>
              <w:rPr>
                <w:rFonts w:eastAsia="Times New Roman" w:cs="Times New Roman"/>
                <w:b/>
                <w:bCs/>
                <w:color w:val="0000FF"/>
                <w:sz w:val="22"/>
              </w:rPr>
            </w:pPr>
            <w:r>
              <w:rPr>
                <w:rFonts w:eastAsia="Times New Roman" w:cs="Times New Roman"/>
                <w:b/>
                <w:bCs/>
                <w:color w:val="0000FF"/>
                <w:sz w:val="22"/>
              </w:rPr>
              <w:t>12</w:t>
            </w:r>
          </w:p>
        </w:tc>
        <w:tc>
          <w:tcPr>
            <w:tcW w:w="6176" w:type="dxa"/>
            <w:gridSpan w:val="2"/>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CÁC KHOẢN PHẢI TRẢ PHẢI NỘP NGẮN HẠN KHÁC</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30/9/2015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01/01/2015</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Kinh phí công đoàn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142,908,107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110,184,627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Bảo hiểm xã hội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549,105,857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636,752,869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Phải trả khác</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1,256,773,332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807,888,467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1,948,787,296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1,554,825,963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ascii=".VnArial" w:eastAsia="Times New Roman" w:hAnsi=".VnArial" w:cs="Times New Roman"/>
                <w:color w:val="000000"/>
                <w:sz w:val="20"/>
                <w:szCs w:val="20"/>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1</w:t>
            </w:r>
            <w:r w:rsidR="00CF7740">
              <w:rPr>
                <w:rFonts w:eastAsia="Times New Roman" w:cs="Times New Roman"/>
                <w:b/>
                <w:bCs/>
                <w:color w:val="0000FF"/>
                <w:sz w:val="22"/>
              </w:rPr>
              <w:t>3</w:t>
            </w:r>
          </w:p>
        </w:tc>
        <w:tc>
          <w:tcPr>
            <w:tcW w:w="6176" w:type="dxa"/>
            <w:gridSpan w:val="2"/>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DOANH THU BÁN HÀNG VÀ CUNG CẤP DỊCH VỤ</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1</w:t>
            </w: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đóng mới và sửa chữa tàu biển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456,790,613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621,049,037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2</w:t>
            </w: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sửa chữa cơ khí, phương tiện bộ</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28,985,633,946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26,707,719,402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3</w:t>
            </w: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thương mại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1,539,907,465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765,799,387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4</w:t>
            </w: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khai thác bãi Container</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2,979,725,737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2,205,429,981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5</w:t>
            </w: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vận tải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682,321,171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920,988,515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6</w:t>
            </w: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xml:space="preserve">Hoạt động khác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399,663,632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1,030,236,480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ascii=".VnTime" w:eastAsia="Times New Roman" w:hAnsi=".VnTime" w:cs="Times New Roman"/>
                <w:sz w:val="24"/>
                <w:szCs w:val="24"/>
              </w:rPr>
            </w:pPr>
            <w:r w:rsidRPr="006B173A">
              <w:rPr>
                <w:rFonts w:ascii="Arial" w:eastAsia="Times New Roman" w:hAnsi="Arial" w:cs="Arial"/>
                <w:sz w:val="24"/>
                <w:szCs w:val="24"/>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ascii=".VnTime" w:eastAsia="Times New Roman" w:hAnsi=".VnTime" w:cs="Times New Roman"/>
                <w:b/>
                <w:bCs/>
                <w:sz w:val="24"/>
                <w:szCs w:val="24"/>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ascii=".VnArial" w:eastAsia="Times New Roman" w:hAnsi=".VnArial" w:cs="Times New Roman"/>
                <w:sz w:val="20"/>
                <w:szCs w:val="20"/>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35,044,042,564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32,251,222,802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1</w:t>
            </w:r>
            <w:r w:rsidR="00CF7740">
              <w:rPr>
                <w:rFonts w:eastAsia="Times New Roman" w:cs="Times New Roman"/>
                <w:b/>
                <w:bCs/>
                <w:color w:val="0000FF"/>
                <w:sz w:val="22"/>
              </w:rPr>
              <w:t>4</w:t>
            </w: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CÁC KHOẢN GIẢM TRỪ</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Chiết khấu thương mại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211,194,524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1,052,476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Giảm giá hàng bán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Hàng bán bị trả lại</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Thuế GTGT phải nộp (phương pháp trực tiếp)</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Thuế tiêu thụ đặc biệt</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Thuế xuất khẩu</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211,194,524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1,052,476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1</w:t>
            </w:r>
            <w:r w:rsidR="00CF7740">
              <w:rPr>
                <w:rFonts w:eastAsia="Times New Roman" w:cs="Times New Roman"/>
                <w:b/>
                <w:bCs/>
                <w:color w:val="0000FF"/>
                <w:sz w:val="22"/>
              </w:rPr>
              <w:t>5</w:t>
            </w:r>
          </w:p>
        </w:tc>
        <w:tc>
          <w:tcPr>
            <w:tcW w:w="7152" w:type="dxa"/>
            <w:gridSpan w:val="3"/>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DOANH THU THUẦN VỀ BÁN HÀNG VÀ CUNG CẤP DỊCH VỤ</w:t>
            </w: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34,832,848,040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32,250,170,326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đóng mới và sửa chữa tàu biển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456,790,613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621,049,037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sửa chữa cơ khí, phương tiện bộ</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28,985,633,946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26,707,719,402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thương mại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1,328,712,941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764,746,911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khai thác bãi Container</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2,979,725,737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2,205,429,981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giao nhận vận tải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682,321,171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920,988,515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xml:space="preserve">Hoạt động khác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399,663,632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1,030,236,480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34,832,848,040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32,250,170,326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1</w:t>
            </w:r>
            <w:r w:rsidR="00CF7740">
              <w:rPr>
                <w:rFonts w:eastAsia="Times New Roman" w:cs="Times New Roman"/>
                <w:b/>
                <w:bCs/>
                <w:color w:val="0000FF"/>
                <w:sz w:val="22"/>
              </w:rPr>
              <w:t>6</w:t>
            </w: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GIÁ VỐN HÀNG BÁN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29,491,403,852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 </w:t>
            </w: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26,665,171,701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đóng mới và sửa chữa tàu biển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387,206,817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554,990,334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sửa chữa cơ khí, phương tiện bộ</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24,651,922,163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22,348,480,338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thương mại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1,103,807,025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441,712,913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khai thác bãi Container</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2,853,287,799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2,020,778,869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Hoạt động giao nhận vận tải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467,227,299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725,796,144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xml:space="preserve">Hoạt động khác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27,952,749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573,413,103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p>
        </w:tc>
        <w:tc>
          <w:tcPr>
            <w:tcW w:w="1714" w:type="dxa"/>
            <w:tcBorders>
              <w:top w:val="nil"/>
              <w:left w:val="nil"/>
              <w:bottom w:val="nil"/>
              <w:right w:val="nil"/>
            </w:tcBorders>
            <w:shd w:val="clear" w:color="auto" w:fill="auto"/>
            <w:vAlign w:val="bottom"/>
            <w:hideMark/>
          </w:tcPr>
          <w:p w:rsidR="00D940D0" w:rsidRPr="006B173A" w:rsidRDefault="00D940D0" w:rsidP="00D940D0">
            <w:pPr>
              <w:spacing w:after="0" w:line="240" w:lineRule="auto"/>
              <w:jc w:val="center"/>
              <w:rPr>
                <w:rFonts w:eastAsia="Times New Roman" w:cs="Times New Roman"/>
                <w:b/>
                <w:b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ascii=".VnArial" w:eastAsia="Times New Roman" w:hAnsi=".VnArial" w:cs="Times New Roman"/>
                <w:b/>
                <w:bCs/>
                <w:sz w:val="20"/>
                <w:szCs w:val="20"/>
              </w:rPr>
            </w:pPr>
            <w:r w:rsidRPr="006B173A">
              <w:rPr>
                <w:rFonts w:ascii=".VnArial" w:eastAsia="Times New Roman" w:hAnsi=".VnArial" w:cs="Times New Roman"/>
                <w:b/>
                <w:bCs/>
                <w:sz w:val="20"/>
                <w:szCs w:val="20"/>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nil"/>
              <w:left w:val="nil"/>
              <w:bottom w:val="nil"/>
              <w:right w:val="nil"/>
            </w:tcBorders>
            <w:shd w:val="clear" w:color="auto" w:fill="auto"/>
            <w:vAlign w:val="bottom"/>
            <w:hideMark/>
          </w:tcPr>
          <w:p w:rsidR="00D940D0" w:rsidRPr="006B173A" w:rsidRDefault="00D940D0" w:rsidP="00D940D0">
            <w:pPr>
              <w:spacing w:after="0" w:line="240" w:lineRule="auto"/>
              <w:jc w:val="center"/>
              <w:rPr>
                <w:rFonts w:eastAsia="Times New Roman" w:cs="Times New Roman"/>
                <w:b/>
                <w:b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29,491,403,852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26,665,171,701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vAlign w:val="bottom"/>
            <w:hideMark/>
          </w:tcPr>
          <w:p w:rsidR="00D940D0" w:rsidRPr="006B173A" w:rsidRDefault="00D940D0" w:rsidP="00D940D0">
            <w:pPr>
              <w:spacing w:after="0" w:line="240" w:lineRule="auto"/>
              <w:jc w:val="center"/>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1</w:t>
            </w:r>
            <w:r w:rsidR="00CF7740">
              <w:rPr>
                <w:rFonts w:eastAsia="Times New Roman" w:cs="Times New Roman"/>
                <w:b/>
                <w:bCs/>
                <w:color w:val="0000FF"/>
                <w:sz w:val="22"/>
              </w:rPr>
              <w:t>7</w:t>
            </w: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DOANH THU HOẠT ĐỘNG TÀI CHÍNH</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Lãi tiền gửi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4,218,370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11,643,773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Lãi tiền cho vay tổ chức, cá nhân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Lãi đầu tư trái phiếu, kỳ phiếu, tín phiếu</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Cổ tức, lợi nhuận được chia</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color w:val="FF0000"/>
                <w:sz w:val="22"/>
              </w:rPr>
            </w:pPr>
            <w:r w:rsidRPr="006B173A">
              <w:rPr>
                <w:rFonts w:eastAsia="Times New Roman" w:cs="Times New Roman"/>
                <w:color w:val="FF0000"/>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color w:val="FF0000"/>
                <w:sz w:val="22"/>
              </w:rPr>
            </w:pPr>
            <w:r w:rsidRPr="006B173A">
              <w:rPr>
                <w:rFonts w:eastAsia="Times New Roman" w:cs="Times New Roman"/>
                <w:color w:val="FF0000"/>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Lãi chênh lệch tỷ giá đã thực hiện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Doanh thu hoạt động tài chính khác</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4,218,370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11,643,773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vAlign w:val="bottom"/>
            <w:hideMark/>
          </w:tcPr>
          <w:p w:rsidR="00D940D0" w:rsidRPr="006B173A" w:rsidRDefault="00D940D0" w:rsidP="00D940D0">
            <w:pPr>
              <w:spacing w:after="0" w:line="240" w:lineRule="auto"/>
              <w:jc w:val="center"/>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vAlign w:val="bottom"/>
            <w:hideMark/>
          </w:tcPr>
          <w:p w:rsidR="00D940D0" w:rsidRPr="006B173A" w:rsidRDefault="00D940D0" w:rsidP="00D940D0">
            <w:pPr>
              <w:spacing w:after="0" w:line="240" w:lineRule="auto"/>
              <w:jc w:val="center"/>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1</w:t>
            </w:r>
            <w:r w:rsidR="00CF7740">
              <w:rPr>
                <w:rFonts w:eastAsia="Times New Roman" w:cs="Times New Roman"/>
                <w:b/>
                <w:bCs/>
                <w:color w:val="0000FF"/>
                <w:sz w:val="22"/>
              </w:rPr>
              <w:t>8</w:t>
            </w: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CHI PHÍ TÀI CHÍNH</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Lãi vay phải trả</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314,504,875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56,925,017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Chiết khấu thanh toán, lãi bán hàng trả chậm</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ascii=".VnArial" w:eastAsia="Times New Roman" w:hAnsi=".VnArial" w:cs="Times New Roman"/>
                <w:sz w:val="20"/>
                <w:szCs w:val="20"/>
              </w:rPr>
            </w:pPr>
            <w:r w:rsidRPr="006B173A">
              <w:rPr>
                <w:rFonts w:ascii=".VnArial" w:eastAsia="Times New Roman" w:hAnsi=".VnArial" w:cs="Times New Roman"/>
                <w:sz w:val="20"/>
                <w:szCs w:val="20"/>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Lãi trái phiếu phát hành</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ascii=".VnArial" w:eastAsia="Times New Roman" w:hAnsi=".VnArial" w:cs="Times New Roman"/>
                <w:sz w:val="20"/>
                <w:szCs w:val="20"/>
              </w:rPr>
            </w:pPr>
            <w:r w:rsidRPr="006B173A">
              <w:rPr>
                <w:rFonts w:ascii=".VnArial" w:eastAsia="Times New Roman" w:hAnsi=".VnArial" w:cs="Times New Roman"/>
                <w:sz w:val="20"/>
                <w:szCs w:val="20"/>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Lỗ chênh lệch tỷ giá đã thực hiện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Lỗ chênh lệch tỷ giá chưa thực hiện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tài chính khác</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314,504,875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56,925,017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CF7740" w:rsidP="00D940D0">
            <w:pPr>
              <w:spacing w:after="0" w:line="240" w:lineRule="auto"/>
              <w:jc w:val="right"/>
              <w:rPr>
                <w:rFonts w:eastAsia="Times New Roman" w:cs="Times New Roman"/>
                <w:b/>
                <w:bCs/>
                <w:color w:val="0000FF"/>
                <w:sz w:val="22"/>
              </w:rPr>
            </w:pPr>
            <w:r>
              <w:rPr>
                <w:rFonts w:eastAsia="Times New Roman" w:cs="Times New Roman"/>
                <w:b/>
                <w:bCs/>
                <w:color w:val="0000FF"/>
                <w:sz w:val="22"/>
              </w:rPr>
              <w:t>19</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CHI PHÍ BÁN HÀNG</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lastRenderedPageBreak/>
              <w:t> </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14" w:type="dxa"/>
            <w:tcBorders>
              <w:top w:val="nil"/>
              <w:left w:val="nil"/>
              <w:bottom w:val="single" w:sz="4" w:space="0" w:color="auto"/>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single" w:sz="4" w:space="0" w:color="auto"/>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nhân viên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141,054,300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303,708,700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vật liệu, bao bì</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68,992,934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dụng cụ, đồ dùng</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khấu hao TSCĐ</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67,138,087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68,663,086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dịch vụ mua ngoài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bằng tiền khác</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59,941,320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75,572,481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Thuế đất</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ascii=".VnArial" w:eastAsia="Times New Roman" w:hAnsi=".VnArial" w:cs="Times New Roman"/>
                <w:sz w:val="20"/>
                <w:szCs w:val="20"/>
              </w:rPr>
            </w:pPr>
            <w:r w:rsidRPr="006B173A">
              <w:rPr>
                <w:rFonts w:ascii=".VnArial" w:eastAsia="Times New Roman" w:hAnsi=".VnArial" w:cs="Times New Roman"/>
                <w:sz w:val="20"/>
                <w:szCs w:val="20"/>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ascii=".VnArial" w:eastAsia="Times New Roman" w:hAnsi=".VnArial" w:cs="Times New Roman"/>
                <w:sz w:val="20"/>
                <w:szCs w:val="20"/>
              </w:rPr>
            </w:pPr>
            <w:r w:rsidRPr="006B173A">
              <w:rPr>
                <w:rFonts w:ascii=".VnArial" w:eastAsia="Times New Roman" w:hAnsi=".VnArial" w:cs="Times New Roman"/>
                <w:sz w:val="20"/>
                <w:szCs w:val="20"/>
              </w:rPr>
              <w:t>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15"/>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337,126,641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w:t>
            </w:r>
          </w:p>
        </w:tc>
        <w:tc>
          <w:tcPr>
            <w:tcW w:w="1796" w:type="dxa"/>
            <w:tcBorders>
              <w:top w:val="single" w:sz="4" w:space="0" w:color="auto"/>
              <w:left w:val="nil"/>
              <w:bottom w:val="double" w:sz="6" w:space="0" w:color="auto"/>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447,944,267 </w:t>
            </w:r>
          </w:p>
        </w:tc>
      </w:tr>
      <w:tr w:rsidR="00D940D0" w:rsidRPr="006B173A" w:rsidTr="00D940D0">
        <w:trPr>
          <w:trHeight w:val="33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vAlign w:val="bottom"/>
            <w:hideMark/>
          </w:tcPr>
          <w:p w:rsidR="00D940D0" w:rsidRPr="006B173A" w:rsidRDefault="00D940D0" w:rsidP="00D940D0">
            <w:pPr>
              <w:spacing w:after="0" w:line="240" w:lineRule="auto"/>
              <w:jc w:val="center"/>
              <w:rPr>
                <w:rFonts w:eastAsia="Times New Roman" w:cs="Times New Roman"/>
                <w:sz w:val="24"/>
                <w:szCs w:val="24"/>
              </w:rPr>
            </w:pPr>
            <w:r w:rsidRPr="006B173A">
              <w:rPr>
                <w:rFonts w:eastAsia="Times New Roman" w:cs="Times New Roman"/>
                <w:sz w:val="24"/>
                <w:szCs w:val="24"/>
              </w:rPr>
              <w:t>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FF0000"/>
                <w:sz w:val="22"/>
              </w:rPr>
            </w:pPr>
            <w:r w:rsidRPr="006B173A">
              <w:rPr>
                <w:rFonts w:eastAsia="Times New Roman" w:cs="Times New Roman"/>
                <w:b/>
                <w:bCs/>
                <w:color w:val="FF0000"/>
                <w:sz w:val="22"/>
              </w:rPr>
              <w:t>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 </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000000" w:fill="FFFFFF"/>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2</w:t>
            </w:r>
            <w:r w:rsidR="00CF7740">
              <w:rPr>
                <w:rFonts w:eastAsia="Times New Roman" w:cs="Times New Roman"/>
                <w:b/>
                <w:bCs/>
                <w:color w:val="0000FF"/>
                <w:sz w:val="22"/>
              </w:rPr>
              <w:t>0</w:t>
            </w:r>
          </w:p>
        </w:tc>
        <w:tc>
          <w:tcPr>
            <w:tcW w:w="4462"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CHI PHÍ QUẢN LÝ DOANH NGHIỆP</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nhân viên quản lý</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2,405,779,700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3,077,105,888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đồ dùng văn phòng</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khấu hao TSCĐ</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80,262,162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51,218,859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dự phòng</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Thuế, phí và lệ phí</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174,360,000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128,851,575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dịch vụ mua ngoài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309,437,500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332,361,553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bằng tiền khác</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765,249,250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789,125,798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Trợ cấp</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15,438,800 </w:t>
            </w:r>
          </w:p>
        </w:tc>
        <w:tc>
          <w:tcPr>
            <w:tcW w:w="97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3,750,527,412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4,378,663,673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2</w:t>
            </w:r>
            <w:r w:rsidR="00CF7740">
              <w:rPr>
                <w:rFonts w:eastAsia="Times New Roman" w:cs="Times New Roman"/>
                <w:b/>
                <w:bCs/>
                <w:color w:val="0000FF"/>
                <w:sz w:val="22"/>
              </w:rPr>
              <w:t>1</w:t>
            </w: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THU NHẬP KHÁC</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Thu từ thanh lý, nhượng bán TSCĐ</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331,818,182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Tiền hoa hồng bán hàng</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6,630,000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Thanh lí công cụ, dụng cụ, tôn vụn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73,145,455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Thu nhập khác</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134,355,861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12,186,650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539,319,498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18,816,650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2</w:t>
            </w:r>
            <w:r w:rsidR="00CF7740">
              <w:rPr>
                <w:rFonts w:eastAsia="Times New Roman" w:cs="Times New Roman"/>
                <w:b/>
                <w:bCs/>
                <w:color w:val="0000FF"/>
                <w:sz w:val="22"/>
              </w:rPr>
              <w:t>2</w:t>
            </w: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CHI PHÍ KHÁC</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xml:space="preserve">Chi phí thanh lý, nhượng bán TSCĐ </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329,631,818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đền bù thiên tai</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Tiền phạt do chứng khoán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vAlign w:val="bottom"/>
            <w:hideMark/>
          </w:tcPr>
          <w:p w:rsidR="00D940D0" w:rsidRPr="006B173A" w:rsidRDefault="00D940D0" w:rsidP="00D940D0">
            <w:pPr>
              <w:spacing w:after="0" w:line="240" w:lineRule="auto"/>
              <w:jc w:val="center"/>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Tiền phạt do vi phạm hành chính</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16,000,000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Phạt thuế, truy nộp thuế</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20,000,000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Chi phí khác</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49,725,280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rPr>
                <w:rFonts w:ascii=".VnArial" w:eastAsia="Times New Roman" w:hAnsi=".VnArial" w:cs="Times New Roman"/>
                <w:sz w:val="20"/>
                <w:szCs w:val="20"/>
              </w:rPr>
            </w:pPr>
            <w:r w:rsidRPr="006B173A">
              <w:rPr>
                <w:rFonts w:ascii=".VnArial" w:eastAsia="Times New Roman" w:hAnsi=".VnArial" w:cs="Times New Roman"/>
                <w:sz w:val="20"/>
                <w:szCs w:val="20"/>
              </w:rPr>
              <w:t>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Cộng</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399,357,098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16,000,000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CF7740">
            <w:pPr>
              <w:spacing w:after="0" w:line="240" w:lineRule="auto"/>
              <w:jc w:val="right"/>
              <w:rPr>
                <w:rFonts w:eastAsia="Times New Roman" w:cs="Times New Roman"/>
                <w:b/>
                <w:bCs/>
                <w:color w:val="0000FF"/>
                <w:sz w:val="22"/>
              </w:rPr>
            </w:pPr>
            <w:r w:rsidRPr="006B173A">
              <w:rPr>
                <w:rFonts w:eastAsia="Times New Roman" w:cs="Times New Roman"/>
                <w:b/>
                <w:bCs/>
                <w:color w:val="0000FF"/>
                <w:sz w:val="22"/>
              </w:rPr>
              <w:t>2</w:t>
            </w:r>
            <w:r w:rsidR="00CF7740">
              <w:rPr>
                <w:rFonts w:eastAsia="Times New Roman" w:cs="Times New Roman"/>
                <w:b/>
                <w:bCs/>
                <w:color w:val="0000FF"/>
                <w:sz w:val="22"/>
              </w:rPr>
              <w:t>3</w:t>
            </w:r>
          </w:p>
        </w:tc>
        <w:tc>
          <w:tcPr>
            <w:tcW w:w="7152" w:type="dxa"/>
            <w:gridSpan w:val="3"/>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r w:rsidRPr="006B173A">
              <w:rPr>
                <w:rFonts w:eastAsia="Times New Roman" w:cs="Times New Roman"/>
                <w:b/>
                <w:bCs/>
                <w:color w:val="0000FF"/>
                <w:sz w:val="22"/>
              </w:rPr>
              <w:t>CHI PHÍ THUẾ THU NHẬP DOANH NGHIỆP HIỆN HÀNH</w:t>
            </w: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/2015</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ascii=".VnTime" w:eastAsia="Times New Roman" w:hAnsi=".VnTime" w:cs="Times New Roman"/>
                <w:b/>
                <w:bCs/>
                <w:sz w:val="22"/>
              </w:rPr>
            </w:pPr>
            <w:r w:rsidRPr="006B173A">
              <w:rPr>
                <w:rFonts w:ascii=".VnTime" w:eastAsia="Times New Roman" w:hAnsi=".VnTime" w:cs="Times New Roman"/>
                <w:b/>
                <w:bCs/>
                <w:sz w:val="22"/>
              </w:rPr>
              <w:t>QuÝ  III /2014</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single" w:sz="4" w:space="0" w:color="auto"/>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sz w:val="22"/>
              </w:rPr>
            </w:pPr>
            <w:r w:rsidRPr="006B173A">
              <w:rPr>
                <w:rFonts w:eastAsia="Times New Roman" w:cs="Times New Roman"/>
                <w:b/>
                <w:bCs/>
                <w:sz w:val="22"/>
              </w:rPr>
              <w:t xml:space="preserve"> VND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Tổng lợi nhuận kế toán</w:t>
            </w:r>
          </w:p>
        </w:tc>
        <w:tc>
          <w:tcPr>
            <w:tcW w:w="1714"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1,083,466,030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000000" w:fill="FFFFFF"/>
            <w:noWrap/>
            <w:vAlign w:val="bottom"/>
            <w:hideMark/>
          </w:tcPr>
          <w:p w:rsidR="00D940D0" w:rsidRPr="006B173A" w:rsidRDefault="00D940D0" w:rsidP="00D940D0">
            <w:pPr>
              <w:spacing w:after="0" w:line="240" w:lineRule="auto"/>
              <w:jc w:val="right"/>
              <w:rPr>
                <w:rFonts w:eastAsia="Times New Roman" w:cs="Times New Roman"/>
                <w:sz w:val="22"/>
              </w:rPr>
            </w:pPr>
            <w:r w:rsidRPr="006B173A">
              <w:rPr>
                <w:rFonts w:eastAsia="Times New Roman" w:cs="Times New Roman"/>
                <w:sz w:val="22"/>
              </w:rPr>
              <w:t xml:space="preserve">715,926,091 </w:t>
            </w:r>
          </w:p>
        </w:tc>
      </w:tr>
      <w:tr w:rsidR="00D940D0" w:rsidRPr="006B173A" w:rsidTr="00D940D0">
        <w:trPr>
          <w:trHeight w:val="57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Các khoản điều chỉnh tăng giảm lợi nhuận kế toán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i/>
                <w:iCs/>
                <w:sz w:val="22"/>
              </w:rPr>
            </w:pPr>
            <w:r w:rsidRPr="006B173A">
              <w:rPr>
                <w:rFonts w:eastAsia="Times New Roman" w:cs="Times New Roman"/>
                <w:b/>
                <w:bCs/>
                <w:i/>
                <w:iCs/>
                <w:sz w:val="22"/>
              </w:rPr>
              <w:t>Các khoản điều chỉnh tăng</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Dự phòng trợ cấp thôi việc</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i/>
                <w:iCs/>
                <w:sz w:val="22"/>
              </w:rPr>
            </w:pPr>
          </w:p>
        </w:tc>
      </w:tr>
      <w:tr w:rsidR="00D940D0" w:rsidRPr="006B173A" w:rsidTr="00D940D0">
        <w:trPr>
          <w:trHeight w:val="6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Lãi tỷ giá chưa thực hiện năm trước chuyển sang</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Lỗ chênh lệch tỷ giá chưa thực hiện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Các khoản khác</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i/>
                <w:iCs/>
                <w:sz w:val="22"/>
              </w:rPr>
            </w:pPr>
            <w:r w:rsidRPr="006B173A">
              <w:rPr>
                <w:rFonts w:eastAsia="Times New Roman" w:cs="Times New Roman"/>
                <w:b/>
                <w:bCs/>
                <w:i/>
                <w:iCs/>
                <w:sz w:val="22"/>
              </w:rPr>
              <w:t>Các khoản điều chỉnh giảm</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Lãi chênh lệch tỷ giá chưa thực hiện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r w:rsidRPr="006B173A">
              <w:rPr>
                <w:rFonts w:eastAsia="Times New Roman" w:cs="Times New Roman"/>
                <w:b/>
                <w:bCs/>
                <w:i/>
                <w:iCs/>
                <w:sz w:val="22"/>
              </w:rPr>
              <w:t xml:space="preserve">                         -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r w:rsidRPr="006B173A">
              <w:rPr>
                <w:rFonts w:eastAsia="Times New Roman" w:cs="Times New Roman"/>
                <w:b/>
                <w:bCs/>
                <w:i/>
                <w:iCs/>
                <w:sz w:val="22"/>
              </w:rPr>
              <w:t xml:space="preserve">                         - </w:t>
            </w:r>
          </w:p>
        </w:tc>
      </w:tr>
      <w:tr w:rsidR="00D940D0" w:rsidRPr="006B173A" w:rsidTr="00D940D0">
        <w:trPr>
          <w:trHeight w:val="6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Lỗ tỷ giá chưa thực hiện năm trước chuyển sang</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Cổ tức nhận được</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r w:rsidRPr="006B173A">
              <w:rPr>
                <w:rFonts w:eastAsia="Times New Roman" w:cs="Times New Roman"/>
                <w:b/>
                <w:bCs/>
                <w:i/>
                <w:iCs/>
                <w:sz w:val="22"/>
              </w:rPr>
              <w:t xml:space="preserve">                         -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r w:rsidRPr="006B173A">
              <w:rPr>
                <w:rFonts w:eastAsia="Times New Roman" w:cs="Times New Roman"/>
                <w:b/>
                <w:bCs/>
                <w:i/>
                <w:iCs/>
                <w:sz w:val="22"/>
              </w:rPr>
              <w:t xml:space="preserve">                         - </w:t>
            </w: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Lỗ năm trước chuyển sang</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Tổng lợi nhuận chịu thuế</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r w:rsidRPr="006B173A">
              <w:rPr>
                <w:rFonts w:eastAsia="Times New Roman" w:cs="Times New Roman"/>
                <w:b/>
                <w:bCs/>
                <w:i/>
                <w:iCs/>
                <w:sz w:val="22"/>
              </w:rPr>
              <w:t xml:space="preserve">   1,083,466,030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Thuế suất thuế TNDN</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i/>
                <w:iCs/>
                <w:sz w:val="22"/>
              </w:rPr>
            </w:pPr>
            <w:r w:rsidRPr="006B173A">
              <w:rPr>
                <w:rFonts w:eastAsia="Times New Roman" w:cs="Times New Roman"/>
                <w:b/>
                <w:bCs/>
                <w:i/>
                <w:iCs/>
                <w:sz w:val="22"/>
              </w:rPr>
              <w:t>22%</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right"/>
              <w:rPr>
                <w:rFonts w:eastAsia="Times New Roman" w:cs="Times New Roman"/>
                <w:b/>
                <w:bCs/>
                <w:i/>
                <w:iCs/>
                <w:sz w:val="22"/>
              </w:rPr>
            </w:pPr>
            <w:r w:rsidRPr="006B173A">
              <w:rPr>
                <w:rFonts w:eastAsia="Times New Roman" w:cs="Times New Roman"/>
                <w:b/>
                <w:bCs/>
                <w:i/>
                <w:iCs/>
                <w:sz w:val="22"/>
              </w:rPr>
              <w:t>22%</w:t>
            </w:r>
          </w:p>
        </w:tc>
      </w:tr>
      <w:tr w:rsidR="00D940D0" w:rsidRPr="006B173A" w:rsidTr="00D940D0">
        <w:trPr>
          <w:trHeight w:val="6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hideMark/>
          </w:tcPr>
          <w:p w:rsidR="00D940D0" w:rsidRPr="006B173A" w:rsidRDefault="00D940D0" w:rsidP="00D940D0">
            <w:pPr>
              <w:spacing w:after="0" w:line="240" w:lineRule="auto"/>
              <w:jc w:val="both"/>
              <w:rPr>
                <w:rFonts w:eastAsia="Times New Roman" w:cs="Times New Roman"/>
                <w:sz w:val="22"/>
              </w:rPr>
            </w:pPr>
            <w:r w:rsidRPr="006B173A">
              <w:rPr>
                <w:rFonts w:eastAsia="Times New Roman" w:cs="Times New Roman"/>
                <w:sz w:val="22"/>
              </w:rPr>
              <w:t>Chi phí thuế TNDN tính trên thu nhập chịu thuế năm hiện hành</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r w:rsidRPr="006B173A">
              <w:rPr>
                <w:rFonts w:eastAsia="Times New Roman" w:cs="Times New Roman"/>
                <w:b/>
                <w:bCs/>
                <w:i/>
                <w:iCs/>
                <w:sz w:val="22"/>
              </w:rPr>
              <w:t xml:space="preserve">      157,503,740 </w:t>
            </w:r>
          </w:p>
        </w:tc>
      </w:tr>
      <w:tr w:rsidR="00D940D0" w:rsidRPr="006B173A" w:rsidTr="00D940D0">
        <w:trPr>
          <w:trHeight w:val="9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color w:val="0000FF"/>
                <w:sz w:val="22"/>
              </w:rPr>
            </w:pPr>
          </w:p>
        </w:tc>
        <w:tc>
          <w:tcPr>
            <w:tcW w:w="4462" w:type="dxa"/>
            <w:tcBorders>
              <w:top w:val="nil"/>
              <w:left w:val="nil"/>
              <w:bottom w:val="nil"/>
              <w:right w:val="nil"/>
            </w:tcBorders>
            <w:shd w:val="clear" w:color="auto" w:fill="auto"/>
            <w:vAlign w:val="bottom"/>
            <w:hideMark/>
          </w:tcPr>
          <w:p w:rsidR="00D940D0" w:rsidRPr="006B173A" w:rsidRDefault="00D940D0" w:rsidP="00D940D0">
            <w:pPr>
              <w:spacing w:after="0" w:line="240" w:lineRule="auto"/>
              <w:rPr>
                <w:rFonts w:eastAsia="Times New Roman" w:cs="Times New Roman"/>
                <w:sz w:val="22"/>
              </w:rPr>
            </w:pPr>
            <w:r w:rsidRPr="006B173A">
              <w:rPr>
                <w:rFonts w:eastAsia="Times New Roman" w:cs="Times New Roman"/>
                <w:sz w:val="22"/>
              </w:rPr>
              <w:t>Điều chỉnh chi phí thuế TNDN của các năm trước vào chi phí thuế thu nhập hiện hành năm nay</w:t>
            </w: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i/>
                <w:iCs/>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Tổng thuế thu nhập doanh nghiệp phải nộp</w:t>
            </w:r>
          </w:p>
        </w:tc>
        <w:tc>
          <w:tcPr>
            <w:tcW w:w="1714"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238,362,527 </w:t>
            </w: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p>
        </w:tc>
        <w:tc>
          <w:tcPr>
            <w:tcW w:w="1796" w:type="dxa"/>
            <w:tcBorders>
              <w:top w:val="single" w:sz="4" w:space="0" w:color="auto"/>
              <w:left w:val="nil"/>
              <w:bottom w:val="double" w:sz="6" w:space="0" w:color="auto"/>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 xml:space="preserve">       157,503,740 </w:t>
            </w:r>
          </w:p>
        </w:tc>
      </w:tr>
      <w:tr w:rsidR="00D940D0" w:rsidRPr="006B173A" w:rsidTr="00D940D0">
        <w:trPr>
          <w:trHeight w:val="31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300"/>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4462"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sz w:val="22"/>
              </w:rPr>
            </w:pPr>
          </w:p>
        </w:tc>
        <w:tc>
          <w:tcPr>
            <w:tcW w:w="1714"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9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c>
          <w:tcPr>
            <w:tcW w:w="179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FF0000"/>
                <w:sz w:val="22"/>
              </w:rPr>
            </w:pPr>
          </w:p>
        </w:tc>
      </w:tr>
      <w:tr w:rsidR="00D940D0" w:rsidRPr="006B173A" w:rsidTr="00D940D0">
        <w:trPr>
          <w:trHeight w:val="103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8948" w:type="dxa"/>
            <w:gridSpan w:val="4"/>
            <w:tcBorders>
              <w:top w:val="nil"/>
              <w:left w:val="nil"/>
              <w:bottom w:val="nil"/>
              <w:right w:val="nil"/>
            </w:tcBorders>
            <w:shd w:val="clear" w:color="auto" w:fill="auto"/>
            <w:vAlign w:val="bottom"/>
            <w:hideMark/>
          </w:tcPr>
          <w:p w:rsidR="00D940D0" w:rsidRPr="006B173A" w:rsidRDefault="00D940D0" w:rsidP="00D940D0">
            <w:pPr>
              <w:spacing w:after="0" w:line="240" w:lineRule="auto"/>
              <w:rPr>
                <w:rFonts w:eastAsia="Times New Roman" w:cs="Times New Roman"/>
                <w:b/>
                <w:bCs/>
                <w:sz w:val="20"/>
                <w:szCs w:val="20"/>
              </w:rPr>
            </w:pPr>
            <w:r w:rsidRPr="006B173A">
              <w:rPr>
                <w:rFonts w:eastAsia="Times New Roman" w:cs="Times New Roman"/>
                <w:b/>
                <w:bCs/>
                <w:sz w:val="20"/>
                <w:szCs w:val="20"/>
              </w:rPr>
              <w:t>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r>
      <w:tr w:rsidR="00D940D0" w:rsidRPr="006B173A" w:rsidTr="00D940D0">
        <w:trPr>
          <w:trHeight w:val="1035"/>
          <w:jc w:val="right"/>
        </w:trPr>
        <w:tc>
          <w:tcPr>
            <w:tcW w:w="876" w:type="dxa"/>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color w:val="0000FF"/>
                <w:sz w:val="22"/>
              </w:rPr>
            </w:pPr>
          </w:p>
        </w:tc>
        <w:tc>
          <w:tcPr>
            <w:tcW w:w="6176" w:type="dxa"/>
            <w:gridSpan w:val="2"/>
            <w:tcBorders>
              <w:top w:val="nil"/>
              <w:left w:val="nil"/>
              <w:bottom w:val="nil"/>
              <w:right w:val="nil"/>
            </w:tcBorders>
            <w:shd w:val="clear" w:color="auto" w:fill="auto"/>
            <w:noWrap/>
            <w:vAlign w:val="bottom"/>
            <w:hideMark/>
          </w:tcPr>
          <w:p w:rsidR="00D940D0" w:rsidRPr="006B173A" w:rsidRDefault="00D940D0" w:rsidP="00D940D0">
            <w:pPr>
              <w:spacing w:after="0" w:line="240" w:lineRule="auto"/>
              <w:rPr>
                <w:rFonts w:eastAsia="Times New Roman" w:cs="Times New Roman"/>
                <w:b/>
                <w:bCs/>
                <w:sz w:val="22"/>
              </w:rPr>
            </w:pPr>
            <w:r w:rsidRPr="006B173A">
              <w:rPr>
                <w:rFonts w:eastAsia="Times New Roman" w:cs="Times New Roman"/>
                <w:b/>
                <w:bCs/>
                <w:sz w:val="22"/>
              </w:rPr>
              <w:t>Người lập biểu                                 Kê toán trưởng</w:t>
            </w:r>
          </w:p>
        </w:tc>
        <w:tc>
          <w:tcPr>
            <w:tcW w:w="2772" w:type="dxa"/>
            <w:gridSpan w:val="2"/>
            <w:tcBorders>
              <w:top w:val="nil"/>
              <w:left w:val="nil"/>
              <w:bottom w:val="nil"/>
              <w:right w:val="nil"/>
            </w:tcBorders>
            <w:shd w:val="clear" w:color="auto" w:fill="auto"/>
            <w:noWrap/>
            <w:vAlign w:val="bottom"/>
            <w:hideMark/>
          </w:tcPr>
          <w:p w:rsidR="00D940D0" w:rsidRPr="006B173A" w:rsidRDefault="00D940D0" w:rsidP="00D940D0">
            <w:pPr>
              <w:spacing w:after="0" w:line="240" w:lineRule="auto"/>
              <w:jc w:val="center"/>
              <w:rPr>
                <w:rFonts w:eastAsia="Times New Roman" w:cs="Times New Roman"/>
                <w:b/>
                <w:bCs/>
                <w:sz w:val="22"/>
              </w:rPr>
            </w:pPr>
            <w:r w:rsidRPr="006B173A">
              <w:rPr>
                <w:rFonts w:eastAsia="Times New Roman" w:cs="Times New Roman"/>
                <w:b/>
                <w:bCs/>
                <w:sz w:val="22"/>
              </w:rPr>
              <w:t xml:space="preserve"> Giám đốc Công ty </w:t>
            </w:r>
          </w:p>
        </w:tc>
      </w:tr>
    </w:tbl>
    <w:p w:rsidR="00D940D0" w:rsidRDefault="00D940D0"/>
    <w:sectPr w:rsidR="00D940D0" w:rsidSect="00E436DB">
      <w:pgSz w:w="11909" w:h="16834" w:code="9"/>
      <w:pgMar w:top="964" w:right="964" w:bottom="96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compat/>
  <w:rsids>
    <w:rsidRoot w:val="006B173A"/>
    <w:rsid w:val="006B173A"/>
    <w:rsid w:val="0079554F"/>
    <w:rsid w:val="007A26E9"/>
    <w:rsid w:val="008F1DB5"/>
    <w:rsid w:val="00A40DCD"/>
    <w:rsid w:val="00B40F87"/>
    <w:rsid w:val="00CF7740"/>
    <w:rsid w:val="00D940D0"/>
    <w:rsid w:val="00E436DB"/>
    <w:rsid w:val="00E93B00"/>
    <w:rsid w:val="00F75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p1"/>
    <w:basedOn w:val="Normal"/>
    <w:link w:val="HeaderChar"/>
    <w:rsid w:val="006B173A"/>
    <w:pPr>
      <w:widowControl w:val="0"/>
      <w:tabs>
        <w:tab w:val="center" w:pos="4153"/>
        <w:tab w:val="right" w:pos="8306"/>
      </w:tabs>
      <w:snapToGrid w:val="0"/>
      <w:spacing w:after="0" w:line="240" w:lineRule="auto"/>
    </w:pPr>
    <w:rPr>
      <w:rFonts w:eastAsia="SimSun" w:cs="Times New Roman"/>
      <w:kern w:val="2"/>
      <w:sz w:val="18"/>
      <w:szCs w:val="18"/>
      <w:lang w:val="vi-VN" w:eastAsia="zh-CN"/>
    </w:rPr>
  </w:style>
  <w:style w:type="character" w:customStyle="1" w:styleId="HeaderChar">
    <w:name w:val="Header Char"/>
    <w:aliases w:val="Header -p1 Char"/>
    <w:basedOn w:val="DefaultParagraphFont"/>
    <w:link w:val="Header"/>
    <w:rsid w:val="006B173A"/>
    <w:rPr>
      <w:rFonts w:eastAsia="SimSun" w:cs="Times New Roman"/>
      <w:kern w:val="2"/>
      <w:sz w:val="18"/>
      <w:szCs w:val="18"/>
      <w:lang w:val="vi-VN" w:eastAsia="zh-CN"/>
    </w:rPr>
  </w:style>
  <w:style w:type="paragraph" w:customStyle="1" w:styleId="Level0">
    <w:name w:val="Level 0"/>
    <w:basedOn w:val="Normal"/>
    <w:rsid w:val="006B173A"/>
    <w:pPr>
      <w:tabs>
        <w:tab w:val="left" w:pos="576"/>
        <w:tab w:val="left" w:pos="1152"/>
        <w:tab w:val="left" w:pos="1728"/>
        <w:tab w:val="left" w:pos="2304"/>
      </w:tabs>
      <w:spacing w:before="120" w:after="0" w:line="240" w:lineRule="atLeast"/>
      <w:ind w:left="576" w:hanging="576"/>
    </w:pPr>
    <w:rPr>
      <w:rFonts w:eastAsia="PMingLiU"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9202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K2ihgkEJEfAWWQcEkSkTvGE8bwY=</DigestValue>
    </Reference>
    <Reference URI="#idOfficeObject" Type="http://www.w3.org/2000/09/xmldsig#Object">
      <DigestMethod Algorithm="http://www.w3.org/2000/09/xmldsig#sha1"/>
      <DigestValue>LifAoX8W15b5x3p0+ztkb0SAg8s=</DigestValue>
    </Reference>
  </SignedInfo>
  <SignatureValue>
    yXvT+pJnM8GvUFurPsmMOKJHpWVrPVOv4b3gPInnTNsOodUk+JVpY3b9GpJxzGDToBudxFmr
    SicFldg48ppLZqcJOvF/cwNYnOZ+I7EeZLqlPhdfnOj2BYlJGoGFBv51kcOLr8zdCtaRNx2s
    D3GNYhELTc+KkBzdPafzKw4Iui0=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6I/WpKojjE5d8INwJJ4fm2/agwc=</DigestValue>
      </Reference>
      <Reference URI="/word/fontTable.xml?ContentType=application/vnd.openxmlformats-officedocument.wordprocessingml.fontTable+xml">
        <DigestMethod Algorithm="http://www.w3.org/2000/09/xmldsig#sha1"/>
        <DigestValue>4wpI/pF/5xCbApBQ6UXLQPq6/Bo=</DigestValue>
      </Reference>
      <Reference URI="/word/settings.xml?ContentType=application/vnd.openxmlformats-officedocument.wordprocessingml.settings+xml">
        <DigestMethod Algorithm="http://www.w3.org/2000/09/xmldsig#sha1"/>
        <DigestValue>sWKkIbfjiu8zbi1WokmBFpftwDs=</DigestValue>
      </Reference>
      <Reference URI="/word/styles.xml?ContentType=application/vnd.openxmlformats-officedocument.wordprocessingml.styles+xml">
        <DigestMethod Algorithm="http://www.w3.org/2000/09/xmldsig#sha1"/>
        <DigestValue>hA6vHT0bZC8HiRU2R5FcPYFrtuw=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MbNJKc7mxInlIRQyK+Pd6jBGo0Q=</DigestValue>
      </Reference>
    </Manifest>
    <SignatureProperties>
      <SignatureProperty Id="idSignatureTime" Target="#idPackageSignature">
        <mdssi:SignatureTime>
          <mdssi:Format>YYYY-MM-DDThh:mm:ssTZD</mdssi:Format>
          <mdssi:Value>2015-10-20T10:27:51Z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12</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Administrator</cp:lastModifiedBy>
  <cp:revision>2</cp:revision>
  <dcterms:created xsi:type="dcterms:W3CDTF">2015-10-20T10:27:00Z</dcterms:created>
  <dcterms:modified xsi:type="dcterms:W3CDTF">2015-10-20T10:27:00Z</dcterms:modified>
</cp:coreProperties>
</file>