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C7" w:rsidRPr="000D5E4C" w:rsidRDefault="00051DC7" w:rsidP="00051DC7">
      <w:pPr>
        <w:rPr>
          <w:b/>
          <w:sz w:val="26"/>
          <w:szCs w:val="26"/>
        </w:rPr>
      </w:pPr>
      <w:r w:rsidRPr="000D5E4C">
        <w:rPr>
          <w:b/>
          <w:sz w:val="26"/>
          <w:szCs w:val="26"/>
        </w:rPr>
        <w:t xml:space="preserve">CÔNG </w:t>
      </w:r>
      <w:r>
        <w:rPr>
          <w:b/>
          <w:sz w:val="26"/>
          <w:szCs w:val="26"/>
        </w:rPr>
        <w:t xml:space="preserve">TY CỔ PHẦN CƠ KHÍ       </w:t>
      </w:r>
      <w:r w:rsidRPr="000D5E4C">
        <w:rPr>
          <w:b/>
          <w:sz w:val="26"/>
          <w:szCs w:val="26"/>
        </w:rPr>
        <w:t xml:space="preserve">  CỘNG HÒA XÃ HỘI CHỦ NGHĨA VIỆT NAM</w:t>
      </w:r>
    </w:p>
    <w:p w:rsidR="00051DC7" w:rsidRPr="000D5E4C" w:rsidRDefault="00051DC7" w:rsidP="00051DC7">
      <w:pPr>
        <w:rPr>
          <w:b/>
          <w:sz w:val="28"/>
          <w:szCs w:val="28"/>
        </w:rPr>
      </w:pPr>
      <w:r w:rsidRPr="000D5E4C">
        <w:rPr>
          <w:b/>
          <w:sz w:val="26"/>
          <w:szCs w:val="26"/>
        </w:rPr>
        <w:t xml:space="preserve">VÀ KHOÁNG SẢN HÀ GIANG                     </w:t>
      </w:r>
      <w:r w:rsidRPr="000D5E4C">
        <w:rPr>
          <w:b/>
          <w:sz w:val="28"/>
          <w:szCs w:val="28"/>
        </w:rPr>
        <w:t>Độc lập – Tự do – Hạnh phúc</w:t>
      </w:r>
    </w:p>
    <w:p w:rsidR="00051DC7" w:rsidRPr="000D5E4C" w:rsidRDefault="00051DC7" w:rsidP="00051DC7">
      <w:pPr>
        <w:rPr>
          <w:b/>
          <w:sz w:val="26"/>
          <w:szCs w:val="26"/>
        </w:rPr>
      </w:pPr>
      <w:r>
        <w:rPr>
          <w:b/>
          <w:noProof/>
          <w:sz w:val="26"/>
          <w:szCs w:val="26"/>
        </w:rPr>
        <w:pict>
          <v:shapetype id="_x0000_t32" coordsize="21600,21600" o:spt="32" o:oned="t" path="m,l21600,21600e" filled="f">
            <v:path arrowok="t" fillok="f" o:connecttype="none"/>
            <o:lock v:ext="edit" shapetype="t"/>
          </v:shapetype>
          <v:shape id="_x0000_s1027" type="#_x0000_t32" style="position:absolute;margin-left:251.85pt;margin-top:1.2pt;width:172.5pt;height:0;z-index:251658240" o:connectortype="straight"/>
        </w:pict>
      </w:r>
      <w:r>
        <w:rPr>
          <w:b/>
          <w:noProof/>
          <w:sz w:val="26"/>
          <w:szCs w:val="26"/>
        </w:rPr>
        <w:pict>
          <v:shape id="_x0000_s1026" type="#_x0000_t32" style="position:absolute;margin-left:53.1pt;margin-top:4.95pt;width:71.25pt;height:0;z-index:251658240" o:connectortype="straight"/>
        </w:pict>
      </w:r>
    </w:p>
    <w:p w:rsidR="00051DC7" w:rsidRPr="000D5E4C" w:rsidRDefault="00C84867" w:rsidP="00051DC7">
      <w:pPr>
        <w:rPr>
          <w:i/>
          <w:sz w:val="26"/>
          <w:szCs w:val="26"/>
        </w:rPr>
      </w:pPr>
      <w:r>
        <w:rPr>
          <w:sz w:val="26"/>
          <w:szCs w:val="26"/>
        </w:rPr>
        <w:t xml:space="preserve">           Số: 07</w:t>
      </w:r>
      <w:r w:rsidR="00051DC7" w:rsidRPr="000D5E4C">
        <w:rPr>
          <w:sz w:val="26"/>
          <w:szCs w:val="26"/>
        </w:rPr>
        <w:t xml:space="preserve"> /GT-HGM                                    </w:t>
      </w:r>
      <w:r>
        <w:rPr>
          <w:sz w:val="26"/>
          <w:szCs w:val="26"/>
        </w:rPr>
        <w:t xml:space="preserve">      </w:t>
      </w:r>
      <w:r w:rsidR="00051DC7" w:rsidRPr="000D5E4C">
        <w:rPr>
          <w:sz w:val="26"/>
          <w:szCs w:val="26"/>
        </w:rPr>
        <w:t xml:space="preserve">  </w:t>
      </w:r>
      <w:r w:rsidR="00856CBC">
        <w:rPr>
          <w:i/>
          <w:sz w:val="26"/>
          <w:szCs w:val="26"/>
        </w:rPr>
        <w:t>Hà Giang, ngày 17 tháng 03 năm 2015</w:t>
      </w:r>
    </w:p>
    <w:p w:rsidR="00051DC7" w:rsidRPr="000D5E4C" w:rsidRDefault="00051DC7" w:rsidP="00051DC7">
      <w:pPr>
        <w:rPr>
          <w:sz w:val="26"/>
          <w:szCs w:val="26"/>
        </w:rPr>
      </w:pPr>
      <w:r w:rsidRPr="000D5E4C">
        <w:rPr>
          <w:sz w:val="26"/>
          <w:szCs w:val="26"/>
        </w:rPr>
        <w:t xml:space="preserve">“V/v Giải trình </w:t>
      </w:r>
      <w:r w:rsidR="00856CBC">
        <w:rPr>
          <w:sz w:val="26"/>
          <w:szCs w:val="26"/>
        </w:rPr>
        <w:t>chênh lệch LNST năm 2014</w:t>
      </w:r>
    </w:p>
    <w:p w:rsidR="00051DC7" w:rsidRPr="000D5E4C" w:rsidRDefault="00856CBC" w:rsidP="00051DC7">
      <w:pPr>
        <w:rPr>
          <w:sz w:val="26"/>
          <w:szCs w:val="26"/>
        </w:rPr>
      </w:pPr>
      <w:r>
        <w:rPr>
          <w:sz w:val="26"/>
          <w:szCs w:val="26"/>
        </w:rPr>
        <w:t>Giữa BCTC kiểm toán</w:t>
      </w:r>
      <w:r w:rsidR="00051DC7" w:rsidRPr="000D5E4C">
        <w:rPr>
          <w:sz w:val="26"/>
          <w:szCs w:val="26"/>
        </w:rPr>
        <w:t xml:space="preserve"> và BCTC tự lập”</w:t>
      </w:r>
    </w:p>
    <w:p w:rsidR="00051DC7" w:rsidRPr="000D5E4C" w:rsidRDefault="00051DC7" w:rsidP="00051DC7">
      <w:pPr>
        <w:rPr>
          <w:sz w:val="26"/>
          <w:szCs w:val="26"/>
        </w:rPr>
      </w:pPr>
    </w:p>
    <w:p w:rsidR="00051DC7" w:rsidRPr="000D5E4C" w:rsidRDefault="00051DC7" w:rsidP="00051DC7">
      <w:pPr>
        <w:rPr>
          <w:sz w:val="28"/>
          <w:szCs w:val="28"/>
        </w:rPr>
      </w:pPr>
      <w:r>
        <w:rPr>
          <w:sz w:val="28"/>
          <w:szCs w:val="28"/>
        </w:rPr>
        <w:t xml:space="preserve">                                 </w:t>
      </w:r>
      <w:r w:rsidRPr="000D5E4C">
        <w:rPr>
          <w:sz w:val="28"/>
          <w:szCs w:val="28"/>
        </w:rPr>
        <w:t xml:space="preserve">Kính gửi: </w:t>
      </w:r>
      <w:r>
        <w:rPr>
          <w:sz w:val="28"/>
          <w:szCs w:val="28"/>
        </w:rPr>
        <w:t xml:space="preserve">-   </w:t>
      </w:r>
      <w:r w:rsidRPr="000D5E4C">
        <w:rPr>
          <w:sz w:val="28"/>
          <w:szCs w:val="28"/>
        </w:rPr>
        <w:t>Ủy ban Chứng khoán Nhà nước</w:t>
      </w:r>
    </w:p>
    <w:p w:rsidR="00051DC7" w:rsidRPr="005B314D" w:rsidRDefault="00051DC7" w:rsidP="00051DC7">
      <w:pPr>
        <w:pStyle w:val="oncaDanhsch"/>
        <w:numPr>
          <w:ilvl w:val="0"/>
          <w:numId w:val="3"/>
        </w:numPr>
        <w:rPr>
          <w:sz w:val="28"/>
          <w:szCs w:val="28"/>
        </w:rPr>
      </w:pPr>
      <w:r w:rsidRPr="005B314D">
        <w:rPr>
          <w:sz w:val="28"/>
          <w:szCs w:val="28"/>
        </w:rPr>
        <w:t>Sở Giao dịch Chứng khoán Hà Nội</w:t>
      </w:r>
    </w:p>
    <w:p w:rsidR="00051DC7" w:rsidRPr="000D5E4C" w:rsidRDefault="00051DC7" w:rsidP="00051DC7">
      <w:pPr>
        <w:rPr>
          <w:sz w:val="28"/>
          <w:szCs w:val="28"/>
        </w:rPr>
      </w:pPr>
    </w:p>
    <w:p w:rsidR="00051DC7" w:rsidRPr="000D5E4C" w:rsidRDefault="00051DC7" w:rsidP="00051DC7">
      <w:pPr>
        <w:pStyle w:val="oncaDanhsch"/>
        <w:numPr>
          <w:ilvl w:val="0"/>
          <w:numId w:val="1"/>
        </w:numPr>
        <w:rPr>
          <w:sz w:val="28"/>
          <w:szCs w:val="28"/>
        </w:rPr>
      </w:pPr>
      <w:r w:rsidRPr="000D5E4C">
        <w:rPr>
          <w:sz w:val="28"/>
          <w:szCs w:val="28"/>
        </w:rPr>
        <w:t>Tên Công ty: Công ty cổ phần Cơ khí và Khoáng sản Hà Giang</w:t>
      </w:r>
    </w:p>
    <w:p w:rsidR="00051DC7" w:rsidRPr="000D5E4C" w:rsidRDefault="00051DC7" w:rsidP="00051DC7">
      <w:pPr>
        <w:pStyle w:val="oncaDanhsch"/>
        <w:numPr>
          <w:ilvl w:val="0"/>
          <w:numId w:val="1"/>
        </w:numPr>
        <w:rPr>
          <w:sz w:val="28"/>
          <w:szCs w:val="28"/>
        </w:rPr>
      </w:pPr>
      <w:r w:rsidRPr="000D5E4C">
        <w:rPr>
          <w:sz w:val="28"/>
          <w:szCs w:val="28"/>
        </w:rPr>
        <w:t>Mã chứng khoán: HGM</w:t>
      </w:r>
    </w:p>
    <w:p w:rsidR="00051DC7" w:rsidRPr="000D5E4C" w:rsidRDefault="00051DC7" w:rsidP="00051DC7">
      <w:pPr>
        <w:pStyle w:val="oncaDanhsch"/>
        <w:numPr>
          <w:ilvl w:val="0"/>
          <w:numId w:val="1"/>
        </w:numPr>
        <w:rPr>
          <w:sz w:val="28"/>
          <w:szCs w:val="28"/>
        </w:rPr>
      </w:pPr>
      <w:r w:rsidRPr="000D5E4C">
        <w:rPr>
          <w:sz w:val="28"/>
          <w:szCs w:val="28"/>
        </w:rPr>
        <w:t>Địa chỉ trụ sở chính: Số 390, đường Nguyễn Trãi, TP Hà Giang, tỉnh Hà Giang.</w:t>
      </w:r>
    </w:p>
    <w:p w:rsidR="00051DC7" w:rsidRDefault="00051DC7" w:rsidP="00051DC7">
      <w:pPr>
        <w:pStyle w:val="oncaDanhsch"/>
        <w:numPr>
          <w:ilvl w:val="0"/>
          <w:numId w:val="1"/>
        </w:numPr>
        <w:rPr>
          <w:sz w:val="28"/>
          <w:szCs w:val="28"/>
        </w:rPr>
      </w:pPr>
      <w:r w:rsidRPr="000D5E4C">
        <w:rPr>
          <w:sz w:val="28"/>
          <w:szCs w:val="28"/>
        </w:rPr>
        <w:t>Điện thoại: 02193867533; 02193866708;  Fax: 02193867068</w:t>
      </w:r>
    </w:p>
    <w:p w:rsidR="00497448" w:rsidRDefault="00497448" w:rsidP="00497448">
      <w:pPr>
        <w:pStyle w:val="oncaDanhsch"/>
        <w:ind w:left="1080"/>
        <w:rPr>
          <w:sz w:val="28"/>
          <w:szCs w:val="28"/>
        </w:rPr>
      </w:pPr>
    </w:p>
    <w:p w:rsidR="00497448" w:rsidRPr="0039699C" w:rsidRDefault="00051DC7" w:rsidP="00051DC7">
      <w:pPr>
        <w:ind w:firstLine="720"/>
        <w:rPr>
          <w:sz w:val="28"/>
          <w:szCs w:val="28"/>
        </w:rPr>
      </w:pPr>
      <w:r w:rsidRPr="0039699C">
        <w:rPr>
          <w:sz w:val="28"/>
          <w:szCs w:val="28"/>
        </w:rPr>
        <w:t>Că</w:t>
      </w:r>
      <w:r w:rsidR="00856CBC">
        <w:rPr>
          <w:sz w:val="28"/>
          <w:szCs w:val="28"/>
        </w:rPr>
        <w:t>n cứ số liệu BCTC quý 4 năm 2014</w:t>
      </w:r>
      <w:r w:rsidRPr="0039699C">
        <w:rPr>
          <w:sz w:val="28"/>
          <w:szCs w:val="28"/>
        </w:rPr>
        <w:t xml:space="preserve"> do công ty tự l</w:t>
      </w:r>
      <w:r w:rsidR="00856CBC">
        <w:rPr>
          <w:sz w:val="28"/>
          <w:szCs w:val="28"/>
        </w:rPr>
        <w:t>ập và BCTC đã kiểm toán năm 2014</w:t>
      </w:r>
      <w:r w:rsidRPr="0039699C">
        <w:rPr>
          <w:sz w:val="28"/>
          <w:szCs w:val="28"/>
        </w:rPr>
        <w:t>:</w:t>
      </w:r>
    </w:p>
    <w:tbl>
      <w:tblPr>
        <w:tblStyle w:val="LiBng"/>
        <w:tblW w:w="0" w:type="auto"/>
        <w:tblInd w:w="108" w:type="dxa"/>
        <w:tblLook w:val="04A0"/>
      </w:tblPr>
      <w:tblGrid>
        <w:gridCol w:w="3150"/>
        <w:gridCol w:w="3240"/>
        <w:gridCol w:w="1890"/>
        <w:gridCol w:w="1332"/>
      </w:tblGrid>
      <w:tr w:rsidR="00051DC7" w:rsidTr="00A0487D">
        <w:tc>
          <w:tcPr>
            <w:tcW w:w="3150" w:type="dxa"/>
            <w:vAlign w:val="center"/>
          </w:tcPr>
          <w:p w:rsidR="00051DC7" w:rsidRDefault="00856CBC" w:rsidP="00A0487D">
            <w:pPr>
              <w:pStyle w:val="oncaDanhsch"/>
              <w:ind w:left="0"/>
              <w:jc w:val="center"/>
              <w:rPr>
                <w:sz w:val="28"/>
                <w:szCs w:val="28"/>
              </w:rPr>
            </w:pPr>
            <w:r>
              <w:rPr>
                <w:sz w:val="28"/>
                <w:szCs w:val="28"/>
              </w:rPr>
              <w:t>Lũy kế LNST năm 2014</w:t>
            </w:r>
            <w:r w:rsidR="00051DC7">
              <w:rPr>
                <w:sz w:val="28"/>
                <w:szCs w:val="28"/>
              </w:rPr>
              <w:t xml:space="preserve"> theo BCTC công ty tự lập</w:t>
            </w:r>
          </w:p>
        </w:tc>
        <w:tc>
          <w:tcPr>
            <w:tcW w:w="3240" w:type="dxa"/>
            <w:vAlign w:val="center"/>
          </w:tcPr>
          <w:p w:rsidR="00051DC7" w:rsidRDefault="00856CBC" w:rsidP="00A0487D">
            <w:pPr>
              <w:pStyle w:val="oncaDanhsch"/>
              <w:ind w:left="0"/>
              <w:jc w:val="center"/>
              <w:rPr>
                <w:sz w:val="28"/>
                <w:szCs w:val="28"/>
              </w:rPr>
            </w:pPr>
            <w:r>
              <w:rPr>
                <w:sz w:val="28"/>
                <w:szCs w:val="28"/>
              </w:rPr>
              <w:t>LNST năm 2014</w:t>
            </w:r>
            <w:r w:rsidR="00051DC7">
              <w:rPr>
                <w:sz w:val="28"/>
                <w:szCs w:val="28"/>
              </w:rPr>
              <w:t xml:space="preserve"> theo BCTC kiểm toán năm 201</w:t>
            </w:r>
            <w:r>
              <w:rPr>
                <w:sz w:val="28"/>
                <w:szCs w:val="28"/>
              </w:rPr>
              <w:t>4</w:t>
            </w:r>
          </w:p>
        </w:tc>
        <w:tc>
          <w:tcPr>
            <w:tcW w:w="1890" w:type="dxa"/>
            <w:vAlign w:val="center"/>
          </w:tcPr>
          <w:p w:rsidR="00051DC7" w:rsidRDefault="00051DC7" w:rsidP="00A0487D">
            <w:pPr>
              <w:pStyle w:val="oncaDanhsch"/>
              <w:ind w:left="0"/>
              <w:jc w:val="center"/>
              <w:rPr>
                <w:sz w:val="28"/>
                <w:szCs w:val="28"/>
              </w:rPr>
            </w:pPr>
            <w:r>
              <w:rPr>
                <w:sz w:val="28"/>
                <w:szCs w:val="28"/>
              </w:rPr>
              <w:t>Chênh lệch</w:t>
            </w:r>
          </w:p>
        </w:tc>
        <w:tc>
          <w:tcPr>
            <w:tcW w:w="1332" w:type="dxa"/>
            <w:vAlign w:val="center"/>
          </w:tcPr>
          <w:p w:rsidR="00051DC7" w:rsidRDefault="00051DC7" w:rsidP="00A0487D">
            <w:pPr>
              <w:pStyle w:val="oncaDanhsch"/>
              <w:ind w:left="0"/>
              <w:jc w:val="center"/>
              <w:rPr>
                <w:sz w:val="28"/>
                <w:szCs w:val="28"/>
              </w:rPr>
            </w:pPr>
            <w:r>
              <w:rPr>
                <w:sz w:val="28"/>
                <w:szCs w:val="28"/>
              </w:rPr>
              <w:t>Tỷ lệ</w:t>
            </w:r>
          </w:p>
        </w:tc>
      </w:tr>
      <w:tr w:rsidR="00051DC7" w:rsidTr="00A0487D">
        <w:tc>
          <w:tcPr>
            <w:tcW w:w="3150" w:type="dxa"/>
            <w:vAlign w:val="center"/>
          </w:tcPr>
          <w:p w:rsidR="00051DC7" w:rsidRDefault="00856CBC" w:rsidP="00A0487D">
            <w:pPr>
              <w:pStyle w:val="oncaDanhsch"/>
              <w:ind w:left="0"/>
              <w:jc w:val="center"/>
              <w:rPr>
                <w:sz w:val="28"/>
                <w:szCs w:val="28"/>
              </w:rPr>
            </w:pPr>
            <w:r>
              <w:rPr>
                <w:sz w:val="28"/>
                <w:szCs w:val="28"/>
              </w:rPr>
              <w:t>29.095.713.627</w:t>
            </w:r>
          </w:p>
        </w:tc>
        <w:tc>
          <w:tcPr>
            <w:tcW w:w="3240" w:type="dxa"/>
            <w:vAlign w:val="center"/>
          </w:tcPr>
          <w:p w:rsidR="00051DC7" w:rsidRDefault="00856CBC" w:rsidP="00A0487D">
            <w:pPr>
              <w:pStyle w:val="oncaDanhsch"/>
              <w:ind w:left="0"/>
              <w:jc w:val="center"/>
              <w:rPr>
                <w:sz w:val="28"/>
                <w:szCs w:val="28"/>
              </w:rPr>
            </w:pPr>
            <w:r>
              <w:rPr>
                <w:sz w:val="28"/>
                <w:szCs w:val="28"/>
              </w:rPr>
              <w:t>30.080.412.479</w:t>
            </w:r>
          </w:p>
        </w:tc>
        <w:tc>
          <w:tcPr>
            <w:tcW w:w="1890" w:type="dxa"/>
            <w:vAlign w:val="center"/>
          </w:tcPr>
          <w:p w:rsidR="00051DC7" w:rsidRDefault="00856CBC" w:rsidP="00A0487D">
            <w:pPr>
              <w:pStyle w:val="oncaDanhsch"/>
              <w:ind w:left="0"/>
              <w:jc w:val="center"/>
              <w:rPr>
                <w:sz w:val="28"/>
                <w:szCs w:val="28"/>
              </w:rPr>
            </w:pPr>
            <w:r>
              <w:rPr>
                <w:sz w:val="28"/>
                <w:szCs w:val="28"/>
              </w:rPr>
              <w:t>984.698.852</w:t>
            </w:r>
          </w:p>
        </w:tc>
        <w:tc>
          <w:tcPr>
            <w:tcW w:w="1332" w:type="dxa"/>
            <w:vAlign w:val="center"/>
          </w:tcPr>
          <w:p w:rsidR="00051DC7" w:rsidRDefault="00051DC7" w:rsidP="00A0487D">
            <w:pPr>
              <w:pStyle w:val="oncaDanhsch"/>
              <w:ind w:left="0"/>
              <w:jc w:val="center"/>
              <w:rPr>
                <w:sz w:val="28"/>
                <w:szCs w:val="28"/>
              </w:rPr>
            </w:pPr>
          </w:p>
          <w:p w:rsidR="00051DC7" w:rsidRDefault="00856CBC" w:rsidP="00A0487D">
            <w:pPr>
              <w:pStyle w:val="oncaDanhsch"/>
              <w:ind w:left="0"/>
              <w:jc w:val="center"/>
              <w:rPr>
                <w:sz w:val="28"/>
                <w:szCs w:val="28"/>
              </w:rPr>
            </w:pPr>
            <w:r>
              <w:rPr>
                <w:sz w:val="28"/>
                <w:szCs w:val="28"/>
              </w:rPr>
              <w:t>3,27</w:t>
            </w:r>
            <w:r w:rsidR="00051DC7">
              <w:rPr>
                <w:sz w:val="28"/>
                <w:szCs w:val="28"/>
              </w:rPr>
              <w:t>%</w:t>
            </w:r>
          </w:p>
          <w:p w:rsidR="00051DC7" w:rsidRDefault="00051DC7" w:rsidP="00A0487D">
            <w:pPr>
              <w:pStyle w:val="oncaDanhsch"/>
              <w:ind w:left="0"/>
              <w:jc w:val="center"/>
              <w:rPr>
                <w:sz w:val="28"/>
                <w:szCs w:val="28"/>
              </w:rPr>
            </w:pPr>
          </w:p>
        </w:tc>
      </w:tr>
    </w:tbl>
    <w:p w:rsidR="00051DC7" w:rsidRPr="0039699C" w:rsidRDefault="00051DC7" w:rsidP="00051DC7">
      <w:pPr>
        <w:rPr>
          <w:sz w:val="28"/>
          <w:szCs w:val="28"/>
        </w:rPr>
      </w:pPr>
    </w:p>
    <w:p w:rsidR="00051DC7" w:rsidRDefault="00051DC7" w:rsidP="00051DC7">
      <w:pPr>
        <w:ind w:firstLine="720"/>
        <w:jc w:val="both"/>
        <w:rPr>
          <w:sz w:val="28"/>
          <w:szCs w:val="28"/>
        </w:rPr>
      </w:pPr>
      <w:r w:rsidRPr="000D5E4C">
        <w:rPr>
          <w:sz w:val="28"/>
          <w:szCs w:val="28"/>
        </w:rPr>
        <w:t xml:space="preserve">Công ty cổ phần Cơ khí và Khoáng sản Hà Giang, giải trình chênh </w:t>
      </w:r>
      <w:r w:rsidR="00856CBC">
        <w:rPr>
          <w:sz w:val="28"/>
          <w:szCs w:val="28"/>
        </w:rPr>
        <w:t>lệch lợi nhuận sau thuế năm 2014</w:t>
      </w:r>
      <w:r w:rsidRPr="000D5E4C">
        <w:rPr>
          <w:sz w:val="28"/>
          <w:szCs w:val="28"/>
        </w:rPr>
        <w:t xml:space="preserve"> giữa Báo cáo tài chính kiểm toán </w:t>
      </w:r>
      <w:r w:rsidR="00856CBC">
        <w:rPr>
          <w:sz w:val="28"/>
          <w:szCs w:val="28"/>
        </w:rPr>
        <w:t>năm 2014</w:t>
      </w:r>
      <w:r w:rsidRPr="000D5E4C">
        <w:rPr>
          <w:sz w:val="28"/>
          <w:szCs w:val="28"/>
        </w:rPr>
        <w:t xml:space="preserve"> với BCTC do Công ty lập nguyên nhân như sau:</w:t>
      </w:r>
    </w:p>
    <w:p w:rsidR="00051DC7" w:rsidRDefault="00C84867" w:rsidP="00051DC7">
      <w:pPr>
        <w:pStyle w:val="oncaDanhsch"/>
        <w:numPr>
          <w:ilvl w:val="0"/>
          <w:numId w:val="2"/>
        </w:numPr>
        <w:jc w:val="both"/>
        <w:rPr>
          <w:sz w:val="28"/>
          <w:szCs w:val="28"/>
        </w:rPr>
      </w:pPr>
      <w:r>
        <w:rPr>
          <w:sz w:val="28"/>
          <w:szCs w:val="28"/>
        </w:rPr>
        <w:t>Đánh giá lại tỷ giá ngoại tệ:</w:t>
      </w:r>
      <w:r>
        <w:rPr>
          <w:sz w:val="28"/>
          <w:szCs w:val="28"/>
        </w:rPr>
        <w:tab/>
      </w:r>
      <w:r>
        <w:rPr>
          <w:sz w:val="28"/>
          <w:szCs w:val="28"/>
        </w:rPr>
        <w:tab/>
      </w:r>
      <w:r>
        <w:rPr>
          <w:sz w:val="28"/>
          <w:szCs w:val="28"/>
        </w:rPr>
        <w:tab/>
        <w:t>295.067.924đồng</w:t>
      </w:r>
    </w:p>
    <w:p w:rsidR="00C84867" w:rsidRPr="00C84867" w:rsidRDefault="00C84867" w:rsidP="00C84867">
      <w:pPr>
        <w:pStyle w:val="oncaDanhsch"/>
        <w:numPr>
          <w:ilvl w:val="0"/>
          <w:numId w:val="2"/>
        </w:numPr>
        <w:jc w:val="both"/>
        <w:rPr>
          <w:sz w:val="28"/>
          <w:szCs w:val="28"/>
        </w:rPr>
      </w:pPr>
      <w:r>
        <w:rPr>
          <w:sz w:val="28"/>
          <w:szCs w:val="28"/>
        </w:rPr>
        <w:t>Chi phí thuế hiện hành:</w:t>
      </w:r>
      <w:r>
        <w:rPr>
          <w:sz w:val="28"/>
          <w:szCs w:val="28"/>
        </w:rPr>
        <w:tab/>
      </w:r>
      <w:r>
        <w:rPr>
          <w:sz w:val="28"/>
          <w:szCs w:val="28"/>
        </w:rPr>
        <w:tab/>
      </w:r>
      <w:r>
        <w:rPr>
          <w:sz w:val="28"/>
          <w:szCs w:val="28"/>
        </w:rPr>
        <w:tab/>
        <w:t>51.826.255 đồng</w:t>
      </w:r>
    </w:p>
    <w:p w:rsidR="00C84867" w:rsidRDefault="00C84867" w:rsidP="00051DC7">
      <w:pPr>
        <w:pStyle w:val="oncaDanhsch"/>
        <w:numPr>
          <w:ilvl w:val="0"/>
          <w:numId w:val="2"/>
        </w:numPr>
        <w:jc w:val="both"/>
        <w:rPr>
          <w:sz w:val="28"/>
          <w:szCs w:val="28"/>
        </w:rPr>
      </w:pPr>
      <w:r>
        <w:rPr>
          <w:sz w:val="28"/>
          <w:szCs w:val="28"/>
        </w:rPr>
        <w:t>Hoàn lập dự phòng đầu tư tài chính:</w:t>
      </w:r>
      <w:r>
        <w:rPr>
          <w:sz w:val="28"/>
          <w:szCs w:val="28"/>
        </w:rPr>
        <w:tab/>
        <w:t>741.457.183đồng</w:t>
      </w:r>
    </w:p>
    <w:p w:rsidR="00C84867" w:rsidRDefault="00C84867" w:rsidP="00C84867">
      <w:pPr>
        <w:pStyle w:val="oncaDanhsch"/>
        <w:ind w:left="1080"/>
        <w:jc w:val="both"/>
        <w:rPr>
          <w:sz w:val="28"/>
          <w:szCs w:val="28"/>
        </w:rPr>
      </w:pPr>
    </w:p>
    <w:p w:rsidR="00051DC7" w:rsidRDefault="00051DC7" w:rsidP="00051DC7">
      <w:pPr>
        <w:ind w:firstLine="720"/>
        <w:jc w:val="both"/>
        <w:rPr>
          <w:sz w:val="28"/>
          <w:szCs w:val="28"/>
        </w:rPr>
      </w:pPr>
      <w:r>
        <w:rPr>
          <w:sz w:val="28"/>
          <w:szCs w:val="28"/>
        </w:rPr>
        <w:t>Vậy Công ty cổ phần Cơ khí và Khoáng sản Hà Giang, Báo cáo giải trình để quý UBCK Nhà nước và Sở Giao dịch Chứng khoán Hà Nội được rõ./.</w:t>
      </w:r>
    </w:p>
    <w:p w:rsidR="00051DC7" w:rsidRDefault="00051DC7" w:rsidP="00051DC7">
      <w:pPr>
        <w:ind w:left="720"/>
        <w:jc w:val="both"/>
        <w:rPr>
          <w:sz w:val="28"/>
          <w:szCs w:val="28"/>
        </w:rPr>
      </w:pPr>
    </w:p>
    <w:p w:rsidR="00051DC7" w:rsidRPr="005B314D" w:rsidRDefault="00051DC7" w:rsidP="00051DC7">
      <w:pPr>
        <w:ind w:left="720"/>
        <w:jc w:val="both"/>
        <w:rPr>
          <w:b/>
          <w:sz w:val="28"/>
          <w:szCs w:val="28"/>
        </w:rPr>
      </w:pPr>
      <w:r w:rsidRPr="005B314D">
        <w:rPr>
          <w:b/>
          <w:sz w:val="28"/>
          <w:szCs w:val="28"/>
        </w:rPr>
        <w:t>Nơi nhận</w:t>
      </w:r>
      <w:r>
        <w:rPr>
          <w:b/>
          <w:sz w:val="28"/>
          <w:szCs w:val="28"/>
        </w:rPr>
        <w:t xml:space="preserve">                                                         GIÁM ĐỐC</w:t>
      </w:r>
    </w:p>
    <w:p w:rsidR="00051DC7" w:rsidRDefault="00051DC7" w:rsidP="00051DC7">
      <w:pPr>
        <w:pStyle w:val="oncaDanhsch"/>
        <w:numPr>
          <w:ilvl w:val="0"/>
          <w:numId w:val="2"/>
        </w:numPr>
        <w:jc w:val="both"/>
        <w:rPr>
          <w:sz w:val="28"/>
          <w:szCs w:val="28"/>
        </w:rPr>
      </w:pPr>
      <w:r w:rsidRPr="008123F3">
        <w:rPr>
          <w:sz w:val="28"/>
          <w:szCs w:val="28"/>
        </w:rPr>
        <w:t xml:space="preserve">Như trên                          </w:t>
      </w:r>
      <w:r>
        <w:rPr>
          <w:sz w:val="28"/>
          <w:szCs w:val="28"/>
        </w:rPr>
        <w:t xml:space="preserve">                               </w:t>
      </w:r>
    </w:p>
    <w:p w:rsidR="00051DC7" w:rsidRPr="008123F3" w:rsidRDefault="00051DC7" w:rsidP="00051DC7">
      <w:pPr>
        <w:pStyle w:val="oncaDanhsch"/>
        <w:numPr>
          <w:ilvl w:val="0"/>
          <w:numId w:val="2"/>
        </w:numPr>
        <w:jc w:val="both"/>
        <w:rPr>
          <w:sz w:val="28"/>
          <w:szCs w:val="28"/>
        </w:rPr>
      </w:pPr>
      <w:r w:rsidRPr="008123F3">
        <w:rPr>
          <w:sz w:val="28"/>
          <w:szCs w:val="28"/>
        </w:rPr>
        <w:t xml:space="preserve">Lưu CT </w:t>
      </w:r>
    </w:p>
    <w:p w:rsidR="00051DC7" w:rsidRDefault="00051DC7" w:rsidP="00051DC7">
      <w:pPr>
        <w:pStyle w:val="oncaDanhsch"/>
        <w:ind w:left="1080"/>
        <w:jc w:val="both"/>
        <w:rPr>
          <w:sz w:val="28"/>
          <w:szCs w:val="28"/>
        </w:rPr>
      </w:pPr>
      <w:r>
        <w:rPr>
          <w:sz w:val="28"/>
          <w:szCs w:val="28"/>
        </w:rPr>
        <w:t xml:space="preserve">                                                              </w:t>
      </w:r>
    </w:p>
    <w:p w:rsidR="00497448" w:rsidRDefault="00497448" w:rsidP="00051DC7">
      <w:pPr>
        <w:pStyle w:val="oncaDanhsch"/>
        <w:ind w:left="1080"/>
        <w:jc w:val="both"/>
        <w:rPr>
          <w:sz w:val="28"/>
          <w:szCs w:val="28"/>
        </w:rPr>
      </w:pPr>
    </w:p>
    <w:p w:rsidR="00051DC7" w:rsidRDefault="00051DC7" w:rsidP="00051DC7">
      <w:pPr>
        <w:pStyle w:val="oncaDanhsch"/>
        <w:ind w:left="1080"/>
        <w:jc w:val="both"/>
        <w:rPr>
          <w:sz w:val="28"/>
          <w:szCs w:val="28"/>
        </w:rPr>
      </w:pPr>
    </w:p>
    <w:p w:rsidR="00051DC7" w:rsidRPr="00804366" w:rsidRDefault="00051DC7" w:rsidP="00051DC7">
      <w:pPr>
        <w:pStyle w:val="oncaDanhsch"/>
        <w:ind w:left="1080"/>
        <w:jc w:val="both"/>
        <w:rPr>
          <w:b/>
          <w:sz w:val="28"/>
          <w:szCs w:val="28"/>
        </w:rPr>
      </w:pPr>
      <w:r>
        <w:rPr>
          <w:sz w:val="28"/>
          <w:szCs w:val="28"/>
        </w:rPr>
        <w:t xml:space="preserve">                                                             </w:t>
      </w:r>
      <w:r w:rsidR="00497448">
        <w:rPr>
          <w:sz w:val="28"/>
          <w:szCs w:val="28"/>
        </w:rPr>
        <w:t xml:space="preserve"> </w:t>
      </w:r>
      <w:r>
        <w:rPr>
          <w:sz w:val="28"/>
          <w:szCs w:val="28"/>
        </w:rPr>
        <w:t xml:space="preserve"> </w:t>
      </w:r>
      <w:r w:rsidRPr="00804366">
        <w:rPr>
          <w:b/>
          <w:sz w:val="28"/>
          <w:szCs w:val="28"/>
        </w:rPr>
        <w:t>Trịnh Ngọc Hiếu</w:t>
      </w:r>
    </w:p>
    <w:p w:rsidR="00051DC7" w:rsidRDefault="00051DC7" w:rsidP="00051DC7"/>
    <w:p w:rsidR="00101ABF" w:rsidRDefault="00101ABF"/>
    <w:sectPr w:rsidR="00101ABF" w:rsidSect="0039699C">
      <w:pgSz w:w="12240" w:h="15840"/>
      <w:pgMar w:top="900" w:right="100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84A"/>
    <w:multiLevelType w:val="hybridMultilevel"/>
    <w:tmpl w:val="CA4EA6AE"/>
    <w:lvl w:ilvl="0" w:tplc="D9E24148">
      <w:start w:val="1"/>
      <w:numFmt w:val="bullet"/>
      <w:lvlText w:val="-"/>
      <w:lvlJc w:val="left"/>
      <w:pPr>
        <w:ind w:left="3780" w:hanging="360"/>
      </w:pPr>
      <w:rPr>
        <w:rFonts w:ascii="Times New Roman" w:eastAsia="Times New Roman" w:hAnsi="Times New Roman" w:cs="Times New Roman"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nsid w:val="69DD09BB"/>
    <w:multiLevelType w:val="hybridMultilevel"/>
    <w:tmpl w:val="E74A8BF2"/>
    <w:lvl w:ilvl="0" w:tplc="3B3CB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B52DED"/>
    <w:multiLevelType w:val="hybridMultilevel"/>
    <w:tmpl w:val="36BC4750"/>
    <w:lvl w:ilvl="0" w:tplc="140442B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drawingGridHorizontalSpacing w:val="120"/>
  <w:displayHorizontalDrawingGridEvery w:val="2"/>
  <w:displayVerticalDrawingGridEvery w:val="2"/>
  <w:characterSpacingControl w:val="doNotCompress"/>
  <w:compat/>
  <w:rsids>
    <w:rsidRoot w:val="00051DC7"/>
    <w:rsid w:val="00051DC7"/>
    <w:rsid w:val="00101ABF"/>
    <w:rsid w:val="00497448"/>
    <w:rsid w:val="00641622"/>
    <w:rsid w:val="006956B2"/>
    <w:rsid w:val="006A6240"/>
    <w:rsid w:val="00745689"/>
    <w:rsid w:val="00856CBC"/>
    <w:rsid w:val="00C666FC"/>
    <w:rsid w:val="00C84867"/>
    <w:rsid w:val="00F73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051DC7"/>
    <w:rPr>
      <w:sz w:val="24"/>
      <w:szCs w:val="24"/>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Chun"/>
    <w:uiPriority w:val="34"/>
    <w:qFormat/>
    <w:rsid w:val="00051DC7"/>
    <w:pPr>
      <w:ind w:left="720"/>
      <w:contextualSpacing/>
    </w:pPr>
  </w:style>
  <w:style w:type="table" w:styleId="LiBng">
    <w:name w:val="Table Grid"/>
    <w:basedOn w:val="BngChun"/>
    <w:uiPriority w:val="59"/>
    <w:rsid w:val="00051D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NNp+dhGUZ4Av0Vzkq6fG3zaKpik=</DigestValue>
    </Reference>
    <Reference URI="#idOfficeObject" Type="http://www.w3.org/2000/09/xmldsig#Object">
      <DigestMethod Algorithm="http://www.w3.org/2000/09/xmldsig#sha1"/>
      <DigestValue>2RV6R8QSlSLGmsXKTtqZstCDAuY=</DigestValue>
    </Reference>
  </SignedInfo>
  <SignatureValue>
    wRuf2/0UXQV5Whk5FunRNklrsBavQlLjjTAI9/d3txaUMjX8Yhw0jbieK2jICqPZD6yQC60c
    K7yreyaCSAhpmYn8jwMEJpBJwSpR1wTQ7iVpf7qX2Wu0IkAtIhiJcMvLNENr9lI05bqAww1g
    LGCepGN2fezenOwnDE37O+gM670=
  </SignatureValue>
  <KeyInfo>
    <KeyValue>
      <RSAKeyValue>
        <Modulus>
            zzJGCyJUM7FMh0t5Zi6Mww0MlNsC0fKnjl1/XFFK2x8B8OBlEpKPTF9FvxechLrg64FddyWR
            JdvV30qT2BgsO43cnM7pVpsPkBTJnT1tLEFB2xGgKOT+7WKAfln6UEZ/YMdDYGkSQ1PNYXIY
            ilBwzY0BK2x/pVQ47JS5lCCyGLU=
          </Modulus>
        <Exponent>AQAB</Exponent>
      </RSAKeyValue>
    </KeyValue>
    <X509Data>
      <X509Certificate>
          MIIGKDCCBBCgAwIBAgIQVAHDMEPJcBIFnofRSbnY8jANBgkqhkiG9w0BAQUFADBpMQswCQYD
          VQQGEwJWTjETMBEGA1UEChMKVk5QVCBHcm91cDEeMBwGA1UECxMVVk5QVC1DQSBUcnVzdCBO
          ZXR3b3JrMSUwIwYDVQQDExxWTlBUIENlcnRpZmljYXRpb24gQXV0aG9yaXR5MB4XDTE1MDMx
          ODAzMjMwMFoXDTE5MDMxODAzMjMwMFowgfAxCzAJBgNVBAYTAlZOMRIwEAYDVQQIDAlIw6Ag
          R2lhbmcxFTATBgNVBAcMDFRQLkjDoCBHaWFuZzFCMEAGA1UECgw5Q8OUTkcgVFkgQ+G7lCBQ
          SOG6pk4gQ8agIEtIw40gVsOAIEtIT8OBTkcgU+G6ok4gSMOAIEdJQU5HMRkwFwYDVQQLDBBC
          QU4gR0nDgU0gxJDhu5BDMRowGAYDVQQMDBFQaMOzIEdpw6FtIMSR4buRYzEbMBkGA1UEAwwS
          xJDDgE8gWFXDgk4gVFXhuqRUMR4wHAYKCZImiZPyLGQBAQwOQ01ORDowNzMyMTU1NTAwgZ8w
          DQYJKoZIhvcNAQEBBQADgY0AMIGJAoGBAM8yRgsiVDOxTIdLeWYujMMNDJTbAtHyp45df1xR
          StsfAfDgZRKSj0xfRb8XnIS64OuBXXclkSXb1d9Kk9gYLDuN3JzO6VabD5AUyZ09bSxBQdsR
          oCjk/u1igH5Z+lBGf2DHQ2BpEkNTzWFyGIpQcM2NAStsf6VUOOyUuZQgshi1AgMBAAGjggHG
          MIIBwjBwBggrBgEFBQcBAQRkMGIwMgYIKwYBBQUHMAKGJmh0dHA6Ly9wdWIudm5wdC1jYS52
          bi9jZXJ0cy92bnB0Y2EuY2VyMCwGCCsGAQUFBzABhiBodHRwOi8vb2NzcC52bnB0LWNhLnZu
          L3Jlc3BvbmRlcjAdBgNVHQ4EFgQUPsdLmad1AMoTM2ks2rVX0Yx+w1UwDAYDVR0TAQH/BAIw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MCsGCCsGAQUFBwMCBggrBgEFBQcDBAYKKwYBBAGCNwoDDAYJKoZIhvcvAQEFMB0GA1UdEQQW
          MBSBEmtob2FuZ3NhbmhnQHZubi52bjANBgkqhkiG9w0BAQUFAAOCAgEAxbE2WMaZBwRNVWND
          UH8WqaXmtAt0PhYkLA527/N55GdzJ9HsuP2p0cVOtNmbT+ag4NfDoFaMktTZP6K7qAEsc7qj
          8IYYGj9j9SHSUMY+cCk7N5oDBe9mBIA34As+vO3QEF/MiIQk6R+1b6oHPkwSFq5ml5dqeK//
          LnTyQZjSh9P8jhhH5hrfKMshaOWWtFp4CWx4ZIyBogNykB7NS11Ey8emCEHA3uc08x5GRCJl
          Qst2mqz+F5CHyqBHlS9Ej5qrGcM4W9ZeiSMb0vMyoYKKaO1dDm8Mwc7o20A3jNDIogDhfTE3
          wRJhx9i/19ue7LUD9WI7l1ploFJbVF8vLHqTpdNxxsDA3cQDU2VxG00zaUBxMiEPEPGLshW6
          nkyAci8O6VRfDj4PWFnSmWtwAR9rBe7cvz0sstE9fg1gIwG+mNJ0w+aG7jj9D3KOPFZQf4nD
          /7ngkTiqXRr1jV/e/27Jcjne/yZSFThbDPD3gIYbd1sTcJL0PBS3YQ3aFHrPefojvGysnKDL
          gagUFoFdgz2OzPZLczXrn3CHGll0IUpVojmvPJIyr/KC7sBaqcxrfxBt//3viw5ENsBK+4vs
          co7IAwz7NEq1TiVB/AkIBtRkq6un0XMfv3UOC4bEaBtHX1zJGmZgu7cKzfMRgHh6MF6/JuXl
          YLwFhDJgEBj3X2g3rH0=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AfzRXC6e0aadk9U9+WCQQAtvwt8=</DigestValue>
      </Reference>
      <Reference URI="/word/fontTable.xml?ContentType=application/vnd.openxmlformats-officedocument.wordprocessingml.fontTable+xml">
        <DigestMethod Algorithm="http://www.w3.org/2000/09/xmldsig#sha1"/>
        <DigestValue>k2kYXXXBH7onObEo1jsOt6mio3s=</DigestValue>
      </Reference>
      <Reference URI="/word/numbering.xml?ContentType=application/vnd.openxmlformats-officedocument.wordprocessingml.numbering+xml">
        <DigestMethod Algorithm="http://www.w3.org/2000/09/xmldsig#sha1"/>
        <DigestValue>eCeAG1qydozil9wh8C/lZWuhpLs=</DigestValue>
      </Reference>
      <Reference URI="/word/settings.xml?ContentType=application/vnd.openxmlformats-officedocument.wordprocessingml.settings+xml">
        <DigestMethod Algorithm="http://www.w3.org/2000/09/xmldsig#sha1"/>
        <DigestValue>NjuBBGjK/ak45zHC/GtLBlL4Jgk=</DigestValue>
      </Reference>
      <Reference URI="/word/styles.xml?ContentType=application/vnd.openxmlformats-officedocument.wordprocessingml.styles+xml">
        <DigestMethod Algorithm="http://www.w3.org/2000/09/xmldsig#sha1"/>
        <DigestValue>xE6sagWXj4u1oizvCxqAmucj/8c=</DigestValue>
      </Reference>
      <Reference URI="/word/theme/theme1.xml?ContentType=application/vnd.openxmlformats-officedocument.theme+xml">
        <DigestMethod Algorithm="http://www.w3.org/2000/09/xmldsig#sha1"/>
        <DigestValue>npuAsTSMzlSTaxzxduIo9GqXcS8=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2015-03-18T07:25:23Z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giải trình chênh lệch giữa BCTC kiểm toán 2014 và BCTC công ty lập </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36</TotalTime>
  <Pages>2</Pages>
  <Words>245</Words>
  <Characters>1401</Characters>
  <Application>Microsoft Office Word</Application>
  <DocSecurity>0</DocSecurity>
  <Lines>11</Lines>
  <Paragraphs>3</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2015-03-18T07:21:00Z</cp:lastPrinted>
  <dcterms:created xsi:type="dcterms:W3CDTF">2015-03-18T06:39:00Z</dcterms:created>
  <dcterms:modified xsi:type="dcterms:W3CDTF">2015-03-18T07:25:00Z</dcterms:modified>
</cp:coreProperties>
</file>