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319da95d1471477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3" w:rsidRPr="00584A95" w:rsidRDefault="009344B3" w:rsidP="009344B3">
      <w:pPr>
        <w:ind w:hanging="90"/>
        <w:rPr>
          <w:color w:val="333333"/>
          <w:sz w:val="20"/>
        </w:rPr>
      </w:pPr>
      <w:bookmarkStart w:id="0" w:name="_GoBack"/>
      <w:bookmarkEnd w:id="0"/>
      <w:r w:rsidRPr="00584A95">
        <w:rPr>
          <w:b/>
          <w:color w:val="333333"/>
          <w:sz w:val="20"/>
        </w:rPr>
        <w:t xml:space="preserve">CTY  CP TAXI  GAS SG PETROLIMEX            </w:t>
      </w:r>
      <w:r>
        <w:rPr>
          <w:b/>
          <w:color w:val="333333"/>
          <w:sz w:val="20"/>
        </w:rPr>
        <w:t xml:space="preserve">    </w:t>
      </w:r>
      <w:r w:rsidRPr="00584A95">
        <w:rPr>
          <w:b/>
          <w:color w:val="333333"/>
          <w:sz w:val="20"/>
        </w:rPr>
        <w:t xml:space="preserve">  COÄNG HOØA XAÕ HOÄI CHUÛ NGHÓA VIEÄT </w:t>
      </w:r>
      <w:smartTag w:uri="urn:schemas-microsoft-com:office:smarttags" w:element="place">
        <w:smartTag w:uri="urn:schemas-microsoft-com:office:smarttags" w:element="country-region">
          <w:r w:rsidRPr="00584A95">
            <w:rPr>
              <w:b/>
              <w:color w:val="333333"/>
              <w:sz w:val="20"/>
            </w:rPr>
            <w:t>NAM</w:t>
          </w:r>
        </w:smartTag>
      </w:smartTag>
    </w:p>
    <w:p w:rsidR="009344B3" w:rsidRPr="009344B3" w:rsidRDefault="006E407F" w:rsidP="009344B3">
      <w:pPr>
        <w:rPr>
          <w:sz w:val="28"/>
          <w:szCs w:val="28"/>
        </w:rPr>
      </w:pPr>
      <w:r>
        <w:rPr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72390</wp:posOffset>
            </wp:positionV>
            <wp:extent cx="977900" cy="6654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B3" w:rsidRPr="009344B3">
        <w:rPr>
          <w:color w:val="333333"/>
          <w:sz w:val="22"/>
          <w:szCs w:val="22"/>
        </w:rPr>
        <w:t xml:space="preserve">               </w:t>
      </w:r>
      <w:r w:rsidR="009344B3" w:rsidRPr="009344B3">
        <w:rPr>
          <w:b/>
          <w:color w:val="333333"/>
          <w:sz w:val="22"/>
          <w:szCs w:val="22"/>
        </w:rPr>
        <w:t xml:space="preserve">    </w:t>
      </w:r>
      <w:r w:rsidR="009344B3" w:rsidRPr="009344B3">
        <w:rPr>
          <w:color w:val="333333"/>
          <w:sz w:val="22"/>
          <w:szCs w:val="22"/>
        </w:rPr>
        <w:t xml:space="preserve">                                                                       </w:t>
      </w:r>
      <w:r w:rsidR="009344B3" w:rsidRPr="009344B3">
        <w:rPr>
          <w:sz w:val="28"/>
          <w:szCs w:val="28"/>
        </w:rPr>
        <w:t>Ñoäc laäp – Töï do – Haïnh Phuùc</w:t>
      </w:r>
    </w:p>
    <w:p w:rsidR="00407069" w:rsidRPr="00A43649" w:rsidRDefault="009344B3" w:rsidP="009344B3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</w:rPr>
        <w:t xml:space="preserve">                                                                             </w:t>
      </w:r>
    </w:p>
    <w:p w:rsidR="00407069" w:rsidRPr="00A43649" w:rsidRDefault="00407069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1C79D7" w:rsidRDefault="005C215E" w:rsidP="003F4966">
      <w:pPr>
        <w:ind w:left="-420"/>
        <w:jc w:val="both"/>
        <w:rPr>
          <w:rFonts w:ascii="Times New Roman" w:hAnsi="Times New Roman"/>
          <w:sz w:val="28"/>
          <w:szCs w:val="28"/>
        </w:rPr>
      </w:pPr>
      <w:r w:rsidRPr="00584A95">
        <w:rPr>
          <w:color w:val="333333"/>
          <w:sz w:val="22"/>
          <w:szCs w:val="22"/>
        </w:rPr>
        <w:t xml:space="preserve">   </w:t>
      </w:r>
      <w:r w:rsidRPr="00584A95">
        <w:rPr>
          <w:color w:val="333333"/>
          <w:sz w:val="25"/>
          <w:szCs w:val="25"/>
        </w:rPr>
        <w:t>Soá</w:t>
      </w:r>
      <w:r w:rsidRPr="00584A95">
        <w:rPr>
          <w:color w:val="333333"/>
        </w:rPr>
        <w:t>:                 / P TAXI-</w:t>
      </w:r>
      <w:r>
        <w:rPr>
          <w:color w:val="333333"/>
        </w:rPr>
        <w:t>KTTC</w:t>
      </w:r>
      <w:r>
        <w:rPr>
          <w:color w:val="333333"/>
        </w:rPr>
        <w:tab/>
      </w:r>
      <w:r>
        <w:rPr>
          <w:color w:val="333333"/>
        </w:rPr>
        <w:tab/>
        <w:t xml:space="preserve">                      TP,HCM </w:t>
      </w:r>
      <w:r w:rsidR="006007D3">
        <w:rPr>
          <w:color w:val="333333"/>
        </w:rPr>
        <w:t xml:space="preserve"> </w:t>
      </w:r>
      <w:r w:rsidR="00F61714">
        <w:rPr>
          <w:color w:val="333333"/>
        </w:rPr>
        <w:t xml:space="preserve">20 </w:t>
      </w:r>
      <w:r w:rsidR="003F4966">
        <w:rPr>
          <w:color w:val="333333"/>
        </w:rPr>
        <w:t xml:space="preserve"> thaùng </w:t>
      </w:r>
      <w:r w:rsidR="00F61714">
        <w:rPr>
          <w:color w:val="333333"/>
        </w:rPr>
        <w:t xml:space="preserve">03 </w:t>
      </w:r>
      <w:r w:rsidR="003F4966">
        <w:rPr>
          <w:color w:val="333333"/>
        </w:rPr>
        <w:t xml:space="preserve"> naêm 201</w:t>
      </w:r>
      <w:r w:rsidR="00F61714">
        <w:rPr>
          <w:color w:val="333333"/>
        </w:rPr>
        <w:t>5</w:t>
      </w:r>
    </w:p>
    <w:p w:rsidR="00A43649" w:rsidRPr="006B1E8B" w:rsidRDefault="006B1E8B" w:rsidP="00452249">
      <w:pPr>
        <w:jc w:val="both"/>
        <w:rPr>
          <w:rFonts w:ascii="Times New Roman" w:hAnsi="Times New Roman"/>
          <w:i/>
          <w:sz w:val="28"/>
          <w:szCs w:val="28"/>
        </w:rPr>
      </w:pPr>
      <w:r w:rsidRPr="006B1E8B">
        <w:rPr>
          <w:rFonts w:ascii="Times New Roman" w:hAnsi="Times New Roman"/>
          <w:i/>
          <w:sz w:val="28"/>
          <w:szCs w:val="28"/>
        </w:rPr>
        <w:t xml:space="preserve">(Giải </w:t>
      </w:r>
      <w:r>
        <w:rPr>
          <w:rFonts w:ascii="Times New Roman" w:hAnsi="Times New Roman"/>
          <w:i/>
          <w:sz w:val="28"/>
          <w:szCs w:val="28"/>
        </w:rPr>
        <w:t xml:space="preserve">trình </w:t>
      </w:r>
      <w:r w:rsidR="00142EA0">
        <w:rPr>
          <w:rFonts w:ascii="Times New Roman" w:hAnsi="Times New Roman"/>
          <w:i/>
          <w:sz w:val="28"/>
          <w:szCs w:val="28"/>
        </w:rPr>
        <w:t xml:space="preserve"> chênh lệch</w:t>
      </w:r>
      <w:r w:rsidR="00A85584">
        <w:rPr>
          <w:rFonts w:ascii="Times New Roman" w:hAnsi="Times New Roman"/>
          <w:i/>
          <w:sz w:val="28"/>
          <w:szCs w:val="28"/>
        </w:rPr>
        <w:t xml:space="preserve"> LNST</w:t>
      </w:r>
      <w:r w:rsidR="00142EA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F4966" w:rsidRDefault="003F4966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0128C7" w:rsidRDefault="000128C7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6141E" w:rsidRDefault="0016141E" w:rsidP="00452249">
      <w:pPr>
        <w:jc w:val="both"/>
        <w:rPr>
          <w:rFonts w:ascii="Times New Roman" w:hAnsi="Times New Roman"/>
          <w:i/>
          <w:sz w:val="28"/>
          <w:szCs w:val="28"/>
        </w:rPr>
      </w:pPr>
    </w:p>
    <w:p w:rsidR="001C79D7" w:rsidRDefault="001C79D7" w:rsidP="001C79D7">
      <w:pPr>
        <w:tabs>
          <w:tab w:val="center" w:pos="1960"/>
          <w:tab w:val="center" w:pos="6720"/>
        </w:tabs>
        <w:jc w:val="center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Kính gởi</w:t>
      </w:r>
      <w:r w:rsidRPr="00A43649">
        <w:rPr>
          <w:rFonts w:ascii="Times New Roman" w:hAnsi="Times New Roman"/>
          <w:sz w:val="28"/>
          <w:szCs w:val="28"/>
        </w:rPr>
        <w:t xml:space="preserve"> : </w:t>
      </w:r>
      <w:r w:rsidR="003F4966">
        <w:rPr>
          <w:rFonts w:ascii="Times New Roman" w:hAnsi="Times New Roman"/>
          <w:sz w:val="28"/>
          <w:szCs w:val="28"/>
        </w:rPr>
        <w:t>SỞ GIAO DỊCH CHỨNG KHOÁN HÀ NỘI</w:t>
      </w:r>
    </w:p>
    <w:p w:rsidR="00030675" w:rsidRDefault="00030675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030675" w:rsidRDefault="00030675" w:rsidP="00DD7A9F">
      <w:pPr>
        <w:numPr>
          <w:ilvl w:val="0"/>
          <w:numId w:val="3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i/>
          <w:sz w:val="28"/>
          <w:szCs w:val="28"/>
        </w:rPr>
      </w:pPr>
      <w:r w:rsidRPr="00030675">
        <w:rPr>
          <w:rFonts w:ascii="Times New Roman" w:hAnsi="Times New Roman"/>
          <w:i/>
          <w:sz w:val="28"/>
          <w:szCs w:val="28"/>
        </w:rPr>
        <w:t>Căn cứ</w:t>
      </w:r>
      <w:r>
        <w:rPr>
          <w:rFonts w:ascii="Times New Roman" w:hAnsi="Times New Roman"/>
          <w:i/>
          <w:sz w:val="28"/>
          <w:szCs w:val="28"/>
        </w:rPr>
        <w:t xml:space="preserve"> Thông tư </w:t>
      </w:r>
      <w:r w:rsidR="00180027">
        <w:rPr>
          <w:rFonts w:ascii="Times New Roman" w:hAnsi="Times New Roman"/>
          <w:i/>
          <w:sz w:val="28"/>
          <w:szCs w:val="28"/>
        </w:rPr>
        <w:t>52</w:t>
      </w:r>
      <w:r>
        <w:rPr>
          <w:rFonts w:ascii="Times New Roman" w:hAnsi="Times New Roman"/>
          <w:i/>
          <w:sz w:val="28"/>
          <w:szCs w:val="28"/>
        </w:rPr>
        <w:t>/201</w:t>
      </w:r>
      <w:r w:rsidR="00180027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/TT_BTC ngày </w:t>
      </w:r>
      <w:r w:rsidR="00180027">
        <w:rPr>
          <w:rFonts w:ascii="Times New Roman" w:hAnsi="Times New Roman"/>
          <w:i/>
          <w:sz w:val="28"/>
          <w:szCs w:val="28"/>
        </w:rPr>
        <w:t>05 tháng 04 năm 2012</w:t>
      </w:r>
      <w:r w:rsidR="00DD7A9F">
        <w:rPr>
          <w:rFonts w:ascii="Times New Roman" w:hAnsi="Times New Roman"/>
          <w:i/>
          <w:sz w:val="28"/>
          <w:szCs w:val="28"/>
        </w:rPr>
        <w:t xml:space="preserve"> của Bộ Tài Chính</w:t>
      </w:r>
    </w:p>
    <w:p w:rsidR="00234B5B" w:rsidRDefault="00234B5B" w:rsidP="00DD3E02">
      <w:pPr>
        <w:tabs>
          <w:tab w:val="center" w:pos="1960"/>
          <w:tab w:val="center" w:pos="6720"/>
        </w:tabs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85584" w:rsidRDefault="00A85584" w:rsidP="00A85584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Tên công ty : Công ty cổ phần Taxi Gas Sài Gòn Petrolimex</w:t>
      </w:r>
    </w:p>
    <w:p w:rsidR="00A85584" w:rsidRDefault="00A85584" w:rsidP="00A85584">
      <w:pPr>
        <w:pStyle w:val="BodyText"/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Mã CK : PGT</w:t>
      </w:r>
    </w:p>
    <w:p w:rsidR="00AB260E" w:rsidRDefault="00B37834" w:rsidP="00AB260E">
      <w:pPr>
        <w:tabs>
          <w:tab w:val="center" w:pos="1960"/>
          <w:tab w:val="center" w:pos="6720"/>
        </w:tabs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Công ty cổ phần Taxi Gas Sài Gòn Petrolimex giải trình Chênh lệch </w:t>
      </w:r>
      <w:r w:rsidR="00AE7483">
        <w:rPr>
          <w:rFonts w:ascii="Times New Roman" w:hAnsi="Times New Roman"/>
          <w:sz w:val="28"/>
          <w:szCs w:val="28"/>
        </w:rPr>
        <w:t xml:space="preserve">Lợi nhuận sau thuế </w:t>
      </w:r>
      <w:r w:rsidR="00F61714">
        <w:rPr>
          <w:rFonts w:ascii="Times New Roman" w:hAnsi="Times New Roman"/>
          <w:sz w:val="28"/>
          <w:szCs w:val="28"/>
        </w:rPr>
        <w:t xml:space="preserve"> </w:t>
      </w:r>
      <w:r w:rsidR="001E151F">
        <w:rPr>
          <w:rFonts w:ascii="Times New Roman" w:hAnsi="Times New Roman"/>
          <w:sz w:val="28"/>
          <w:szCs w:val="28"/>
        </w:rPr>
        <w:t xml:space="preserve">năm </w:t>
      </w:r>
      <w:r w:rsidR="00290E02">
        <w:rPr>
          <w:rFonts w:ascii="Times New Roman" w:hAnsi="Times New Roman"/>
          <w:sz w:val="28"/>
          <w:szCs w:val="28"/>
        </w:rPr>
        <w:t>201</w:t>
      </w:r>
      <w:r w:rsidR="001E151F">
        <w:rPr>
          <w:rFonts w:ascii="Times New Roman" w:hAnsi="Times New Roman"/>
          <w:sz w:val="28"/>
          <w:szCs w:val="28"/>
        </w:rPr>
        <w:t>4</w:t>
      </w:r>
      <w:r w:rsidR="00290E02">
        <w:rPr>
          <w:rFonts w:ascii="Times New Roman" w:hAnsi="Times New Roman"/>
          <w:sz w:val="28"/>
          <w:szCs w:val="28"/>
        </w:rPr>
        <w:t xml:space="preserve"> giữa </w:t>
      </w:r>
      <w:r w:rsidR="00AE7483">
        <w:rPr>
          <w:rFonts w:ascii="Times New Roman" w:hAnsi="Times New Roman"/>
          <w:sz w:val="28"/>
          <w:szCs w:val="28"/>
        </w:rPr>
        <w:t>Báo cáo tài chính đã</w:t>
      </w:r>
      <w:r w:rsidR="001E151F">
        <w:rPr>
          <w:rFonts w:ascii="Times New Roman" w:hAnsi="Times New Roman"/>
          <w:sz w:val="28"/>
          <w:szCs w:val="28"/>
        </w:rPr>
        <w:t xml:space="preserve"> </w:t>
      </w:r>
      <w:r w:rsidR="00F61714">
        <w:rPr>
          <w:rFonts w:ascii="Times New Roman" w:hAnsi="Times New Roman"/>
          <w:sz w:val="28"/>
          <w:szCs w:val="28"/>
        </w:rPr>
        <w:t>kiểm toán</w:t>
      </w:r>
      <w:r w:rsidR="001E151F">
        <w:rPr>
          <w:rFonts w:ascii="Times New Roman" w:hAnsi="Times New Roman"/>
          <w:sz w:val="28"/>
          <w:szCs w:val="28"/>
        </w:rPr>
        <w:t xml:space="preserve"> của đơn vị</w:t>
      </w:r>
      <w:r w:rsidR="00290E02">
        <w:rPr>
          <w:rFonts w:ascii="Times New Roman" w:hAnsi="Times New Roman"/>
          <w:sz w:val="28"/>
          <w:szCs w:val="28"/>
        </w:rPr>
        <w:t xml:space="preserve"> Kiểm toán và của Công ty tự lập như sau</w:t>
      </w:r>
      <w:r>
        <w:rPr>
          <w:rFonts w:ascii="Times New Roman" w:hAnsi="Times New Roman"/>
          <w:sz w:val="28"/>
          <w:szCs w:val="28"/>
        </w:rPr>
        <w:t>:</w:t>
      </w:r>
    </w:p>
    <w:p w:rsidR="00902519" w:rsidRDefault="001E151F" w:rsidP="00AB260E">
      <w:pPr>
        <w:tabs>
          <w:tab w:val="center" w:pos="1960"/>
          <w:tab w:val="center" w:pos="6720"/>
        </w:tabs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Đơn vị tính : đồng</w:t>
      </w:r>
    </w:p>
    <w:tbl>
      <w:tblPr>
        <w:tblW w:w="10160" w:type="dxa"/>
        <w:tblInd w:w="103" w:type="dxa"/>
        <w:tblLook w:val="0000" w:firstRow="0" w:lastRow="0" w:firstColumn="0" w:lastColumn="0" w:noHBand="0" w:noVBand="0"/>
      </w:tblPr>
      <w:tblGrid>
        <w:gridCol w:w="3505"/>
        <w:gridCol w:w="700"/>
        <w:gridCol w:w="840"/>
        <w:gridCol w:w="1746"/>
        <w:gridCol w:w="1746"/>
        <w:gridCol w:w="1623"/>
      </w:tblGrid>
      <w:tr w:rsidR="00902519" w:rsidRPr="00902519">
        <w:trPr>
          <w:trHeight w:val="255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02519" w:rsidRPr="00902519" w:rsidRDefault="00902519" w:rsidP="009025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2519">
              <w:rPr>
                <w:rFonts w:ascii="Times New Roman" w:hAnsi="Times New Roman"/>
                <w:b/>
                <w:bCs/>
                <w:sz w:val="18"/>
                <w:szCs w:val="18"/>
              </w:rPr>
              <w:t>CHỈ TIÊU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519" w:rsidRPr="00902519" w:rsidRDefault="00902519" w:rsidP="009025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2519">
              <w:rPr>
                <w:rFonts w:ascii="Times New Roman" w:hAnsi="Times New Roman"/>
                <w:b/>
                <w:bCs/>
                <w:sz w:val="18"/>
                <w:szCs w:val="18"/>
              </w:rPr>
              <w:t>Mã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2519" w:rsidRPr="00902519" w:rsidRDefault="00902519" w:rsidP="009025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2519">
              <w:rPr>
                <w:rFonts w:ascii="Times New Roman" w:hAnsi="Times New Roman"/>
                <w:b/>
                <w:bCs/>
                <w:sz w:val="18"/>
                <w:szCs w:val="18"/>
              </w:rPr>
              <w:t>Thuyết minh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519" w:rsidRPr="00902519" w:rsidRDefault="00902519" w:rsidP="009025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2519">
              <w:rPr>
                <w:rFonts w:ascii="Times New Roman" w:hAnsi="Times New Roman"/>
                <w:b/>
                <w:bCs/>
                <w:sz w:val="18"/>
                <w:szCs w:val="18"/>
              </w:rPr>
              <w:t>BC Kiểm toán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519" w:rsidRPr="00902519" w:rsidRDefault="00902519" w:rsidP="009025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2519">
              <w:rPr>
                <w:rFonts w:ascii="Times New Roman" w:hAnsi="Times New Roman"/>
                <w:b/>
                <w:bCs/>
                <w:sz w:val="18"/>
                <w:szCs w:val="18"/>
              </w:rPr>
              <w:t>BC tự lập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519" w:rsidRPr="00902519" w:rsidRDefault="00902519" w:rsidP="009025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2519">
              <w:rPr>
                <w:rFonts w:ascii="Times New Roman" w:hAnsi="Times New Roman"/>
                <w:b/>
                <w:bCs/>
                <w:sz w:val="18"/>
                <w:szCs w:val="18"/>
              </w:rPr>
              <w:t>Chênh lệch</w:t>
            </w:r>
          </w:p>
        </w:tc>
      </w:tr>
      <w:tr w:rsidR="00902519" w:rsidRPr="00902519">
        <w:trPr>
          <w:trHeight w:val="39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2519" w:rsidRPr="00902519" w:rsidRDefault="00902519" w:rsidP="009025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519" w:rsidRPr="00902519" w:rsidRDefault="00902519" w:rsidP="009025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02519" w:rsidRPr="00902519" w:rsidRDefault="00902519" w:rsidP="009025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519" w:rsidRPr="00902519" w:rsidRDefault="00902519" w:rsidP="009025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519" w:rsidRPr="00902519" w:rsidRDefault="00902519" w:rsidP="009025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519" w:rsidRPr="00902519" w:rsidRDefault="00902519" w:rsidP="009025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94038" w:rsidRPr="00E25BB9">
        <w:trPr>
          <w:trHeight w:val="34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1. Doanh thu bán hàng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VI.17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20,703,422,524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20,703,422,524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7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2. Các khoản giảm trừ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3. Doanh thu thuần bán hàng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20,703,422,524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20,703,422,524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42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4. Giá vốn hàng bán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VI.18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19,007,127,509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19,007,127,509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7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5. Lợi nhuận gộp về bán hàng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1,696,295,015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1,696,295,015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7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6. Doanh thu hoạt động tài chính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VI.19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4,971,364,868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4,791,802,003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179,562,865</w:t>
            </w:r>
          </w:p>
        </w:tc>
      </w:tr>
      <w:tr w:rsidR="00894038" w:rsidRPr="00E25BB9">
        <w:trPr>
          <w:trHeight w:val="37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7. Chi phí tài chính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VI.20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28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Trong đó: chi phí lãi vay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9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8. Chi phí bán hàng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754,682,439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851,781,387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-97,098,948</w:t>
            </w:r>
          </w:p>
        </w:tc>
      </w:tr>
      <w:tr w:rsidR="00894038" w:rsidRPr="00E25BB9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9. Chi phí quản lý doanh nghiệp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2,001,654,549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1,854,025,601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147,628,948</w:t>
            </w:r>
          </w:p>
        </w:tc>
      </w:tr>
      <w:tr w:rsidR="00894038" w:rsidRPr="00E25BB9">
        <w:trPr>
          <w:trHeight w:val="36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10. Lợi nhuận thuần từ hoạt động kinh doanh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3,911,322,895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3,782,290,030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129,032,865</w:t>
            </w:r>
          </w:p>
        </w:tc>
      </w:tr>
      <w:tr w:rsidR="00894038" w:rsidRPr="00E25BB9">
        <w:trPr>
          <w:trHeight w:val="45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11. Thu nhập khác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VI.21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14,597,895,439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14,597,895,439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9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12. Chi phí khác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VI.22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8,172,017,349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8,172,017,349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420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13. Lợi nhuận khác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6,425,878,090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6,425,878,090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Default="0089403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43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bCs/>
                <w:sz w:val="22"/>
                <w:szCs w:val="22"/>
              </w:rPr>
              <w:t>14. Tổng lợi nhuận kế toán trước thuế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894038" w:rsidRDefault="00894038" w:rsidP="009025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10,337,200,985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10,208,168,120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129,032,865</w:t>
            </w:r>
          </w:p>
        </w:tc>
      </w:tr>
      <w:tr w:rsidR="00C07BC0" w:rsidRPr="00E25BB9">
        <w:trPr>
          <w:trHeight w:val="40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C0" w:rsidRPr="00E25BB9" w:rsidRDefault="00C07BC0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15. Chi phí thuế thu nhập doanh nghiệp hiện hành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Pr="00E25BB9" w:rsidRDefault="00C07BC0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C0" w:rsidRPr="00E25BB9" w:rsidRDefault="00C07BC0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Default="00C07B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Default="00C07B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Default="00C07BC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7BC0" w:rsidRPr="00E25BB9">
        <w:trPr>
          <w:trHeight w:val="40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C0" w:rsidRPr="00E25BB9" w:rsidRDefault="00C07BC0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lastRenderedPageBreak/>
              <w:t>16. Chi phí thuế thu nhập doanh nghiệp hoãn lại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Pr="00E25BB9" w:rsidRDefault="00C07BC0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BC0" w:rsidRPr="00E25BB9" w:rsidRDefault="00C07BC0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Default="00C07B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Default="00C07B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C0" w:rsidRDefault="00C07B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94038" w:rsidRPr="00E25BB9">
        <w:trPr>
          <w:trHeight w:val="375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bCs/>
                <w:sz w:val="22"/>
                <w:szCs w:val="22"/>
              </w:rPr>
              <w:t>17. Lợi nhuận sau thuế thu nhập doanh nghiệp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10,337,200,985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10,208,168,120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129,032,865</w:t>
            </w:r>
          </w:p>
        </w:tc>
      </w:tr>
      <w:tr w:rsidR="00894038" w:rsidRPr="00E25BB9">
        <w:trPr>
          <w:trHeight w:val="40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>18. Lãi cơ bản trên cổ phiếu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25BB9">
              <w:rPr>
                <w:rFonts w:ascii="Times New Roman" w:hAnsi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4038" w:rsidRPr="00E25BB9" w:rsidRDefault="00894038" w:rsidP="009025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BB9">
              <w:rPr>
                <w:rFonts w:ascii="Times New Roman" w:hAnsi="Times New Roman"/>
                <w:sz w:val="22"/>
                <w:szCs w:val="22"/>
              </w:rPr>
              <w:t xml:space="preserve"> VI.23 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1,119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1,105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038" w:rsidRPr="00894038" w:rsidRDefault="0089403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4038"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</w:tr>
    </w:tbl>
    <w:p w:rsidR="00F154E9" w:rsidRDefault="00F154E9" w:rsidP="00AB260E">
      <w:pPr>
        <w:tabs>
          <w:tab w:val="center" w:pos="1960"/>
          <w:tab w:val="center" w:pos="6720"/>
        </w:tabs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</w:p>
    <w:p w:rsidR="0016589C" w:rsidRDefault="00A63045" w:rsidP="00AB260E">
      <w:pPr>
        <w:tabs>
          <w:tab w:val="center" w:pos="1960"/>
          <w:tab w:val="center" w:pos="6720"/>
        </w:tabs>
        <w:spacing w:before="12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Lợi nhuận sau thuế </w:t>
      </w:r>
      <w:r w:rsidR="00894038">
        <w:rPr>
          <w:rFonts w:ascii="Times New Roman" w:hAnsi="Times New Roman"/>
          <w:sz w:val="28"/>
          <w:szCs w:val="28"/>
        </w:rPr>
        <w:t>tăng</w:t>
      </w:r>
      <w:r>
        <w:rPr>
          <w:rFonts w:ascii="Times New Roman" w:hAnsi="Times New Roman"/>
          <w:sz w:val="28"/>
          <w:szCs w:val="28"/>
        </w:rPr>
        <w:t xml:space="preserve"> </w:t>
      </w:r>
      <w:r w:rsidR="00894038">
        <w:rPr>
          <w:rFonts w:ascii="Times New Roman" w:hAnsi="Times New Roman"/>
          <w:sz w:val="28"/>
          <w:szCs w:val="28"/>
        </w:rPr>
        <w:t xml:space="preserve"> </w:t>
      </w:r>
      <w:r w:rsidR="00894038" w:rsidRPr="00894038">
        <w:rPr>
          <w:rFonts w:ascii="Times New Roman" w:hAnsi="Times New Roman"/>
          <w:b/>
          <w:bCs/>
          <w:sz w:val="22"/>
          <w:szCs w:val="22"/>
        </w:rPr>
        <w:t>129,032,865</w:t>
      </w:r>
      <w:r w:rsidR="0089403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D09C6">
        <w:rPr>
          <w:rFonts w:ascii="Times New Roman" w:hAnsi="Times New Roman"/>
          <w:sz w:val="28"/>
          <w:szCs w:val="28"/>
        </w:rPr>
        <w:t>đồng</w:t>
      </w:r>
      <w:r w:rsidR="00F154E9">
        <w:rPr>
          <w:rFonts w:ascii="Times New Roman" w:hAnsi="Times New Roman"/>
          <w:sz w:val="28"/>
          <w:szCs w:val="28"/>
        </w:rPr>
        <w:t xml:space="preserve"> nguyên nhân </w:t>
      </w:r>
      <w:r w:rsidR="00C40A70">
        <w:rPr>
          <w:rFonts w:ascii="Times New Roman" w:hAnsi="Times New Roman"/>
          <w:sz w:val="28"/>
          <w:szCs w:val="28"/>
        </w:rPr>
        <w:t xml:space="preserve">do </w:t>
      </w:r>
      <w:r w:rsidR="00F154E9">
        <w:rPr>
          <w:rFonts w:ascii="Times New Roman" w:hAnsi="Times New Roman"/>
          <w:sz w:val="28"/>
          <w:szCs w:val="28"/>
        </w:rPr>
        <w:t>điều chỉnh các mã chỉ tiêu sau:</w:t>
      </w:r>
    </w:p>
    <w:p w:rsidR="00CE063B" w:rsidRDefault="00CE063B" w:rsidP="00CE063B">
      <w:pPr>
        <w:numPr>
          <w:ilvl w:val="0"/>
          <w:numId w:val="4"/>
        </w:numPr>
        <w:tabs>
          <w:tab w:val="center" w:pos="1960"/>
          <w:tab w:val="center" w:pos="672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Chênh lệch mã chỉ tiêu </w:t>
      </w:r>
      <w:r w:rsidR="00894038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: </w:t>
      </w:r>
      <w:r w:rsidR="00894038">
        <w:rPr>
          <w:rFonts w:ascii="Times New Roman" w:hAnsi="Times New Roman"/>
          <w:sz w:val="28"/>
          <w:szCs w:val="28"/>
        </w:rPr>
        <w:t>tăng</w:t>
      </w:r>
      <w:r w:rsidR="004C6DFE">
        <w:rPr>
          <w:rFonts w:ascii="Times New Roman" w:hAnsi="Times New Roman"/>
          <w:sz w:val="28"/>
          <w:szCs w:val="28"/>
        </w:rPr>
        <w:t xml:space="preserve"> </w:t>
      </w:r>
      <w:r w:rsidR="00894038" w:rsidRPr="00894038">
        <w:rPr>
          <w:rFonts w:ascii="Times New Roman" w:hAnsi="Times New Roman"/>
          <w:b/>
          <w:bCs/>
          <w:sz w:val="22"/>
          <w:szCs w:val="22"/>
        </w:rPr>
        <w:t>179,562,865</w:t>
      </w:r>
      <w:r w:rsidR="0089403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536F74">
        <w:rPr>
          <w:rFonts w:ascii="Arial" w:hAnsi="Arial" w:cs="Arial"/>
        </w:rPr>
        <w:t>đồng</w:t>
      </w:r>
      <w:r w:rsidR="001E151F">
        <w:rPr>
          <w:rFonts w:ascii="Times New Roman" w:hAnsi="Times New Roman"/>
          <w:sz w:val="28"/>
          <w:szCs w:val="28"/>
        </w:rPr>
        <w:t xml:space="preserve"> </w:t>
      </w:r>
      <w:r w:rsidR="00C40A70">
        <w:rPr>
          <w:rFonts w:ascii="Times New Roman" w:hAnsi="Times New Roman"/>
          <w:sz w:val="28"/>
          <w:szCs w:val="28"/>
        </w:rPr>
        <w:t>,</w:t>
      </w:r>
      <w:r w:rsidR="00F746A9">
        <w:rPr>
          <w:rFonts w:ascii="Times New Roman" w:hAnsi="Times New Roman"/>
          <w:sz w:val="28"/>
          <w:szCs w:val="28"/>
        </w:rPr>
        <w:t xml:space="preserve"> do trích lập dự thu các khoản lãi tiền gửi có kỳ hạn chưa </w:t>
      </w:r>
      <w:r w:rsidR="00F61714">
        <w:rPr>
          <w:rFonts w:ascii="Times New Roman" w:hAnsi="Times New Roman"/>
          <w:sz w:val="28"/>
          <w:szCs w:val="28"/>
        </w:rPr>
        <w:t xml:space="preserve">đến </w:t>
      </w:r>
      <w:r w:rsidR="00F746A9">
        <w:rPr>
          <w:rFonts w:ascii="Times New Roman" w:hAnsi="Times New Roman"/>
          <w:sz w:val="28"/>
          <w:szCs w:val="28"/>
        </w:rPr>
        <w:t>hạn</w:t>
      </w:r>
      <w:r w:rsidR="00C40A70">
        <w:rPr>
          <w:rFonts w:ascii="Times New Roman" w:hAnsi="Times New Roman"/>
          <w:sz w:val="28"/>
          <w:szCs w:val="28"/>
        </w:rPr>
        <w:t xml:space="preserve"> </w:t>
      </w:r>
      <w:r w:rsidR="00F746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4021" w:rsidRDefault="00CE063B" w:rsidP="00CE063B">
      <w:pPr>
        <w:numPr>
          <w:ilvl w:val="0"/>
          <w:numId w:val="4"/>
        </w:numPr>
        <w:tabs>
          <w:tab w:val="center" w:pos="1960"/>
          <w:tab w:val="center" w:pos="672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Chênh lệch mã chỉ tiêu </w:t>
      </w:r>
      <w:r w:rsidR="00F746A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: </w:t>
      </w:r>
      <w:r w:rsidR="00F635B8">
        <w:rPr>
          <w:rFonts w:ascii="Times New Roman" w:hAnsi="Times New Roman"/>
          <w:sz w:val="28"/>
          <w:szCs w:val="28"/>
        </w:rPr>
        <w:t>giảm</w:t>
      </w:r>
      <w:r w:rsidR="004C3A75">
        <w:rPr>
          <w:rFonts w:ascii="Times New Roman" w:hAnsi="Times New Roman"/>
          <w:sz w:val="28"/>
          <w:szCs w:val="28"/>
        </w:rPr>
        <w:t xml:space="preserve"> </w:t>
      </w:r>
      <w:r w:rsidR="0087000D">
        <w:rPr>
          <w:rFonts w:ascii="Times New Roman" w:hAnsi="Times New Roman"/>
          <w:sz w:val="28"/>
          <w:szCs w:val="28"/>
        </w:rPr>
        <w:t xml:space="preserve"> </w:t>
      </w:r>
      <w:r w:rsidR="00F746A9" w:rsidRPr="00F746A9">
        <w:rPr>
          <w:rFonts w:ascii="Times New Roman" w:hAnsi="Times New Roman"/>
          <w:b/>
          <w:bCs/>
          <w:sz w:val="22"/>
          <w:szCs w:val="22"/>
        </w:rPr>
        <w:t>97,098,948</w:t>
      </w:r>
      <w:r w:rsidR="00F746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6F74">
        <w:rPr>
          <w:rFonts w:ascii="Arial" w:hAnsi="Arial" w:cs="Arial"/>
        </w:rPr>
        <w:t xml:space="preserve">đồng </w:t>
      </w:r>
      <w:r w:rsidR="0087000D">
        <w:rPr>
          <w:rFonts w:ascii="Arial" w:hAnsi="Arial" w:cs="Arial"/>
        </w:rPr>
        <w:t>d</w:t>
      </w:r>
      <w:r>
        <w:rPr>
          <w:rFonts w:ascii="Times New Roman" w:hAnsi="Times New Roman"/>
          <w:sz w:val="28"/>
          <w:szCs w:val="28"/>
        </w:rPr>
        <w:t xml:space="preserve">o </w:t>
      </w:r>
      <w:r w:rsidR="004C6DFE">
        <w:rPr>
          <w:rFonts w:ascii="Times New Roman" w:hAnsi="Times New Roman"/>
          <w:sz w:val="28"/>
          <w:szCs w:val="28"/>
        </w:rPr>
        <w:t xml:space="preserve">điều chỉnh </w:t>
      </w:r>
      <w:r w:rsidR="00F635B8">
        <w:rPr>
          <w:rFonts w:ascii="Times New Roman" w:hAnsi="Times New Roman"/>
          <w:sz w:val="28"/>
          <w:szCs w:val="28"/>
        </w:rPr>
        <w:t xml:space="preserve">Chi phí quản lý doanh nghiệp sang </w:t>
      </w:r>
      <w:r w:rsidR="004C3A75">
        <w:rPr>
          <w:rFonts w:ascii="Times New Roman" w:hAnsi="Times New Roman"/>
          <w:sz w:val="28"/>
          <w:szCs w:val="28"/>
        </w:rPr>
        <w:t xml:space="preserve">Chi phí bán hàng </w:t>
      </w:r>
    </w:p>
    <w:p w:rsidR="00F635B8" w:rsidRDefault="0087000D" w:rsidP="00F635B8">
      <w:pPr>
        <w:numPr>
          <w:ilvl w:val="0"/>
          <w:numId w:val="4"/>
        </w:numPr>
        <w:tabs>
          <w:tab w:val="center" w:pos="1960"/>
          <w:tab w:val="center" w:pos="672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Chênh lệch mã chỉ tiêu </w:t>
      </w:r>
      <w:r w:rsidR="00A274E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:</w:t>
      </w:r>
      <w:r w:rsidR="004C3A75">
        <w:rPr>
          <w:rFonts w:ascii="Times New Roman" w:hAnsi="Times New Roman"/>
          <w:sz w:val="28"/>
          <w:szCs w:val="28"/>
        </w:rPr>
        <w:t xml:space="preserve"> </w:t>
      </w:r>
      <w:r w:rsidR="00F635B8">
        <w:rPr>
          <w:rFonts w:ascii="Times New Roman" w:hAnsi="Times New Roman"/>
          <w:sz w:val="28"/>
          <w:szCs w:val="28"/>
        </w:rPr>
        <w:t>tăng</w:t>
      </w:r>
      <w:r>
        <w:rPr>
          <w:rFonts w:ascii="Times New Roman" w:hAnsi="Times New Roman"/>
          <w:sz w:val="28"/>
          <w:szCs w:val="28"/>
        </w:rPr>
        <w:t xml:space="preserve"> </w:t>
      </w:r>
      <w:r w:rsidR="00A274E5" w:rsidRPr="00A274E5">
        <w:rPr>
          <w:rFonts w:ascii="Times New Roman" w:hAnsi="Times New Roman"/>
          <w:b/>
          <w:bCs/>
          <w:sz w:val="22"/>
          <w:szCs w:val="22"/>
        </w:rPr>
        <w:t>147,628,948</w:t>
      </w:r>
      <w:r w:rsidR="00A274E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6F74">
        <w:rPr>
          <w:rFonts w:ascii="Arial" w:hAnsi="Arial" w:cs="Arial"/>
        </w:rPr>
        <w:t xml:space="preserve">đồng </w:t>
      </w:r>
      <w:r w:rsidR="00F635B8">
        <w:rPr>
          <w:rFonts w:ascii="Arial" w:hAnsi="Arial" w:cs="Arial"/>
        </w:rPr>
        <w:t>d</w:t>
      </w:r>
      <w:r w:rsidR="00F635B8">
        <w:rPr>
          <w:rFonts w:ascii="Times New Roman" w:hAnsi="Times New Roman"/>
          <w:sz w:val="28"/>
          <w:szCs w:val="28"/>
        </w:rPr>
        <w:t>o điều chỉnh Chi phí bán hàng sang Chi phí quản lý doanh nghiệp và tăng Chi phí TLHĐQT, trích trước Chi phí kiểm toán năm 2014.</w:t>
      </w:r>
    </w:p>
    <w:p w:rsidR="002C18CB" w:rsidRDefault="00335BAA" w:rsidP="00CE063B">
      <w:pPr>
        <w:numPr>
          <w:ilvl w:val="0"/>
          <w:numId w:val="4"/>
        </w:numPr>
        <w:tabs>
          <w:tab w:val="center" w:pos="1960"/>
          <w:tab w:val="center" w:pos="672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Chênh lệch mã chỉ tiêu </w:t>
      </w:r>
      <w:r w:rsidR="00FD0799">
        <w:rPr>
          <w:rFonts w:ascii="Times New Roman" w:hAnsi="Times New Roman"/>
          <w:sz w:val="28"/>
          <w:szCs w:val="28"/>
        </w:rPr>
        <w:t>50,</w:t>
      </w:r>
      <w:r>
        <w:rPr>
          <w:rFonts w:ascii="Times New Roman" w:hAnsi="Times New Roman"/>
          <w:sz w:val="28"/>
          <w:szCs w:val="28"/>
        </w:rPr>
        <w:t xml:space="preserve">60: </w:t>
      </w:r>
      <w:r w:rsidR="00A63045">
        <w:rPr>
          <w:rFonts w:ascii="Times New Roman" w:hAnsi="Times New Roman"/>
          <w:sz w:val="28"/>
          <w:szCs w:val="28"/>
        </w:rPr>
        <w:t xml:space="preserve">Lợi nhuận </w:t>
      </w:r>
      <w:r w:rsidR="00FD0799">
        <w:rPr>
          <w:rFonts w:ascii="Times New Roman" w:hAnsi="Times New Roman"/>
          <w:sz w:val="28"/>
          <w:szCs w:val="28"/>
        </w:rPr>
        <w:t xml:space="preserve">trước thuế và Lợi nhuận </w:t>
      </w:r>
      <w:r w:rsidR="00A63045">
        <w:rPr>
          <w:rFonts w:ascii="Times New Roman" w:hAnsi="Times New Roman"/>
          <w:sz w:val="28"/>
          <w:szCs w:val="28"/>
        </w:rPr>
        <w:t>sau thuế</w:t>
      </w:r>
      <w:r>
        <w:rPr>
          <w:rFonts w:ascii="Times New Roman" w:hAnsi="Times New Roman"/>
          <w:sz w:val="28"/>
          <w:szCs w:val="28"/>
        </w:rPr>
        <w:t xml:space="preserve"> giảm theo điều chỉnh</w:t>
      </w:r>
    </w:p>
    <w:p w:rsidR="0016589C" w:rsidRDefault="0016589C" w:rsidP="00753094">
      <w:pPr>
        <w:tabs>
          <w:tab w:val="center" w:pos="1960"/>
          <w:tab w:val="center" w:pos="6720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A43649" w:rsidRPr="00A43649" w:rsidRDefault="00FF5B27" w:rsidP="00375483">
      <w:pPr>
        <w:tabs>
          <w:tab w:val="center" w:pos="1960"/>
          <w:tab w:val="center" w:pos="6720"/>
        </w:tabs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</w:t>
      </w:r>
      <w:r w:rsidR="009B680F">
        <w:rPr>
          <w:rFonts w:ascii="Times New Roman" w:hAnsi="Times New Roman"/>
          <w:sz w:val="28"/>
          <w:szCs w:val="28"/>
        </w:rPr>
        <w:t xml:space="preserve">một vài </w:t>
      </w:r>
      <w:r>
        <w:rPr>
          <w:rFonts w:ascii="Times New Roman" w:hAnsi="Times New Roman"/>
          <w:sz w:val="28"/>
          <w:szCs w:val="28"/>
        </w:rPr>
        <w:t xml:space="preserve">nguyên nhân dẫn đến chênh lệch </w:t>
      </w:r>
      <w:r w:rsidR="00757519">
        <w:rPr>
          <w:rFonts w:ascii="Times New Roman" w:hAnsi="Times New Roman"/>
          <w:sz w:val="28"/>
          <w:szCs w:val="28"/>
        </w:rPr>
        <w:t>Lợi nhuận sau thuế của</w:t>
      </w:r>
      <w:r w:rsidR="00F61714">
        <w:rPr>
          <w:rFonts w:ascii="Times New Roman" w:hAnsi="Times New Roman"/>
          <w:sz w:val="28"/>
          <w:szCs w:val="28"/>
        </w:rPr>
        <w:t xml:space="preserve"> Báo cáo kiểm toán năm 2014 đơn vị kiểm toán với</w:t>
      </w:r>
      <w:r w:rsidR="00757519">
        <w:rPr>
          <w:rFonts w:ascii="Times New Roman" w:hAnsi="Times New Roman"/>
          <w:sz w:val="28"/>
          <w:szCs w:val="28"/>
        </w:rPr>
        <w:t xml:space="preserve"> BCTC</w:t>
      </w:r>
      <w:r w:rsidR="008F5EB9">
        <w:rPr>
          <w:rFonts w:ascii="Times New Roman" w:hAnsi="Times New Roman"/>
          <w:sz w:val="28"/>
          <w:szCs w:val="28"/>
        </w:rPr>
        <w:t xml:space="preserve"> </w:t>
      </w:r>
      <w:r w:rsidR="00A85584">
        <w:rPr>
          <w:rFonts w:ascii="Times New Roman" w:hAnsi="Times New Roman"/>
          <w:sz w:val="28"/>
          <w:szCs w:val="28"/>
        </w:rPr>
        <w:t xml:space="preserve">năm 2014 </w:t>
      </w:r>
      <w:r w:rsidR="00902519">
        <w:rPr>
          <w:rFonts w:ascii="Times New Roman" w:hAnsi="Times New Roman"/>
          <w:sz w:val="28"/>
          <w:szCs w:val="28"/>
        </w:rPr>
        <w:t xml:space="preserve">tự lập của Công ty </w:t>
      </w:r>
      <w:r w:rsidR="00F61714">
        <w:rPr>
          <w:rFonts w:ascii="Times New Roman" w:hAnsi="Times New Roman"/>
          <w:sz w:val="28"/>
          <w:szCs w:val="28"/>
        </w:rPr>
        <w:t>.</w:t>
      </w:r>
    </w:p>
    <w:p w:rsidR="001C79D7" w:rsidRDefault="00AB260E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Trân trọng kính chào !</w:t>
      </w:r>
    </w:p>
    <w:p w:rsidR="007437DD" w:rsidRPr="00A43649" w:rsidRDefault="007437DD" w:rsidP="001C79D7">
      <w:pPr>
        <w:tabs>
          <w:tab w:val="center" w:pos="1960"/>
          <w:tab w:val="center" w:pos="6720"/>
        </w:tabs>
        <w:spacing w:before="12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</w:r>
    </w:p>
    <w:p w:rsidR="001C79D7" w:rsidRPr="00A43649" w:rsidRDefault="001C79D7" w:rsidP="001C79D7">
      <w:pPr>
        <w:tabs>
          <w:tab w:val="center" w:pos="1960"/>
          <w:tab w:val="center" w:pos="6720"/>
        </w:tabs>
        <w:ind w:left="-700"/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  <w:u w:val="single"/>
        </w:rPr>
        <w:t>Nơi gởi</w:t>
      </w:r>
      <w:r w:rsidRPr="00A43649">
        <w:rPr>
          <w:rFonts w:ascii="Times New Roman" w:hAnsi="Times New Roman"/>
          <w:sz w:val="28"/>
          <w:szCs w:val="28"/>
        </w:rPr>
        <w:t xml:space="preserve"> :</w:t>
      </w:r>
      <w:r w:rsidRPr="00A43649">
        <w:rPr>
          <w:rFonts w:ascii="Times New Roman" w:hAnsi="Times New Roman"/>
          <w:sz w:val="28"/>
          <w:szCs w:val="28"/>
        </w:rPr>
        <w:tab/>
      </w:r>
      <w:r w:rsidRPr="00A43649">
        <w:rPr>
          <w:rFonts w:ascii="Times New Roman" w:hAnsi="Times New Roman"/>
          <w:sz w:val="28"/>
          <w:szCs w:val="28"/>
        </w:rPr>
        <w:tab/>
        <w:t xml:space="preserve"> </w:t>
      </w:r>
      <w:r w:rsidR="00302C56">
        <w:rPr>
          <w:rFonts w:ascii="Times New Roman" w:hAnsi="Times New Roman"/>
          <w:sz w:val="28"/>
          <w:szCs w:val="28"/>
        </w:rPr>
        <w:t>Q.</w:t>
      </w:r>
      <w:r w:rsidRPr="00A43649">
        <w:rPr>
          <w:rFonts w:ascii="Times New Roman" w:hAnsi="Times New Roman"/>
          <w:sz w:val="28"/>
          <w:szCs w:val="28"/>
        </w:rPr>
        <w:t>GIÁM ĐỐC</w:t>
      </w:r>
      <w:r w:rsidR="000128C7">
        <w:rPr>
          <w:rFonts w:ascii="Times New Roman" w:hAnsi="Times New Roman"/>
          <w:sz w:val="28"/>
          <w:szCs w:val="28"/>
        </w:rPr>
        <w:t xml:space="preserve"> CÔNG TY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Như  trên</w:t>
      </w:r>
    </w:p>
    <w:p w:rsidR="001C79D7" w:rsidRPr="00A43649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HĐQT,BKS</w:t>
      </w:r>
      <w:r w:rsidR="001C79D7" w:rsidRPr="00A43649">
        <w:rPr>
          <w:rFonts w:ascii="Times New Roman" w:hAnsi="Times New Roman"/>
          <w:sz w:val="28"/>
          <w:szCs w:val="28"/>
        </w:rPr>
        <w:t>( thay báo cáo )</w:t>
      </w:r>
    </w:p>
    <w:p w:rsidR="00AB260E" w:rsidRDefault="00AB260E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BGĐ </w:t>
      </w:r>
    </w:p>
    <w:p w:rsidR="001C79D7" w:rsidRPr="00A43649" w:rsidRDefault="001C79D7" w:rsidP="00A43649">
      <w:pPr>
        <w:numPr>
          <w:ilvl w:val="0"/>
          <w:numId w:val="2"/>
        </w:num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  <w:r w:rsidRPr="00A43649">
        <w:rPr>
          <w:rFonts w:ascii="Times New Roman" w:hAnsi="Times New Roman"/>
          <w:sz w:val="28"/>
          <w:szCs w:val="28"/>
        </w:rPr>
        <w:t>Lưu KT, Văn thư</w:t>
      </w:r>
    </w:p>
    <w:p w:rsidR="001C79D7" w:rsidRPr="00A43649" w:rsidRDefault="001C79D7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p w:rsidR="00E26A48" w:rsidRPr="00A43649" w:rsidRDefault="00E26A48" w:rsidP="00452249">
      <w:pPr>
        <w:tabs>
          <w:tab w:val="center" w:pos="1960"/>
          <w:tab w:val="center" w:pos="6720"/>
        </w:tabs>
        <w:jc w:val="both"/>
        <w:rPr>
          <w:rFonts w:ascii="Times New Roman" w:hAnsi="Times New Roman"/>
          <w:sz w:val="28"/>
          <w:szCs w:val="28"/>
        </w:rPr>
      </w:pPr>
    </w:p>
    <w:sectPr w:rsidR="00E26A48" w:rsidRPr="00A43649" w:rsidSect="00AB260E">
      <w:pgSz w:w="11909" w:h="16834" w:code="9"/>
      <w:pgMar w:top="1152" w:right="1440" w:bottom="1440" w:left="1152" w:header="720" w:footer="720" w:gutter="36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5B"/>
    <w:multiLevelType w:val="hybridMultilevel"/>
    <w:tmpl w:val="139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96D9C"/>
    <w:multiLevelType w:val="hybridMultilevel"/>
    <w:tmpl w:val="B6D8EFD2"/>
    <w:lvl w:ilvl="0" w:tplc="5DDEA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820C6"/>
    <w:multiLevelType w:val="hybridMultilevel"/>
    <w:tmpl w:val="E9226A70"/>
    <w:lvl w:ilvl="0" w:tplc="0CE8972E">
      <w:numFmt w:val="bullet"/>
      <w:lvlText w:val="-"/>
      <w:lvlJc w:val="left"/>
      <w:pPr>
        <w:tabs>
          <w:tab w:val="num" w:pos="140"/>
        </w:tabs>
        <w:ind w:left="1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">
    <w:nsid w:val="63DA7FC6"/>
    <w:multiLevelType w:val="hybridMultilevel"/>
    <w:tmpl w:val="68A01F30"/>
    <w:lvl w:ilvl="0" w:tplc="C7745E06">
      <w:numFmt w:val="bullet"/>
      <w:lvlText w:val="-"/>
      <w:lvlJc w:val="left"/>
      <w:pPr>
        <w:tabs>
          <w:tab w:val="num" w:pos="-340"/>
        </w:tabs>
        <w:ind w:left="-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F1"/>
    <w:rsid w:val="000128C7"/>
    <w:rsid w:val="00030675"/>
    <w:rsid w:val="00037CA1"/>
    <w:rsid w:val="00061F03"/>
    <w:rsid w:val="000D5792"/>
    <w:rsid w:val="000F477C"/>
    <w:rsid w:val="00100079"/>
    <w:rsid w:val="00107DA7"/>
    <w:rsid w:val="00124CF1"/>
    <w:rsid w:val="00142EA0"/>
    <w:rsid w:val="0014407C"/>
    <w:rsid w:val="001551E3"/>
    <w:rsid w:val="0016141E"/>
    <w:rsid w:val="0016589C"/>
    <w:rsid w:val="00180027"/>
    <w:rsid w:val="001817A1"/>
    <w:rsid w:val="001C79D7"/>
    <w:rsid w:val="001E151F"/>
    <w:rsid w:val="001E2ABD"/>
    <w:rsid w:val="0021075B"/>
    <w:rsid w:val="00234B5B"/>
    <w:rsid w:val="00260FAB"/>
    <w:rsid w:val="00273E1F"/>
    <w:rsid w:val="00276BA9"/>
    <w:rsid w:val="00290E02"/>
    <w:rsid w:val="002C18CB"/>
    <w:rsid w:val="002D585F"/>
    <w:rsid w:val="002E5875"/>
    <w:rsid w:val="002F4849"/>
    <w:rsid w:val="00302C56"/>
    <w:rsid w:val="003209F9"/>
    <w:rsid w:val="00335BAA"/>
    <w:rsid w:val="0037056D"/>
    <w:rsid w:val="00375483"/>
    <w:rsid w:val="00396476"/>
    <w:rsid w:val="003A024B"/>
    <w:rsid w:val="003A3DCF"/>
    <w:rsid w:val="003C51D6"/>
    <w:rsid w:val="003F20CE"/>
    <w:rsid w:val="003F4966"/>
    <w:rsid w:val="003F534E"/>
    <w:rsid w:val="00407069"/>
    <w:rsid w:val="00431AD0"/>
    <w:rsid w:val="00452249"/>
    <w:rsid w:val="004A69B9"/>
    <w:rsid w:val="004C3A75"/>
    <w:rsid w:val="004C6DFE"/>
    <w:rsid w:val="004D542D"/>
    <w:rsid w:val="004E5ABC"/>
    <w:rsid w:val="00501855"/>
    <w:rsid w:val="00516DDA"/>
    <w:rsid w:val="00536F74"/>
    <w:rsid w:val="0054157E"/>
    <w:rsid w:val="005C06A3"/>
    <w:rsid w:val="005C215E"/>
    <w:rsid w:val="005C7491"/>
    <w:rsid w:val="005D2510"/>
    <w:rsid w:val="0060079D"/>
    <w:rsid w:val="006007D3"/>
    <w:rsid w:val="00601F09"/>
    <w:rsid w:val="00605173"/>
    <w:rsid w:val="00612A1A"/>
    <w:rsid w:val="006238AE"/>
    <w:rsid w:val="00625EFB"/>
    <w:rsid w:val="0065062A"/>
    <w:rsid w:val="0065565C"/>
    <w:rsid w:val="006766CA"/>
    <w:rsid w:val="006B1E8B"/>
    <w:rsid w:val="006C13AA"/>
    <w:rsid w:val="006E407F"/>
    <w:rsid w:val="006F0FF1"/>
    <w:rsid w:val="006F57F4"/>
    <w:rsid w:val="00704DB5"/>
    <w:rsid w:val="007313B6"/>
    <w:rsid w:val="00742CB0"/>
    <w:rsid w:val="007437DD"/>
    <w:rsid w:val="00753094"/>
    <w:rsid w:val="00757519"/>
    <w:rsid w:val="00770200"/>
    <w:rsid w:val="007734B3"/>
    <w:rsid w:val="00773FDD"/>
    <w:rsid w:val="00777709"/>
    <w:rsid w:val="0079365A"/>
    <w:rsid w:val="007B367D"/>
    <w:rsid w:val="007F0B40"/>
    <w:rsid w:val="00811F2C"/>
    <w:rsid w:val="0084300E"/>
    <w:rsid w:val="0084520A"/>
    <w:rsid w:val="0087000D"/>
    <w:rsid w:val="00894038"/>
    <w:rsid w:val="008A175D"/>
    <w:rsid w:val="008A4438"/>
    <w:rsid w:val="008C282C"/>
    <w:rsid w:val="008E7F90"/>
    <w:rsid w:val="008F5EB9"/>
    <w:rsid w:val="00902519"/>
    <w:rsid w:val="00903FD5"/>
    <w:rsid w:val="00930D38"/>
    <w:rsid w:val="009344B3"/>
    <w:rsid w:val="00955246"/>
    <w:rsid w:val="009563CD"/>
    <w:rsid w:val="00966595"/>
    <w:rsid w:val="00973E7A"/>
    <w:rsid w:val="009879E5"/>
    <w:rsid w:val="009A0A92"/>
    <w:rsid w:val="009B680F"/>
    <w:rsid w:val="009E2DEA"/>
    <w:rsid w:val="009F5823"/>
    <w:rsid w:val="00A14D17"/>
    <w:rsid w:val="00A274E5"/>
    <w:rsid w:val="00A43649"/>
    <w:rsid w:val="00A63045"/>
    <w:rsid w:val="00A85584"/>
    <w:rsid w:val="00AB260E"/>
    <w:rsid w:val="00AC5ED4"/>
    <w:rsid w:val="00AD05CD"/>
    <w:rsid w:val="00AE7483"/>
    <w:rsid w:val="00B21CFF"/>
    <w:rsid w:val="00B24A21"/>
    <w:rsid w:val="00B37834"/>
    <w:rsid w:val="00B50557"/>
    <w:rsid w:val="00B73199"/>
    <w:rsid w:val="00B84802"/>
    <w:rsid w:val="00B850AC"/>
    <w:rsid w:val="00B86EF0"/>
    <w:rsid w:val="00C05E9C"/>
    <w:rsid w:val="00C07BC0"/>
    <w:rsid w:val="00C40A70"/>
    <w:rsid w:val="00C4406F"/>
    <w:rsid w:val="00C64021"/>
    <w:rsid w:val="00C65EF8"/>
    <w:rsid w:val="00C73089"/>
    <w:rsid w:val="00C74E05"/>
    <w:rsid w:val="00CD30A7"/>
    <w:rsid w:val="00CE063B"/>
    <w:rsid w:val="00CF16A5"/>
    <w:rsid w:val="00D134BC"/>
    <w:rsid w:val="00D36209"/>
    <w:rsid w:val="00D4592A"/>
    <w:rsid w:val="00D6587A"/>
    <w:rsid w:val="00D701B8"/>
    <w:rsid w:val="00D71057"/>
    <w:rsid w:val="00D76540"/>
    <w:rsid w:val="00DB4DBB"/>
    <w:rsid w:val="00DC50AA"/>
    <w:rsid w:val="00DD3E02"/>
    <w:rsid w:val="00DD7A9F"/>
    <w:rsid w:val="00DE1CFC"/>
    <w:rsid w:val="00DE22D5"/>
    <w:rsid w:val="00E25BB9"/>
    <w:rsid w:val="00E26A48"/>
    <w:rsid w:val="00E3390C"/>
    <w:rsid w:val="00EA4021"/>
    <w:rsid w:val="00EC3A56"/>
    <w:rsid w:val="00ED09C6"/>
    <w:rsid w:val="00EE3A9E"/>
    <w:rsid w:val="00EE4C96"/>
    <w:rsid w:val="00F1085C"/>
    <w:rsid w:val="00F154E9"/>
    <w:rsid w:val="00F61714"/>
    <w:rsid w:val="00F635B8"/>
    <w:rsid w:val="00F746A9"/>
    <w:rsid w:val="00F9082C"/>
    <w:rsid w:val="00F97A72"/>
    <w:rsid w:val="00FA1225"/>
    <w:rsid w:val="00FA3B2D"/>
    <w:rsid w:val="00FA7C2A"/>
    <w:rsid w:val="00FC669D"/>
    <w:rsid w:val="00FD0799"/>
    <w:rsid w:val="00FD636C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A8558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A85584"/>
    <w:pPr>
      <w:widowControl w:val="0"/>
      <w:jc w:val="both"/>
    </w:pPr>
    <w:rPr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40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16DDA"/>
    <w:rPr>
      <w:sz w:val="20"/>
      <w:szCs w:val="20"/>
    </w:rPr>
  </w:style>
  <w:style w:type="character" w:styleId="FootnoteReference">
    <w:name w:val="footnote reference"/>
    <w:semiHidden/>
    <w:rsid w:val="00516DDA"/>
    <w:rPr>
      <w:vertAlign w:val="superscript"/>
    </w:rPr>
  </w:style>
  <w:style w:type="table" w:styleId="TableGrid">
    <w:name w:val="Table Grid"/>
    <w:basedOn w:val="TableNormal"/>
    <w:rsid w:val="0010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 Char1 Char Char Char"/>
    <w:basedOn w:val="Normal"/>
    <w:link w:val="DefaultParagraphFont"/>
    <w:rsid w:val="00A8558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rsid w:val="00A85584"/>
    <w:pPr>
      <w:widowControl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Sai Gon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Van Thao</dc:creator>
  <cp:lastModifiedBy>Admin</cp:lastModifiedBy>
  <cp:revision>2</cp:revision>
  <cp:lastPrinted>2015-03-20T04:07:00Z</cp:lastPrinted>
  <dcterms:created xsi:type="dcterms:W3CDTF">2015-03-23T07:01:00Z</dcterms:created>
  <dcterms:modified xsi:type="dcterms:W3CDTF">2015-03-23T07:01:00Z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703965ee000c419f819616b2ca4aa26e.psdsxs" Id="Re92b16c352554c94" /></Relationships>
</file>