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f9de094022e490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320"/>
        <w:gridCol w:w="5760"/>
      </w:tblGrid>
      <w:tr w:rsidR="00A0763F" w:rsidRPr="00946C10" w:rsidTr="00946C10">
        <w:tc>
          <w:tcPr>
            <w:tcW w:w="4320" w:type="dxa"/>
          </w:tcPr>
          <w:p w:rsidR="00A0763F" w:rsidRPr="00946C10" w:rsidRDefault="00A0763F" w:rsidP="00946C10">
            <w:pPr>
              <w:jc w:val="center"/>
              <w:rPr>
                <w:b/>
              </w:rPr>
            </w:pPr>
            <w:r w:rsidRPr="00946C10">
              <w:rPr>
                <w:b/>
              </w:rPr>
              <w:t>CÔNG TY CỔ PHẦN</w:t>
            </w:r>
          </w:p>
          <w:p w:rsidR="00A0763F" w:rsidRPr="00946C10" w:rsidRDefault="00A0763F" w:rsidP="00946C10">
            <w:pPr>
              <w:jc w:val="center"/>
              <w:rPr>
                <w:b/>
              </w:rPr>
            </w:pPr>
            <w:r w:rsidRPr="00946C10">
              <w:rPr>
                <w:b/>
              </w:rPr>
              <w:t>XI MĂNG SÀI SƠN</w:t>
            </w:r>
          </w:p>
          <w:p w:rsidR="00A0763F" w:rsidRPr="00946C10" w:rsidRDefault="00A0763F" w:rsidP="00A0763F">
            <w:pPr>
              <w:rPr>
                <w:b/>
              </w:rPr>
            </w:pPr>
          </w:p>
          <w:p w:rsidR="00A0763F" w:rsidRPr="00946C10" w:rsidRDefault="00A0763F" w:rsidP="00946C10">
            <w:pPr>
              <w:jc w:val="center"/>
              <w:rPr>
                <w:b/>
              </w:rPr>
            </w:pPr>
            <w:r w:rsidRPr="00946C10">
              <w:rPr>
                <w:b/>
              </w:rPr>
              <w:t>Số:         /CV-CT</w:t>
            </w:r>
          </w:p>
          <w:p w:rsidR="00A0763F" w:rsidRPr="00946C10" w:rsidRDefault="00A0763F" w:rsidP="00946C10">
            <w:pPr>
              <w:jc w:val="center"/>
              <w:rPr>
                <w:b/>
                <w:sz w:val="22"/>
                <w:szCs w:val="22"/>
              </w:rPr>
            </w:pPr>
            <w:r w:rsidRPr="00946C10">
              <w:rPr>
                <w:b/>
                <w:sz w:val="22"/>
                <w:szCs w:val="22"/>
              </w:rPr>
              <w:t xml:space="preserve">V/v: Giải trình thuyết minh </w:t>
            </w:r>
          </w:p>
          <w:p w:rsidR="00A0763F" w:rsidRPr="00946C10" w:rsidRDefault="00A0763F" w:rsidP="00946C10">
            <w:pPr>
              <w:jc w:val="center"/>
              <w:rPr>
                <w:b/>
                <w:sz w:val="22"/>
                <w:szCs w:val="22"/>
              </w:rPr>
            </w:pPr>
            <w:r w:rsidRPr="00946C10">
              <w:rPr>
                <w:b/>
                <w:sz w:val="22"/>
                <w:szCs w:val="22"/>
              </w:rPr>
              <w:t>BCTC năm 2014</w:t>
            </w:r>
          </w:p>
        </w:tc>
        <w:tc>
          <w:tcPr>
            <w:tcW w:w="5760" w:type="dxa"/>
          </w:tcPr>
          <w:p w:rsidR="00A0763F" w:rsidRPr="00946C10" w:rsidRDefault="00A0763F" w:rsidP="00946C10">
            <w:pPr>
              <w:jc w:val="center"/>
              <w:rPr>
                <w:b/>
              </w:rPr>
            </w:pPr>
            <w:r w:rsidRPr="00946C10">
              <w:rPr>
                <w:b/>
              </w:rPr>
              <w:t>CỘNG HOÀ XÃ HỘI CHỦ NGHĨA VIỆT NAM</w:t>
            </w:r>
          </w:p>
          <w:p w:rsidR="00A0763F" w:rsidRPr="00946C10" w:rsidRDefault="00A0763F" w:rsidP="00946C10">
            <w:pPr>
              <w:jc w:val="center"/>
              <w:rPr>
                <w:b/>
              </w:rPr>
            </w:pPr>
            <w:r w:rsidRPr="00946C10">
              <w:rPr>
                <w:b/>
              </w:rPr>
              <w:t>Độc lập - Tự do - Hạnh phúc</w:t>
            </w:r>
          </w:p>
          <w:p w:rsidR="00A0763F" w:rsidRPr="00946C10" w:rsidRDefault="00A0763F" w:rsidP="00A0763F">
            <w:pPr>
              <w:rPr>
                <w:b/>
              </w:rPr>
            </w:pPr>
            <w:r w:rsidRPr="00946C10">
              <w:rPr>
                <w:b/>
                <w:noProof/>
              </w:rPr>
              <w:pict>
                <v:line id="_x0000_s1032" style="position:absolute;z-index:251657728" from="84.6pt,3.95pt" to="174.6pt,3.95pt"/>
              </w:pict>
            </w:r>
          </w:p>
          <w:p w:rsidR="00A0763F" w:rsidRPr="00946C10" w:rsidRDefault="00A0763F" w:rsidP="00946C10">
            <w:pPr>
              <w:jc w:val="right"/>
              <w:rPr>
                <w:b/>
              </w:rPr>
            </w:pPr>
            <w:r w:rsidRPr="00946C10">
              <w:rPr>
                <w:b/>
              </w:rPr>
              <w:t>Sài Sơn, ngày 20 tháng 03 năm 2015</w:t>
            </w:r>
          </w:p>
        </w:tc>
      </w:tr>
    </w:tbl>
    <w:p w:rsidR="00A0763F" w:rsidRDefault="00A0763F" w:rsidP="00A0763F">
      <w:pPr>
        <w:spacing w:line="312" w:lineRule="auto"/>
        <w:ind w:left="1440"/>
        <w:rPr>
          <w:b/>
          <w:i/>
          <w:szCs w:val="28"/>
          <w:u w:val="single"/>
        </w:rPr>
      </w:pPr>
    </w:p>
    <w:p w:rsidR="00A0763F" w:rsidRDefault="00A0763F" w:rsidP="00A0763F">
      <w:pPr>
        <w:spacing w:line="312" w:lineRule="auto"/>
        <w:ind w:left="1440"/>
        <w:rPr>
          <w:b/>
          <w:bCs/>
          <w:i/>
          <w:iCs/>
          <w:sz w:val="26"/>
          <w:szCs w:val="26"/>
        </w:rPr>
      </w:pPr>
      <w:r w:rsidRPr="00267CA6">
        <w:rPr>
          <w:b/>
          <w:i/>
          <w:sz w:val="26"/>
          <w:szCs w:val="26"/>
          <w:u w:val="single"/>
        </w:rPr>
        <w:t>Kính gửi:</w:t>
      </w:r>
      <w:r w:rsidRPr="00267CA6">
        <w:rPr>
          <w:sz w:val="26"/>
          <w:szCs w:val="26"/>
        </w:rPr>
        <w:t xml:space="preserve"> </w:t>
      </w:r>
      <w:r w:rsidRPr="00267CA6">
        <w:rPr>
          <w:bCs/>
          <w:iCs/>
          <w:sz w:val="26"/>
          <w:szCs w:val="26"/>
        </w:rPr>
        <w:t xml:space="preserve">  </w:t>
      </w:r>
      <w:r w:rsidRPr="00267CA6">
        <w:rPr>
          <w:bCs/>
          <w:iCs/>
          <w:sz w:val="26"/>
          <w:szCs w:val="26"/>
        </w:rPr>
        <w:tab/>
      </w:r>
      <w:r w:rsidRPr="00267CA6">
        <w:rPr>
          <w:b/>
          <w:bCs/>
          <w:i/>
          <w:iCs/>
          <w:sz w:val="26"/>
          <w:szCs w:val="26"/>
        </w:rPr>
        <w:t>Ủy ban chứng khoán Nhà nước</w:t>
      </w:r>
    </w:p>
    <w:p w:rsidR="00A0763F" w:rsidRPr="00267CA6" w:rsidRDefault="00A0763F" w:rsidP="00A0763F">
      <w:pPr>
        <w:spacing w:line="312" w:lineRule="auto"/>
        <w:ind w:left="2160" w:firstLine="720"/>
        <w:rPr>
          <w:b/>
          <w:bCs/>
          <w:i/>
          <w:iCs/>
          <w:sz w:val="26"/>
          <w:szCs w:val="26"/>
        </w:rPr>
      </w:pPr>
      <w:r w:rsidRPr="00267CA6">
        <w:rPr>
          <w:b/>
          <w:bCs/>
          <w:i/>
          <w:iCs/>
          <w:sz w:val="26"/>
          <w:szCs w:val="26"/>
        </w:rPr>
        <w:t>Sở Giao dịch Chứng khoán Hà Nội</w:t>
      </w:r>
    </w:p>
    <w:p w:rsidR="00A0763F" w:rsidRPr="00267CA6" w:rsidRDefault="00A0763F" w:rsidP="00A0763F">
      <w:pPr>
        <w:spacing w:line="312" w:lineRule="auto"/>
        <w:ind w:left="1440"/>
        <w:rPr>
          <w:b/>
          <w:bCs/>
          <w:i/>
          <w:iCs/>
          <w:sz w:val="26"/>
          <w:szCs w:val="26"/>
        </w:rPr>
      </w:pPr>
    </w:p>
    <w:p w:rsidR="00A0763F" w:rsidRPr="00267CA6" w:rsidRDefault="00A0763F" w:rsidP="00A0763F">
      <w:pPr>
        <w:numPr>
          <w:ilvl w:val="0"/>
          <w:numId w:val="1"/>
        </w:numPr>
        <w:tabs>
          <w:tab w:val="clear" w:pos="1020"/>
        </w:tabs>
        <w:spacing w:line="312" w:lineRule="auto"/>
        <w:ind w:left="709" w:hanging="284"/>
        <w:jc w:val="both"/>
        <w:rPr>
          <w:sz w:val="26"/>
          <w:szCs w:val="26"/>
          <w:lang w:val="nl-NL"/>
        </w:rPr>
      </w:pPr>
      <w:r w:rsidRPr="00267CA6">
        <w:rPr>
          <w:sz w:val="26"/>
          <w:szCs w:val="26"/>
          <w:lang w:val="nl-NL"/>
        </w:rPr>
        <w:t>Tên công ty: Công ty Cổ phần Xi m</w:t>
      </w:r>
      <w:r w:rsidRPr="00267CA6">
        <w:rPr>
          <w:rFonts w:hint="eastAsia"/>
          <w:sz w:val="26"/>
          <w:szCs w:val="26"/>
          <w:lang w:val="nl-NL"/>
        </w:rPr>
        <w:t>ă</w:t>
      </w:r>
      <w:r w:rsidRPr="00267CA6">
        <w:rPr>
          <w:sz w:val="26"/>
          <w:szCs w:val="26"/>
          <w:lang w:val="nl-NL"/>
        </w:rPr>
        <w:t>ng Sài S</w:t>
      </w:r>
      <w:r w:rsidRPr="00267CA6">
        <w:rPr>
          <w:rFonts w:hint="eastAsia"/>
          <w:sz w:val="26"/>
          <w:szCs w:val="26"/>
          <w:lang w:val="nl-NL"/>
        </w:rPr>
        <w:t>ơ</w:t>
      </w:r>
      <w:r w:rsidRPr="00267CA6">
        <w:rPr>
          <w:sz w:val="26"/>
          <w:szCs w:val="26"/>
          <w:lang w:val="nl-NL"/>
        </w:rPr>
        <w:t xml:space="preserve">n </w:t>
      </w:r>
    </w:p>
    <w:p w:rsidR="00A0763F" w:rsidRPr="00267CA6" w:rsidRDefault="00A0763F" w:rsidP="00A0763F">
      <w:pPr>
        <w:numPr>
          <w:ilvl w:val="0"/>
          <w:numId w:val="1"/>
        </w:numPr>
        <w:tabs>
          <w:tab w:val="clear" w:pos="1020"/>
        </w:tabs>
        <w:spacing w:line="312" w:lineRule="auto"/>
        <w:ind w:left="709" w:hanging="284"/>
        <w:jc w:val="both"/>
        <w:rPr>
          <w:sz w:val="26"/>
          <w:szCs w:val="26"/>
          <w:lang w:val="nl-NL"/>
        </w:rPr>
      </w:pPr>
      <w:r w:rsidRPr="00267CA6">
        <w:rPr>
          <w:sz w:val="26"/>
          <w:szCs w:val="26"/>
          <w:lang w:val="nl-NL"/>
        </w:rPr>
        <w:t>Mã chứng khoán: SCJ</w:t>
      </w:r>
    </w:p>
    <w:p w:rsidR="00A0763F" w:rsidRPr="00267CA6" w:rsidRDefault="00A0763F" w:rsidP="00A0763F">
      <w:pPr>
        <w:numPr>
          <w:ilvl w:val="0"/>
          <w:numId w:val="1"/>
        </w:numPr>
        <w:tabs>
          <w:tab w:val="clear" w:pos="1020"/>
        </w:tabs>
        <w:spacing w:line="312" w:lineRule="auto"/>
        <w:ind w:left="709" w:hanging="284"/>
        <w:jc w:val="both"/>
        <w:rPr>
          <w:sz w:val="26"/>
          <w:szCs w:val="26"/>
          <w:lang w:val="nl-NL"/>
        </w:rPr>
      </w:pPr>
      <w:r w:rsidRPr="00267CA6">
        <w:rPr>
          <w:sz w:val="26"/>
          <w:szCs w:val="26"/>
          <w:lang w:val="nl-NL"/>
        </w:rPr>
        <w:t>Địa chỉ trụ sở chính: Xã Sài S</w:t>
      </w:r>
      <w:r w:rsidRPr="00267CA6">
        <w:rPr>
          <w:rFonts w:hint="eastAsia"/>
          <w:sz w:val="26"/>
          <w:szCs w:val="26"/>
          <w:lang w:val="nl-NL"/>
        </w:rPr>
        <w:t>ơ</w:t>
      </w:r>
      <w:r w:rsidRPr="00267CA6">
        <w:rPr>
          <w:sz w:val="26"/>
          <w:szCs w:val="26"/>
          <w:lang w:val="nl-NL"/>
        </w:rPr>
        <w:t>n - huyện Quốc Oai – Tp Hà Nội</w:t>
      </w:r>
    </w:p>
    <w:p w:rsidR="00A0763F" w:rsidRPr="00267CA6" w:rsidRDefault="00A0763F" w:rsidP="00A0763F">
      <w:pPr>
        <w:numPr>
          <w:ilvl w:val="0"/>
          <w:numId w:val="1"/>
        </w:numPr>
        <w:tabs>
          <w:tab w:val="clear" w:pos="1020"/>
        </w:tabs>
        <w:spacing w:line="312" w:lineRule="auto"/>
        <w:ind w:left="709" w:hanging="284"/>
        <w:jc w:val="both"/>
        <w:rPr>
          <w:sz w:val="26"/>
          <w:szCs w:val="26"/>
          <w:lang w:val="nl-NL"/>
        </w:rPr>
      </w:pPr>
      <w:r w:rsidRPr="00267CA6">
        <w:rPr>
          <w:sz w:val="26"/>
          <w:szCs w:val="26"/>
          <w:lang w:val="nl-NL"/>
        </w:rPr>
        <w:t>Điện thoại: 04.33679378</w:t>
      </w:r>
      <w:r w:rsidRPr="00267CA6">
        <w:rPr>
          <w:sz w:val="26"/>
          <w:szCs w:val="26"/>
          <w:lang w:val="nl-NL"/>
        </w:rPr>
        <w:tab/>
      </w:r>
      <w:r w:rsidRPr="00267CA6">
        <w:rPr>
          <w:sz w:val="26"/>
          <w:szCs w:val="26"/>
          <w:lang w:val="nl-NL"/>
        </w:rPr>
        <w:tab/>
        <w:t>Fax: 04.33679379</w:t>
      </w:r>
    </w:p>
    <w:p w:rsidR="00A0763F" w:rsidRDefault="00A0763F" w:rsidP="00A0763F">
      <w:pPr>
        <w:spacing w:before="120" w:line="312" w:lineRule="auto"/>
        <w:ind w:firstLine="720"/>
        <w:jc w:val="both"/>
        <w:rPr>
          <w:sz w:val="26"/>
          <w:szCs w:val="26"/>
          <w:lang w:val="nl-NL"/>
        </w:rPr>
      </w:pPr>
      <w:r>
        <w:rPr>
          <w:sz w:val="26"/>
          <w:szCs w:val="26"/>
          <w:lang w:val="nl-NL"/>
        </w:rPr>
        <w:t>C</w:t>
      </w:r>
      <w:r w:rsidRPr="001C231C">
        <w:rPr>
          <w:sz w:val="26"/>
          <w:szCs w:val="26"/>
          <w:lang w:val="nl-NL"/>
        </w:rPr>
        <w:t>ă</w:t>
      </w:r>
      <w:r>
        <w:rPr>
          <w:sz w:val="26"/>
          <w:szCs w:val="26"/>
          <w:lang w:val="nl-NL"/>
        </w:rPr>
        <w:t>n c</w:t>
      </w:r>
      <w:r w:rsidRPr="001C231C">
        <w:rPr>
          <w:sz w:val="26"/>
          <w:szCs w:val="26"/>
          <w:lang w:val="nl-NL"/>
        </w:rPr>
        <w:t>ứ</w:t>
      </w:r>
      <w:r>
        <w:rPr>
          <w:sz w:val="26"/>
          <w:szCs w:val="26"/>
          <w:lang w:val="nl-NL"/>
        </w:rPr>
        <w:t xml:space="preserve"> b</w:t>
      </w:r>
      <w:r w:rsidRPr="001C231C">
        <w:rPr>
          <w:sz w:val="26"/>
          <w:szCs w:val="26"/>
          <w:lang w:val="nl-NL"/>
        </w:rPr>
        <w:t>áo</w:t>
      </w:r>
      <w:r>
        <w:rPr>
          <w:sz w:val="26"/>
          <w:szCs w:val="26"/>
          <w:lang w:val="nl-NL"/>
        </w:rPr>
        <w:t xml:space="preserve"> c</w:t>
      </w:r>
      <w:r w:rsidRPr="001C231C">
        <w:rPr>
          <w:sz w:val="26"/>
          <w:szCs w:val="26"/>
          <w:lang w:val="nl-NL"/>
        </w:rPr>
        <w:t>áo</w:t>
      </w:r>
      <w:r>
        <w:rPr>
          <w:sz w:val="26"/>
          <w:szCs w:val="26"/>
          <w:lang w:val="nl-NL"/>
        </w:rPr>
        <w:t xml:space="preserve"> t</w:t>
      </w:r>
      <w:r w:rsidRPr="001C231C">
        <w:rPr>
          <w:sz w:val="26"/>
          <w:szCs w:val="26"/>
          <w:lang w:val="nl-NL"/>
        </w:rPr>
        <w:t>ài</w:t>
      </w:r>
      <w:r>
        <w:rPr>
          <w:sz w:val="26"/>
          <w:szCs w:val="26"/>
          <w:lang w:val="nl-NL"/>
        </w:rPr>
        <w:t xml:space="preserve"> ch</w:t>
      </w:r>
      <w:r w:rsidRPr="001C231C">
        <w:rPr>
          <w:sz w:val="26"/>
          <w:szCs w:val="26"/>
          <w:lang w:val="nl-NL"/>
        </w:rPr>
        <w:t>ính</w:t>
      </w:r>
      <w:r>
        <w:rPr>
          <w:sz w:val="26"/>
          <w:szCs w:val="26"/>
          <w:lang w:val="nl-NL"/>
        </w:rPr>
        <w:t xml:space="preserve"> n</w:t>
      </w:r>
      <w:r w:rsidRPr="001C231C">
        <w:rPr>
          <w:sz w:val="26"/>
          <w:szCs w:val="26"/>
          <w:lang w:val="nl-NL"/>
        </w:rPr>
        <w:t>ă</w:t>
      </w:r>
      <w:r>
        <w:rPr>
          <w:sz w:val="26"/>
          <w:szCs w:val="26"/>
          <w:lang w:val="nl-NL"/>
        </w:rPr>
        <w:t xml:space="preserve">m 2014 </w:t>
      </w:r>
      <w:r w:rsidRPr="001C231C">
        <w:rPr>
          <w:sz w:val="26"/>
          <w:szCs w:val="26"/>
          <w:lang w:val="nl-NL"/>
        </w:rPr>
        <w:t>đã</w:t>
      </w:r>
      <w:r>
        <w:rPr>
          <w:sz w:val="26"/>
          <w:szCs w:val="26"/>
          <w:lang w:val="nl-NL"/>
        </w:rPr>
        <w:t xml:space="preserve"> </w:t>
      </w:r>
      <w:r w:rsidRPr="001C231C">
        <w:rPr>
          <w:sz w:val="26"/>
          <w:szCs w:val="26"/>
          <w:lang w:val="nl-NL"/>
        </w:rPr>
        <w:t>được</w:t>
      </w:r>
      <w:r>
        <w:rPr>
          <w:sz w:val="26"/>
          <w:szCs w:val="26"/>
          <w:lang w:val="nl-NL"/>
        </w:rPr>
        <w:t xml:space="preserve"> ki</w:t>
      </w:r>
      <w:r w:rsidRPr="001C231C">
        <w:rPr>
          <w:sz w:val="26"/>
          <w:szCs w:val="26"/>
          <w:lang w:val="nl-NL"/>
        </w:rPr>
        <w:t>ểm</w:t>
      </w:r>
      <w:r>
        <w:rPr>
          <w:sz w:val="26"/>
          <w:szCs w:val="26"/>
          <w:lang w:val="nl-NL"/>
        </w:rPr>
        <w:t xml:space="preserve"> to</w:t>
      </w:r>
      <w:r w:rsidRPr="001C231C">
        <w:rPr>
          <w:sz w:val="26"/>
          <w:szCs w:val="26"/>
          <w:lang w:val="nl-NL"/>
        </w:rPr>
        <w:t>án</w:t>
      </w:r>
      <w:r>
        <w:rPr>
          <w:sz w:val="26"/>
          <w:szCs w:val="26"/>
          <w:lang w:val="nl-NL"/>
        </w:rPr>
        <w:t xml:space="preserve"> b</w:t>
      </w:r>
      <w:r w:rsidRPr="001C231C">
        <w:rPr>
          <w:sz w:val="26"/>
          <w:szCs w:val="26"/>
          <w:lang w:val="nl-NL"/>
        </w:rPr>
        <w:t>ởi</w:t>
      </w:r>
      <w:r>
        <w:rPr>
          <w:sz w:val="26"/>
          <w:szCs w:val="26"/>
          <w:lang w:val="nl-NL"/>
        </w:rPr>
        <w:t xml:space="preserve"> C</w:t>
      </w:r>
      <w:r w:rsidRPr="001C231C">
        <w:rPr>
          <w:sz w:val="26"/>
          <w:szCs w:val="26"/>
          <w:lang w:val="nl-NL"/>
        </w:rPr>
        <w:t>ô</w:t>
      </w:r>
      <w:r>
        <w:rPr>
          <w:sz w:val="26"/>
          <w:szCs w:val="26"/>
          <w:lang w:val="nl-NL"/>
        </w:rPr>
        <w:t>ng ty TNHH h</w:t>
      </w:r>
      <w:r w:rsidRPr="001C231C">
        <w:rPr>
          <w:sz w:val="26"/>
          <w:szCs w:val="26"/>
          <w:lang w:val="nl-NL"/>
        </w:rPr>
        <w:t>ãng</w:t>
      </w:r>
      <w:r>
        <w:rPr>
          <w:sz w:val="26"/>
          <w:szCs w:val="26"/>
          <w:lang w:val="nl-NL"/>
        </w:rPr>
        <w:t xml:space="preserve"> ki</w:t>
      </w:r>
      <w:r w:rsidRPr="001C231C">
        <w:rPr>
          <w:sz w:val="26"/>
          <w:szCs w:val="26"/>
          <w:lang w:val="nl-NL"/>
        </w:rPr>
        <w:t>ểm</w:t>
      </w:r>
      <w:r>
        <w:rPr>
          <w:sz w:val="26"/>
          <w:szCs w:val="26"/>
          <w:lang w:val="nl-NL"/>
        </w:rPr>
        <w:t xml:space="preserve"> to</w:t>
      </w:r>
      <w:r w:rsidRPr="001C231C">
        <w:rPr>
          <w:sz w:val="26"/>
          <w:szCs w:val="26"/>
          <w:lang w:val="nl-NL"/>
        </w:rPr>
        <w:t>án</w:t>
      </w:r>
      <w:r>
        <w:rPr>
          <w:sz w:val="26"/>
          <w:szCs w:val="26"/>
          <w:lang w:val="nl-NL"/>
        </w:rPr>
        <w:t xml:space="preserve"> </w:t>
      </w:r>
      <w:r w:rsidRPr="001C231C">
        <w:rPr>
          <w:sz w:val="26"/>
          <w:szCs w:val="26"/>
          <w:lang w:val="nl-NL"/>
        </w:rPr>
        <w:t>AA</w:t>
      </w:r>
      <w:r>
        <w:rPr>
          <w:sz w:val="26"/>
          <w:szCs w:val="26"/>
          <w:lang w:val="nl-NL"/>
        </w:rPr>
        <w:t xml:space="preserve">SC. </w:t>
      </w:r>
      <w:r w:rsidRPr="00267CA6">
        <w:rPr>
          <w:sz w:val="26"/>
          <w:szCs w:val="26"/>
          <w:lang w:val="nl-NL"/>
        </w:rPr>
        <w:t>Công ty Cổ phần Xi măng Sài Sơn xin giải trình</w:t>
      </w:r>
      <w:r>
        <w:rPr>
          <w:sz w:val="26"/>
          <w:szCs w:val="26"/>
          <w:lang w:val="nl-NL"/>
        </w:rPr>
        <w:t xml:space="preserve"> m</w:t>
      </w:r>
      <w:r w:rsidRPr="001C231C">
        <w:rPr>
          <w:sz w:val="26"/>
          <w:szCs w:val="26"/>
          <w:lang w:val="nl-NL"/>
        </w:rPr>
        <w:t>ục</w:t>
      </w:r>
      <w:r>
        <w:rPr>
          <w:sz w:val="26"/>
          <w:szCs w:val="26"/>
          <w:lang w:val="nl-NL"/>
        </w:rPr>
        <w:t xml:space="preserve"> 33 -</w:t>
      </w:r>
      <w:r w:rsidRPr="00267CA6">
        <w:rPr>
          <w:sz w:val="26"/>
          <w:szCs w:val="26"/>
          <w:lang w:val="nl-NL"/>
        </w:rPr>
        <w:t xml:space="preserve"> </w:t>
      </w:r>
      <w:r>
        <w:rPr>
          <w:sz w:val="26"/>
          <w:szCs w:val="26"/>
          <w:lang w:val="nl-NL"/>
        </w:rPr>
        <w:t>thuy</w:t>
      </w:r>
      <w:r w:rsidRPr="001C231C">
        <w:rPr>
          <w:sz w:val="26"/>
          <w:szCs w:val="26"/>
          <w:lang w:val="nl-NL"/>
        </w:rPr>
        <w:t>ết</w:t>
      </w:r>
      <w:r>
        <w:rPr>
          <w:sz w:val="26"/>
          <w:szCs w:val="26"/>
          <w:lang w:val="nl-NL"/>
        </w:rPr>
        <w:t xml:space="preserve"> minh b</w:t>
      </w:r>
      <w:r w:rsidRPr="001C231C">
        <w:rPr>
          <w:sz w:val="26"/>
          <w:szCs w:val="26"/>
          <w:lang w:val="nl-NL"/>
        </w:rPr>
        <w:t>áo</w:t>
      </w:r>
      <w:r>
        <w:rPr>
          <w:sz w:val="26"/>
          <w:szCs w:val="26"/>
          <w:lang w:val="nl-NL"/>
        </w:rPr>
        <w:t xml:space="preserve"> c</w:t>
      </w:r>
      <w:r w:rsidRPr="001C231C">
        <w:rPr>
          <w:sz w:val="26"/>
          <w:szCs w:val="26"/>
          <w:lang w:val="nl-NL"/>
        </w:rPr>
        <w:t>áo</w:t>
      </w:r>
      <w:r>
        <w:rPr>
          <w:sz w:val="26"/>
          <w:szCs w:val="26"/>
          <w:lang w:val="nl-NL"/>
        </w:rPr>
        <w:t xml:space="preserve"> t</w:t>
      </w:r>
      <w:r w:rsidRPr="001C231C">
        <w:rPr>
          <w:sz w:val="26"/>
          <w:szCs w:val="26"/>
          <w:lang w:val="nl-NL"/>
        </w:rPr>
        <w:t>ài</w:t>
      </w:r>
      <w:r>
        <w:rPr>
          <w:sz w:val="26"/>
          <w:szCs w:val="26"/>
          <w:lang w:val="nl-NL"/>
        </w:rPr>
        <w:t xml:space="preserve"> ch</w:t>
      </w:r>
      <w:r w:rsidRPr="001C231C">
        <w:rPr>
          <w:sz w:val="26"/>
          <w:szCs w:val="26"/>
          <w:lang w:val="nl-NL"/>
        </w:rPr>
        <w:t>ính</w:t>
      </w:r>
      <w:r>
        <w:rPr>
          <w:sz w:val="26"/>
          <w:szCs w:val="26"/>
          <w:lang w:val="nl-NL"/>
        </w:rPr>
        <w:t xml:space="preserve"> n</w:t>
      </w:r>
      <w:r w:rsidRPr="001C231C">
        <w:rPr>
          <w:sz w:val="26"/>
          <w:szCs w:val="26"/>
          <w:lang w:val="nl-NL"/>
        </w:rPr>
        <w:t>ă</w:t>
      </w:r>
      <w:r>
        <w:rPr>
          <w:sz w:val="26"/>
          <w:szCs w:val="26"/>
          <w:lang w:val="nl-NL"/>
        </w:rPr>
        <w:t>m 2014 nh</w:t>
      </w:r>
      <w:r w:rsidRPr="001C231C">
        <w:rPr>
          <w:sz w:val="26"/>
          <w:szCs w:val="26"/>
          <w:lang w:val="nl-NL"/>
        </w:rPr>
        <w:t>ư</w:t>
      </w:r>
      <w:r w:rsidRPr="00267CA6">
        <w:rPr>
          <w:sz w:val="26"/>
          <w:szCs w:val="26"/>
          <w:lang w:val="nl-NL"/>
        </w:rPr>
        <w:t xml:space="preserve"> sau:</w:t>
      </w:r>
    </w:p>
    <w:p w:rsidR="00A0763F" w:rsidRDefault="00A0763F" w:rsidP="00A0763F">
      <w:pPr>
        <w:pStyle w:val="BodyText2"/>
        <w:spacing w:after="0" w:line="312" w:lineRule="auto"/>
        <w:ind w:left="0" w:firstLine="720"/>
        <w:rPr>
          <w:rFonts w:ascii="Times New Roman" w:eastAsia="Times New Roman" w:hAnsi="Times New Roman"/>
          <w:i/>
          <w:sz w:val="26"/>
          <w:szCs w:val="26"/>
          <w:lang w:val="nl-NL"/>
        </w:rPr>
      </w:pPr>
      <w:r>
        <w:rPr>
          <w:rFonts w:ascii="Times New Roman" w:eastAsia="Times New Roman" w:hAnsi="Times New Roman"/>
          <w:i/>
          <w:sz w:val="26"/>
          <w:szCs w:val="26"/>
          <w:lang w:val="nl-NL"/>
        </w:rPr>
        <w:t>C</w:t>
      </w:r>
      <w:r w:rsidRPr="001C231C">
        <w:rPr>
          <w:rFonts w:ascii="Times New Roman" w:eastAsia="Times New Roman" w:hAnsi="Times New Roman"/>
          <w:i/>
          <w:sz w:val="26"/>
          <w:szCs w:val="26"/>
          <w:lang w:val="nl-NL"/>
        </w:rPr>
        <w:t>hỉ tiêu được điều chỉnh hồi tố: Trong năm 2014 Công ty phát hành cổ phiếu thưởng từ nguồn thặng dư vốn cổ phần và quỹ đầu tư phát triền. Theo quy định của Chuẩn mực kế toán Việt Nam số 30 “Lãi cơ bản trên cổ phiếu”, số cổ phiếu lưu hành bình quân trong năm đã được điều chỉnh hồi tố cho kỳ so sánh năm 2013 như sau:</w:t>
      </w:r>
    </w:p>
    <w:tbl>
      <w:tblPr>
        <w:tblW w:w="9692" w:type="dxa"/>
        <w:tblLook w:val="01E0"/>
      </w:tblPr>
      <w:tblGrid>
        <w:gridCol w:w="3348"/>
        <w:gridCol w:w="1064"/>
        <w:gridCol w:w="242"/>
        <w:gridCol w:w="2351"/>
        <w:gridCol w:w="237"/>
        <w:gridCol w:w="2450"/>
      </w:tblGrid>
      <w:tr w:rsidR="00A0763F" w:rsidRPr="00946C10" w:rsidTr="00946C10">
        <w:tc>
          <w:tcPr>
            <w:tcW w:w="3348" w:type="dxa"/>
            <w:vAlign w:val="center"/>
          </w:tcPr>
          <w:p w:rsidR="00A0763F" w:rsidRPr="00946C10" w:rsidRDefault="00A0763F" w:rsidP="00946C10">
            <w:pPr>
              <w:pStyle w:val="BodyText2"/>
              <w:spacing w:after="0" w:line="312" w:lineRule="auto"/>
              <w:ind w:left="0"/>
              <w:jc w:val="center"/>
              <w:rPr>
                <w:rFonts w:ascii="Times New Roman" w:eastAsia="Times New Roman" w:hAnsi="Times New Roman"/>
                <w:i/>
                <w:sz w:val="26"/>
                <w:szCs w:val="26"/>
                <w:lang w:val="nl-NL"/>
              </w:rPr>
            </w:pPr>
          </w:p>
        </w:tc>
        <w:tc>
          <w:tcPr>
            <w:tcW w:w="1064" w:type="dxa"/>
            <w:tcBorders>
              <w:bottom w:val="single" w:sz="4" w:space="0" w:color="auto"/>
            </w:tcBorders>
            <w:vAlign w:val="center"/>
          </w:tcPr>
          <w:p w:rsidR="00A0763F" w:rsidRPr="00946C10" w:rsidRDefault="00A0763F" w:rsidP="00946C10">
            <w:pPr>
              <w:pStyle w:val="BodyText2"/>
              <w:spacing w:after="0" w:line="312" w:lineRule="auto"/>
              <w:ind w:left="0"/>
              <w:jc w:val="center"/>
              <w:rPr>
                <w:rFonts w:ascii="Times New Roman" w:eastAsia="Times New Roman" w:hAnsi="Times New Roman"/>
                <w:i/>
                <w:sz w:val="26"/>
                <w:szCs w:val="26"/>
                <w:lang w:val="nl-NL"/>
              </w:rPr>
            </w:pPr>
            <w:r w:rsidRPr="00946C10">
              <w:rPr>
                <w:rFonts w:ascii="Times New Roman" w:eastAsia="Times New Roman" w:hAnsi="Times New Roman"/>
                <w:i/>
                <w:sz w:val="26"/>
                <w:szCs w:val="26"/>
                <w:lang w:val="nl-NL"/>
              </w:rPr>
              <w:t>Mã số</w:t>
            </w:r>
          </w:p>
        </w:tc>
        <w:tc>
          <w:tcPr>
            <w:tcW w:w="242" w:type="dxa"/>
            <w:vAlign w:val="center"/>
          </w:tcPr>
          <w:p w:rsidR="00A0763F" w:rsidRPr="00946C10" w:rsidRDefault="00A0763F" w:rsidP="00946C10">
            <w:pPr>
              <w:pStyle w:val="BodyText2"/>
              <w:spacing w:after="0" w:line="312" w:lineRule="auto"/>
              <w:ind w:left="0"/>
              <w:jc w:val="center"/>
              <w:rPr>
                <w:rFonts w:ascii="Times New Roman" w:eastAsia="Times New Roman" w:hAnsi="Times New Roman"/>
                <w:i/>
                <w:sz w:val="26"/>
                <w:szCs w:val="26"/>
                <w:lang w:val="nl-NL"/>
              </w:rPr>
            </w:pPr>
          </w:p>
        </w:tc>
        <w:tc>
          <w:tcPr>
            <w:tcW w:w="2351" w:type="dxa"/>
            <w:tcBorders>
              <w:bottom w:val="single" w:sz="4" w:space="0" w:color="auto"/>
            </w:tcBorders>
            <w:vAlign w:val="center"/>
          </w:tcPr>
          <w:p w:rsidR="00A0763F" w:rsidRPr="00946C10" w:rsidRDefault="00A0763F" w:rsidP="00946C10">
            <w:pPr>
              <w:pStyle w:val="BodyText2"/>
              <w:spacing w:after="0" w:line="312" w:lineRule="auto"/>
              <w:ind w:left="0"/>
              <w:jc w:val="center"/>
              <w:rPr>
                <w:rFonts w:ascii="Times New Roman" w:eastAsia="Times New Roman" w:hAnsi="Times New Roman"/>
                <w:i/>
                <w:sz w:val="26"/>
                <w:szCs w:val="26"/>
                <w:lang w:val="nl-NL"/>
              </w:rPr>
            </w:pPr>
            <w:r w:rsidRPr="00946C10">
              <w:rPr>
                <w:rFonts w:ascii="Times New Roman" w:eastAsia="Times New Roman" w:hAnsi="Times New Roman"/>
                <w:i/>
                <w:sz w:val="26"/>
                <w:szCs w:val="26"/>
                <w:lang w:val="nl-NL"/>
              </w:rPr>
              <w:t>Phân loại lại</w:t>
            </w:r>
          </w:p>
        </w:tc>
        <w:tc>
          <w:tcPr>
            <w:tcW w:w="237" w:type="dxa"/>
            <w:vAlign w:val="center"/>
          </w:tcPr>
          <w:p w:rsidR="00A0763F" w:rsidRPr="00946C10" w:rsidRDefault="00A0763F" w:rsidP="00946C10">
            <w:pPr>
              <w:pStyle w:val="BodyText2"/>
              <w:spacing w:after="0" w:line="312" w:lineRule="auto"/>
              <w:ind w:left="0"/>
              <w:jc w:val="center"/>
              <w:rPr>
                <w:rFonts w:ascii="Times New Roman" w:eastAsia="Times New Roman" w:hAnsi="Times New Roman"/>
                <w:i/>
                <w:sz w:val="26"/>
                <w:szCs w:val="26"/>
                <w:lang w:val="nl-NL"/>
              </w:rPr>
            </w:pPr>
          </w:p>
        </w:tc>
        <w:tc>
          <w:tcPr>
            <w:tcW w:w="2450" w:type="dxa"/>
            <w:tcBorders>
              <w:bottom w:val="single" w:sz="4" w:space="0" w:color="auto"/>
            </w:tcBorders>
            <w:vAlign w:val="center"/>
          </w:tcPr>
          <w:p w:rsidR="00A0763F" w:rsidRPr="00946C10" w:rsidRDefault="00A0763F" w:rsidP="00946C10">
            <w:pPr>
              <w:pStyle w:val="BodyText2"/>
              <w:spacing w:after="0" w:line="312" w:lineRule="auto"/>
              <w:ind w:left="0"/>
              <w:jc w:val="center"/>
              <w:rPr>
                <w:rFonts w:ascii="Times New Roman" w:eastAsia="Times New Roman" w:hAnsi="Times New Roman"/>
                <w:i/>
                <w:sz w:val="26"/>
                <w:szCs w:val="26"/>
                <w:lang w:val="nl-NL"/>
              </w:rPr>
            </w:pPr>
            <w:r w:rsidRPr="00946C10">
              <w:rPr>
                <w:rFonts w:ascii="Times New Roman" w:eastAsia="Times New Roman" w:hAnsi="Times New Roman"/>
                <w:i/>
                <w:sz w:val="26"/>
                <w:szCs w:val="26"/>
                <w:lang w:val="nl-NL"/>
              </w:rPr>
              <w:t>Đã trình bày trên báo cáo năm trước</w:t>
            </w:r>
          </w:p>
        </w:tc>
      </w:tr>
      <w:tr w:rsidR="00A0763F" w:rsidRPr="00946C10" w:rsidTr="00946C10">
        <w:tc>
          <w:tcPr>
            <w:tcW w:w="3348" w:type="dxa"/>
          </w:tcPr>
          <w:p w:rsidR="00A0763F" w:rsidRPr="00946C10" w:rsidRDefault="00A0763F" w:rsidP="00946C10">
            <w:pPr>
              <w:pStyle w:val="BodyText2"/>
              <w:spacing w:after="0" w:line="312" w:lineRule="auto"/>
              <w:ind w:left="0"/>
              <w:rPr>
                <w:rFonts w:ascii="Times New Roman" w:eastAsia="Times New Roman" w:hAnsi="Times New Roman"/>
                <w:b/>
                <w:i/>
                <w:sz w:val="26"/>
                <w:szCs w:val="26"/>
                <w:lang w:val="nl-NL"/>
              </w:rPr>
            </w:pPr>
            <w:r w:rsidRPr="00946C10">
              <w:rPr>
                <w:rFonts w:ascii="Times New Roman" w:eastAsia="Times New Roman" w:hAnsi="Times New Roman"/>
                <w:b/>
                <w:i/>
                <w:sz w:val="26"/>
                <w:szCs w:val="26"/>
                <w:lang w:val="nl-NL"/>
              </w:rPr>
              <w:t>Báo cáo kết quả kinh doanh</w:t>
            </w:r>
          </w:p>
        </w:tc>
        <w:tc>
          <w:tcPr>
            <w:tcW w:w="1064" w:type="dxa"/>
            <w:tcBorders>
              <w:top w:val="single" w:sz="4" w:space="0" w:color="auto"/>
            </w:tcBorders>
          </w:tcPr>
          <w:p w:rsidR="00A0763F" w:rsidRPr="00946C10" w:rsidRDefault="00A0763F" w:rsidP="00946C10">
            <w:pPr>
              <w:pStyle w:val="BodyText2"/>
              <w:spacing w:after="0" w:line="312" w:lineRule="auto"/>
              <w:ind w:left="0"/>
              <w:rPr>
                <w:rFonts w:ascii="Times New Roman" w:eastAsia="Times New Roman" w:hAnsi="Times New Roman"/>
                <w:b/>
                <w:i/>
                <w:sz w:val="26"/>
                <w:szCs w:val="26"/>
                <w:lang w:val="nl-NL"/>
              </w:rPr>
            </w:pPr>
          </w:p>
        </w:tc>
        <w:tc>
          <w:tcPr>
            <w:tcW w:w="242" w:type="dxa"/>
          </w:tcPr>
          <w:p w:rsidR="00A0763F" w:rsidRPr="00946C10" w:rsidRDefault="00A0763F" w:rsidP="00946C10">
            <w:pPr>
              <w:pStyle w:val="BodyText2"/>
              <w:spacing w:after="0" w:line="312" w:lineRule="auto"/>
              <w:ind w:left="0"/>
              <w:rPr>
                <w:rFonts w:ascii="Times New Roman" w:eastAsia="Times New Roman" w:hAnsi="Times New Roman"/>
                <w:b/>
                <w:i/>
                <w:sz w:val="26"/>
                <w:szCs w:val="26"/>
                <w:lang w:val="nl-NL"/>
              </w:rPr>
            </w:pPr>
          </w:p>
        </w:tc>
        <w:tc>
          <w:tcPr>
            <w:tcW w:w="2351" w:type="dxa"/>
            <w:tcBorders>
              <w:top w:val="single" w:sz="4" w:space="0" w:color="auto"/>
            </w:tcBorders>
          </w:tcPr>
          <w:p w:rsidR="00A0763F" w:rsidRPr="00946C10" w:rsidRDefault="00A0763F" w:rsidP="00946C10">
            <w:pPr>
              <w:pStyle w:val="BodyText2"/>
              <w:spacing w:after="0" w:line="312" w:lineRule="auto"/>
              <w:ind w:left="0"/>
              <w:rPr>
                <w:rFonts w:ascii="Times New Roman" w:eastAsia="Times New Roman" w:hAnsi="Times New Roman"/>
                <w:b/>
                <w:i/>
                <w:sz w:val="26"/>
                <w:szCs w:val="26"/>
                <w:lang w:val="nl-NL"/>
              </w:rPr>
            </w:pPr>
          </w:p>
        </w:tc>
        <w:tc>
          <w:tcPr>
            <w:tcW w:w="237" w:type="dxa"/>
          </w:tcPr>
          <w:p w:rsidR="00A0763F" w:rsidRPr="00946C10" w:rsidRDefault="00A0763F" w:rsidP="00946C10">
            <w:pPr>
              <w:pStyle w:val="BodyText2"/>
              <w:spacing w:after="0" w:line="312" w:lineRule="auto"/>
              <w:ind w:left="0"/>
              <w:rPr>
                <w:rFonts w:ascii="Times New Roman" w:eastAsia="Times New Roman" w:hAnsi="Times New Roman"/>
                <w:b/>
                <w:i/>
                <w:sz w:val="26"/>
                <w:szCs w:val="26"/>
                <w:lang w:val="nl-NL"/>
              </w:rPr>
            </w:pPr>
          </w:p>
        </w:tc>
        <w:tc>
          <w:tcPr>
            <w:tcW w:w="2450" w:type="dxa"/>
            <w:tcBorders>
              <w:top w:val="single" w:sz="4" w:space="0" w:color="auto"/>
            </w:tcBorders>
          </w:tcPr>
          <w:p w:rsidR="00A0763F" w:rsidRPr="00946C10" w:rsidRDefault="00A0763F" w:rsidP="00946C10">
            <w:pPr>
              <w:pStyle w:val="BodyText2"/>
              <w:spacing w:after="0" w:line="312" w:lineRule="auto"/>
              <w:ind w:left="0"/>
              <w:rPr>
                <w:rFonts w:ascii="Times New Roman" w:eastAsia="Times New Roman" w:hAnsi="Times New Roman"/>
                <w:b/>
                <w:i/>
                <w:sz w:val="26"/>
                <w:szCs w:val="26"/>
                <w:lang w:val="nl-NL"/>
              </w:rPr>
            </w:pPr>
          </w:p>
        </w:tc>
      </w:tr>
      <w:tr w:rsidR="00A0763F" w:rsidRPr="00946C10" w:rsidTr="00946C10">
        <w:tc>
          <w:tcPr>
            <w:tcW w:w="3348" w:type="dxa"/>
          </w:tcPr>
          <w:p w:rsidR="00A0763F" w:rsidRPr="00946C10" w:rsidRDefault="00A0763F" w:rsidP="00946C10">
            <w:pPr>
              <w:pStyle w:val="BodyText2"/>
              <w:spacing w:after="0" w:line="312" w:lineRule="auto"/>
              <w:ind w:left="0"/>
              <w:rPr>
                <w:rFonts w:ascii="Times New Roman" w:eastAsia="Times New Roman" w:hAnsi="Times New Roman"/>
                <w:i/>
                <w:sz w:val="26"/>
                <w:szCs w:val="26"/>
                <w:lang w:val="nl-NL"/>
              </w:rPr>
            </w:pPr>
            <w:r w:rsidRPr="00946C10">
              <w:rPr>
                <w:rFonts w:ascii="Times New Roman" w:eastAsia="Times New Roman" w:hAnsi="Times New Roman"/>
                <w:i/>
                <w:sz w:val="26"/>
                <w:szCs w:val="26"/>
                <w:lang w:val="nl-NL"/>
              </w:rPr>
              <w:t xml:space="preserve"> - Lãi cơ bản trên cổ phiếu</w:t>
            </w:r>
          </w:p>
        </w:tc>
        <w:tc>
          <w:tcPr>
            <w:tcW w:w="1064" w:type="dxa"/>
          </w:tcPr>
          <w:p w:rsidR="00A0763F" w:rsidRPr="00946C10" w:rsidRDefault="00A0763F" w:rsidP="00946C10">
            <w:pPr>
              <w:pStyle w:val="BodyText2"/>
              <w:spacing w:after="0" w:line="312" w:lineRule="auto"/>
              <w:ind w:left="0"/>
              <w:jc w:val="center"/>
              <w:rPr>
                <w:rFonts w:ascii="Times New Roman" w:eastAsia="Times New Roman" w:hAnsi="Times New Roman"/>
                <w:i/>
                <w:sz w:val="26"/>
                <w:szCs w:val="26"/>
                <w:lang w:val="nl-NL"/>
              </w:rPr>
            </w:pPr>
            <w:r w:rsidRPr="00946C10">
              <w:rPr>
                <w:rFonts w:ascii="Times New Roman" w:eastAsia="Times New Roman" w:hAnsi="Times New Roman"/>
                <w:i/>
                <w:sz w:val="26"/>
                <w:szCs w:val="26"/>
                <w:lang w:val="nl-NL"/>
              </w:rPr>
              <w:t>70</w:t>
            </w:r>
          </w:p>
        </w:tc>
        <w:tc>
          <w:tcPr>
            <w:tcW w:w="242" w:type="dxa"/>
          </w:tcPr>
          <w:p w:rsidR="00A0763F" w:rsidRPr="00946C10" w:rsidRDefault="00A0763F" w:rsidP="00946C10">
            <w:pPr>
              <w:pStyle w:val="BodyText2"/>
              <w:spacing w:after="0" w:line="312" w:lineRule="auto"/>
              <w:ind w:left="0"/>
              <w:jc w:val="right"/>
              <w:rPr>
                <w:rFonts w:ascii="Times New Roman" w:eastAsia="Times New Roman" w:hAnsi="Times New Roman"/>
                <w:i/>
                <w:sz w:val="26"/>
                <w:szCs w:val="26"/>
                <w:lang w:val="nl-NL"/>
              </w:rPr>
            </w:pPr>
          </w:p>
        </w:tc>
        <w:tc>
          <w:tcPr>
            <w:tcW w:w="2351" w:type="dxa"/>
          </w:tcPr>
          <w:p w:rsidR="00A0763F" w:rsidRPr="00946C10" w:rsidRDefault="00A0763F" w:rsidP="00946C10">
            <w:pPr>
              <w:pStyle w:val="BodyText2"/>
              <w:spacing w:after="0" w:line="312" w:lineRule="auto"/>
              <w:ind w:left="0"/>
              <w:jc w:val="right"/>
              <w:rPr>
                <w:rFonts w:ascii="Times New Roman" w:eastAsia="Times New Roman" w:hAnsi="Times New Roman"/>
                <w:i/>
                <w:sz w:val="26"/>
                <w:szCs w:val="26"/>
                <w:lang w:val="nl-NL"/>
              </w:rPr>
            </w:pPr>
            <w:r w:rsidRPr="00946C10">
              <w:rPr>
                <w:rFonts w:ascii="Times New Roman" w:eastAsia="Times New Roman" w:hAnsi="Times New Roman"/>
                <w:i/>
                <w:sz w:val="26"/>
                <w:szCs w:val="26"/>
                <w:lang w:val="nl-NL"/>
              </w:rPr>
              <w:t>387</w:t>
            </w:r>
          </w:p>
        </w:tc>
        <w:tc>
          <w:tcPr>
            <w:tcW w:w="237" w:type="dxa"/>
          </w:tcPr>
          <w:p w:rsidR="00A0763F" w:rsidRPr="00946C10" w:rsidRDefault="00A0763F" w:rsidP="00946C10">
            <w:pPr>
              <w:pStyle w:val="BodyText2"/>
              <w:spacing w:after="0" w:line="312" w:lineRule="auto"/>
              <w:ind w:left="0"/>
              <w:jc w:val="right"/>
              <w:rPr>
                <w:rFonts w:ascii="Times New Roman" w:eastAsia="Times New Roman" w:hAnsi="Times New Roman"/>
                <w:i/>
                <w:sz w:val="26"/>
                <w:szCs w:val="26"/>
                <w:lang w:val="nl-NL"/>
              </w:rPr>
            </w:pPr>
          </w:p>
        </w:tc>
        <w:tc>
          <w:tcPr>
            <w:tcW w:w="2450" w:type="dxa"/>
          </w:tcPr>
          <w:p w:rsidR="00A0763F" w:rsidRPr="00946C10" w:rsidRDefault="00A0763F" w:rsidP="00946C10">
            <w:pPr>
              <w:pStyle w:val="BodyText2"/>
              <w:spacing w:after="0" w:line="312" w:lineRule="auto"/>
              <w:ind w:left="0"/>
              <w:jc w:val="right"/>
              <w:rPr>
                <w:rFonts w:ascii="Times New Roman" w:eastAsia="Times New Roman" w:hAnsi="Times New Roman"/>
                <w:i/>
                <w:sz w:val="26"/>
                <w:szCs w:val="26"/>
                <w:lang w:val="nl-NL"/>
              </w:rPr>
            </w:pPr>
            <w:r w:rsidRPr="00946C10">
              <w:rPr>
                <w:rFonts w:ascii="Times New Roman" w:eastAsia="Times New Roman" w:hAnsi="Times New Roman"/>
                <w:i/>
                <w:sz w:val="26"/>
                <w:szCs w:val="26"/>
                <w:lang w:val="nl-NL"/>
              </w:rPr>
              <w:t>774</w:t>
            </w:r>
          </w:p>
        </w:tc>
      </w:tr>
    </w:tbl>
    <w:p w:rsidR="00A0763F" w:rsidRDefault="00A95DE1" w:rsidP="00A0763F">
      <w:pPr>
        <w:spacing w:before="120" w:line="312" w:lineRule="auto"/>
        <w:jc w:val="both"/>
        <w:rPr>
          <w:sz w:val="26"/>
          <w:szCs w:val="26"/>
        </w:rPr>
      </w:pPr>
      <w:r>
        <w:rPr>
          <w:sz w:val="26"/>
          <w:szCs w:val="26"/>
        </w:rPr>
        <w:tab/>
      </w:r>
      <w:r w:rsidR="00A0763F">
        <w:rPr>
          <w:sz w:val="26"/>
          <w:szCs w:val="26"/>
        </w:rPr>
        <w:t xml:space="preserve">Theo quy </w:t>
      </w:r>
      <w:r w:rsidR="00A0763F" w:rsidRPr="004D4C4D">
        <w:rPr>
          <w:sz w:val="26"/>
          <w:szCs w:val="26"/>
        </w:rPr>
        <w:t>định</w:t>
      </w:r>
      <w:r w:rsidR="00A0763F">
        <w:rPr>
          <w:sz w:val="26"/>
          <w:szCs w:val="26"/>
        </w:rPr>
        <w:t xml:space="preserve"> t</w:t>
      </w:r>
      <w:r w:rsidR="00A0763F" w:rsidRPr="004D4C4D">
        <w:rPr>
          <w:sz w:val="26"/>
          <w:szCs w:val="26"/>
        </w:rPr>
        <w:t>ại</w:t>
      </w:r>
      <w:r w:rsidR="00A0763F">
        <w:rPr>
          <w:sz w:val="26"/>
          <w:szCs w:val="26"/>
        </w:rPr>
        <w:t xml:space="preserve"> chu</w:t>
      </w:r>
      <w:r w:rsidR="00A0763F" w:rsidRPr="004D4C4D">
        <w:rPr>
          <w:sz w:val="26"/>
          <w:szCs w:val="26"/>
        </w:rPr>
        <w:t>ẩn</w:t>
      </w:r>
      <w:r w:rsidR="00A0763F">
        <w:rPr>
          <w:sz w:val="26"/>
          <w:szCs w:val="26"/>
        </w:rPr>
        <w:t xml:space="preserve"> m</w:t>
      </w:r>
      <w:r w:rsidR="00A0763F" w:rsidRPr="004D4C4D">
        <w:rPr>
          <w:sz w:val="26"/>
          <w:szCs w:val="26"/>
        </w:rPr>
        <w:t>ực</w:t>
      </w:r>
      <w:r w:rsidR="00A0763F">
        <w:rPr>
          <w:sz w:val="26"/>
          <w:szCs w:val="26"/>
        </w:rPr>
        <w:t xml:space="preserve"> k</w:t>
      </w:r>
      <w:r w:rsidR="00A0763F" w:rsidRPr="004D4C4D">
        <w:rPr>
          <w:sz w:val="26"/>
          <w:szCs w:val="26"/>
        </w:rPr>
        <w:t>ế</w:t>
      </w:r>
      <w:r w:rsidR="00A0763F">
        <w:rPr>
          <w:sz w:val="26"/>
          <w:szCs w:val="26"/>
        </w:rPr>
        <w:t xml:space="preserve"> to</w:t>
      </w:r>
      <w:r w:rsidR="00A0763F" w:rsidRPr="004D4C4D">
        <w:rPr>
          <w:sz w:val="26"/>
          <w:szCs w:val="26"/>
        </w:rPr>
        <w:t>án</w:t>
      </w:r>
      <w:r w:rsidR="00A0763F">
        <w:rPr>
          <w:sz w:val="26"/>
          <w:szCs w:val="26"/>
        </w:rPr>
        <w:t xml:space="preserve"> s</w:t>
      </w:r>
      <w:r w:rsidR="00A0763F" w:rsidRPr="004D4C4D">
        <w:rPr>
          <w:sz w:val="26"/>
          <w:szCs w:val="26"/>
        </w:rPr>
        <w:t>ố</w:t>
      </w:r>
      <w:r w:rsidR="00A0763F">
        <w:rPr>
          <w:sz w:val="26"/>
          <w:szCs w:val="26"/>
        </w:rPr>
        <w:t xml:space="preserve"> 30 v</w:t>
      </w:r>
      <w:r w:rsidR="00A0763F" w:rsidRPr="004D4C4D">
        <w:rPr>
          <w:sz w:val="26"/>
          <w:szCs w:val="26"/>
        </w:rPr>
        <w:t>ề</w:t>
      </w:r>
      <w:r w:rsidR="00A0763F">
        <w:rPr>
          <w:sz w:val="26"/>
          <w:szCs w:val="26"/>
        </w:rPr>
        <w:t xml:space="preserve"> vi</w:t>
      </w:r>
      <w:r w:rsidR="00A0763F" w:rsidRPr="004D4C4D">
        <w:rPr>
          <w:sz w:val="26"/>
          <w:szCs w:val="26"/>
        </w:rPr>
        <w:t>ệc</w:t>
      </w:r>
      <w:r w:rsidR="00A0763F">
        <w:rPr>
          <w:sz w:val="26"/>
          <w:szCs w:val="26"/>
        </w:rPr>
        <w:t xml:space="preserve"> t</w:t>
      </w:r>
      <w:r w:rsidR="00A0763F" w:rsidRPr="004D4C4D">
        <w:rPr>
          <w:sz w:val="26"/>
          <w:szCs w:val="26"/>
        </w:rPr>
        <w:t>ính</w:t>
      </w:r>
      <w:r w:rsidR="00A0763F">
        <w:rPr>
          <w:sz w:val="26"/>
          <w:szCs w:val="26"/>
        </w:rPr>
        <w:t xml:space="preserve"> l</w:t>
      </w:r>
      <w:r w:rsidR="00A0763F" w:rsidRPr="004D4C4D">
        <w:rPr>
          <w:sz w:val="26"/>
          <w:szCs w:val="26"/>
        </w:rPr>
        <w:t>ãi</w:t>
      </w:r>
      <w:r w:rsidR="00A0763F">
        <w:rPr>
          <w:sz w:val="26"/>
          <w:szCs w:val="26"/>
        </w:rPr>
        <w:t xml:space="preserve"> c</w:t>
      </w:r>
      <w:r w:rsidR="00A0763F" w:rsidRPr="004D4C4D">
        <w:rPr>
          <w:sz w:val="26"/>
          <w:szCs w:val="26"/>
        </w:rPr>
        <w:t>ơ</w:t>
      </w:r>
      <w:r w:rsidR="00A0763F">
        <w:rPr>
          <w:sz w:val="26"/>
          <w:szCs w:val="26"/>
        </w:rPr>
        <w:t xml:space="preserve"> b</w:t>
      </w:r>
      <w:r w:rsidR="00A0763F" w:rsidRPr="004D4C4D">
        <w:rPr>
          <w:sz w:val="26"/>
          <w:szCs w:val="26"/>
        </w:rPr>
        <w:t>ản</w:t>
      </w:r>
      <w:r w:rsidR="00A0763F">
        <w:rPr>
          <w:sz w:val="26"/>
          <w:szCs w:val="26"/>
        </w:rPr>
        <w:t xml:space="preserve"> tr</w:t>
      </w:r>
      <w:r w:rsidR="00A0763F" w:rsidRPr="004D4C4D">
        <w:rPr>
          <w:sz w:val="26"/>
          <w:szCs w:val="26"/>
        </w:rPr>
        <w:t>ê</w:t>
      </w:r>
      <w:r w:rsidR="00A0763F">
        <w:rPr>
          <w:sz w:val="26"/>
          <w:szCs w:val="26"/>
        </w:rPr>
        <w:t>n c</w:t>
      </w:r>
      <w:r w:rsidR="00A0763F" w:rsidRPr="004D4C4D">
        <w:rPr>
          <w:sz w:val="26"/>
          <w:szCs w:val="26"/>
        </w:rPr>
        <w:t>ổ</w:t>
      </w:r>
      <w:r w:rsidR="00A0763F">
        <w:rPr>
          <w:sz w:val="26"/>
          <w:szCs w:val="26"/>
        </w:rPr>
        <w:t xml:space="preserve"> phi</w:t>
      </w:r>
      <w:r w:rsidR="00A0763F" w:rsidRPr="004D4C4D">
        <w:rPr>
          <w:sz w:val="26"/>
          <w:szCs w:val="26"/>
        </w:rPr>
        <w:t>ếu</w:t>
      </w:r>
      <w:r w:rsidR="00A0763F">
        <w:rPr>
          <w:sz w:val="26"/>
          <w:szCs w:val="26"/>
        </w:rPr>
        <w:t>:</w:t>
      </w:r>
      <w:r w:rsidR="00A0763F">
        <w:rPr>
          <w:sz w:val="26"/>
          <w:szCs w:val="26"/>
        </w:rPr>
        <w:tab/>
      </w:r>
    </w:p>
    <w:p w:rsidR="00A0763F" w:rsidRPr="004C7955" w:rsidRDefault="00A0763F" w:rsidP="00A0763F">
      <w:pPr>
        <w:spacing w:before="120" w:line="312" w:lineRule="auto"/>
        <w:jc w:val="both"/>
        <w:rPr>
          <w:b/>
          <w:i/>
          <w:sz w:val="26"/>
          <w:szCs w:val="26"/>
        </w:rPr>
      </w:pPr>
      <w:r w:rsidRPr="004C7955">
        <w:rPr>
          <w:b/>
          <w:i/>
          <w:sz w:val="26"/>
          <w:szCs w:val="26"/>
        </w:rPr>
        <w:t>Điều chỉnh hồi tố</w:t>
      </w:r>
    </w:p>
    <w:p w:rsidR="00A0763F" w:rsidRDefault="00A0763F" w:rsidP="00B87B6A">
      <w:pPr>
        <w:spacing w:before="120" w:line="312" w:lineRule="auto"/>
        <w:ind w:firstLine="720"/>
        <w:jc w:val="both"/>
        <w:rPr>
          <w:sz w:val="26"/>
          <w:szCs w:val="26"/>
        </w:rPr>
      </w:pPr>
      <w:r w:rsidRPr="004C7955">
        <w:rPr>
          <w:i/>
          <w:sz w:val="26"/>
          <w:szCs w:val="26"/>
        </w:rPr>
        <w:t>62. Lãi cơ bản trên cổ phiếu và lãi suy giảm trên cổ phiếu cho tất cả các kỳ báo cáo sẽ được điều chỉnh hồi tố nếu số lượng cổ phiếu phổ thông hặc cổ phiếu phổ thông tiềm năng đang lưu hành tăng lên do vốn hóa, phát hành cổ phiếu thưởng, tách cổ phiếu hặc giảm đi do gộp cổ phiếu. Nếu những thay đổi đó xảy ra sau ngày kết thúc kỳ kế toán năm nhưng trước ngày phát hành báo cáo tài chính, số liệu được tính trên mỗi cổ phiếu của kỳ báo cáo hiện tại và mỗi kỳ báo cáo trước đó trên báo cáo tài chính được tính lại dựa trên số lượng cổ phiếu mới. Doanh nghiệp phải trình bày kết quả tính trên mỗi cổ phiếu phản ánh sự thay đổi về số lượng cổ phiếu.</w:t>
      </w:r>
    </w:p>
    <w:p w:rsidR="00A0763F" w:rsidRPr="00346111" w:rsidRDefault="00A0763F" w:rsidP="00A0763F">
      <w:pPr>
        <w:spacing w:before="120" w:line="312" w:lineRule="auto"/>
        <w:jc w:val="both"/>
        <w:rPr>
          <w:sz w:val="26"/>
          <w:szCs w:val="26"/>
        </w:rPr>
      </w:pPr>
      <w:r>
        <w:rPr>
          <w:sz w:val="26"/>
          <w:szCs w:val="26"/>
        </w:rPr>
        <w:lastRenderedPageBreak/>
        <w:tab/>
        <w:t>Tr</w:t>
      </w:r>
      <w:r w:rsidRPr="00545435">
        <w:rPr>
          <w:sz w:val="26"/>
          <w:szCs w:val="26"/>
        </w:rPr>
        <w:t>ê</w:t>
      </w:r>
      <w:r>
        <w:rPr>
          <w:sz w:val="26"/>
          <w:szCs w:val="26"/>
        </w:rPr>
        <w:t>n c</w:t>
      </w:r>
      <w:r w:rsidRPr="00545435">
        <w:rPr>
          <w:sz w:val="26"/>
          <w:szCs w:val="26"/>
        </w:rPr>
        <w:t>ơ</w:t>
      </w:r>
      <w:r>
        <w:rPr>
          <w:sz w:val="26"/>
          <w:szCs w:val="26"/>
        </w:rPr>
        <w:t xml:space="preserve"> s</w:t>
      </w:r>
      <w:r w:rsidRPr="00545435">
        <w:rPr>
          <w:sz w:val="26"/>
          <w:szCs w:val="26"/>
        </w:rPr>
        <w:t>ở</w:t>
      </w:r>
      <w:r>
        <w:rPr>
          <w:sz w:val="26"/>
          <w:szCs w:val="26"/>
        </w:rPr>
        <w:t xml:space="preserve"> nh</w:t>
      </w:r>
      <w:r w:rsidRPr="00545435">
        <w:rPr>
          <w:sz w:val="26"/>
          <w:szCs w:val="26"/>
        </w:rPr>
        <w:t>ững</w:t>
      </w:r>
      <w:r>
        <w:rPr>
          <w:sz w:val="26"/>
          <w:szCs w:val="26"/>
        </w:rPr>
        <w:t xml:space="preserve"> quy </w:t>
      </w:r>
      <w:r w:rsidRPr="00545435">
        <w:rPr>
          <w:sz w:val="26"/>
          <w:szCs w:val="26"/>
        </w:rPr>
        <w:t>định</w:t>
      </w:r>
      <w:r>
        <w:rPr>
          <w:sz w:val="26"/>
          <w:szCs w:val="26"/>
        </w:rPr>
        <w:t xml:space="preserve"> n</w:t>
      </w:r>
      <w:r w:rsidRPr="00545435">
        <w:rPr>
          <w:sz w:val="26"/>
          <w:szCs w:val="26"/>
        </w:rPr>
        <w:t>ê</w:t>
      </w:r>
      <w:r>
        <w:rPr>
          <w:sz w:val="26"/>
          <w:szCs w:val="26"/>
        </w:rPr>
        <w:t>u tr</w:t>
      </w:r>
      <w:r w:rsidRPr="00545435">
        <w:rPr>
          <w:sz w:val="26"/>
          <w:szCs w:val="26"/>
        </w:rPr>
        <w:t>ê</w:t>
      </w:r>
      <w:r w:rsidR="00CA58DA">
        <w:rPr>
          <w:sz w:val="26"/>
          <w:szCs w:val="26"/>
        </w:rPr>
        <w:t>n</w:t>
      </w:r>
      <w:r>
        <w:rPr>
          <w:sz w:val="26"/>
          <w:szCs w:val="26"/>
        </w:rPr>
        <w:t>, s</w:t>
      </w:r>
      <w:r w:rsidRPr="00545435">
        <w:rPr>
          <w:sz w:val="26"/>
          <w:szCs w:val="26"/>
        </w:rPr>
        <w:t>ố</w:t>
      </w:r>
      <w:r>
        <w:rPr>
          <w:sz w:val="26"/>
          <w:szCs w:val="26"/>
        </w:rPr>
        <w:t xml:space="preserve"> l</w:t>
      </w:r>
      <w:r w:rsidRPr="00545435">
        <w:rPr>
          <w:sz w:val="26"/>
          <w:szCs w:val="26"/>
        </w:rPr>
        <w:t>ượng</w:t>
      </w:r>
      <w:r>
        <w:rPr>
          <w:sz w:val="26"/>
          <w:szCs w:val="26"/>
        </w:rPr>
        <w:t xml:space="preserve"> c</w:t>
      </w:r>
      <w:r w:rsidRPr="00386E76">
        <w:rPr>
          <w:sz w:val="26"/>
          <w:szCs w:val="26"/>
        </w:rPr>
        <w:t>ổ</w:t>
      </w:r>
      <w:r>
        <w:rPr>
          <w:sz w:val="26"/>
          <w:szCs w:val="26"/>
        </w:rPr>
        <w:t xml:space="preserve"> phi</w:t>
      </w:r>
      <w:r w:rsidRPr="00386E76">
        <w:rPr>
          <w:sz w:val="26"/>
          <w:szCs w:val="26"/>
        </w:rPr>
        <w:t>ếu</w:t>
      </w:r>
      <w:r>
        <w:rPr>
          <w:sz w:val="26"/>
          <w:szCs w:val="26"/>
        </w:rPr>
        <w:t xml:space="preserve"> ph</w:t>
      </w:r>
      <w:r w:rsidRPr="00386E76">
        <w:rPr>
          <w:sz w:val="26"/>
          <w:szCs w:val="26"/>
        </w:rPr>
        <w:t>ổ</w:t>
      </w:r>
      <w:r>
        <w:rPr>
          <w:sz w:val="26"/>
          <w:szCs w:val="26"/>
        </w:rPr>
        <w:t xml:space="preserve"> th</w:t>
      </w:r>
      <w:r w:rsidRPr="00386E76">
        <w:rPr>
          <w:sz w:val="26"/>
          <w:szCs w:val="26"/>
        </w:rPr>
        <w:t>ô</w:t>
      </w:r>
      <w:r>
        <w:rPr>
          <w:sz w:val="26"/>
          <w:szCs w:val="26"/>
        </w:rPr>
        <w:t>ng l</w:t>
      </w:r>
      <w:r w:rsidRPr="00386E76">
        <w:rPr>
          <w:sz w:val="26"/>
          <w:szCs w:val="26"/>
        </w:rPr>
        <w:t>ư</w:t>
      </w:r>
      <w:r>
        <w:rPr>
          <w:sz w:val="26"/>
          <w:szCs w:val="26"/>
        </w:rPr>
        <w:t>u h</w:t>
      </w:r>
      <w:r w:rsidRPr="00386E76">
        <w:rPr>
          <w:sz w:val="26"/>
          <w:szCs w:val="26"/>
        </w:rPr>
        <w:t>ành</w:t>
      </w:r>
      <w:r>
        <w:rPr>
          <w:sz w:val="26"/>
          <w:szCs w:val="26"/>
        </w:rPr>
        <w:t xml:space="preserve"> </w:t>
      </w:r>
      <w:r w:rsidRPr="00386E76">
        <w:rPr>
          <w:sz w:val="26"/>
          <w:szCs w:val="26"/>
        </w:rPr>
        <w:t>đầu</w:t>
      </w:r>
      <w:r>
        <w:rPr>
          <w:sz w:val="26"/>
          <w:szCs w:val="26"/>
        </w:rPr>
        <w:t xml:space="preserve"> k</w:t>
      </w:r>
      <w:r w:rsidRPr="00386E76">
        <w:rPr>
          <w:sz w:val="26"/>
          <w:szCs w:val="26"/>
        </w:rPr>
        <w:t>ỳ</w:t>
      </w:r>
      <w:r>
        <w:rPr>
          <w:sz w:val="26"/>
          <w:szCs w:val="26"/>
        </w:rPr>
        <w:t xml:space="preserve"> </w:t>
      </w:r>
      <w:r w:rsidRPr="00386E76">
        <w:rPr>
          <w:sz w:val="26"/>
          <w:szCs w:val="26"/>
        </w:rPr>
        <w:t>được</w:t>
      </w:r>
      <w:r>
        <w:rPr>
          <w:sz w:val="26"/>
          <w:szCs w:val="26"/>
        </w:rPr>
        <w:t xml:space="preserve"> </w:t>
      </w:r>
      <w:r w:rsidRPr="00386E76">
        <w:rPr>
          <w:sz w:val="26"/>
          <w:szCs w:val="26"/>
        </w:rPr>
        <w:t>đ</w:t>
      </w:r>
      <w:r>
        <w:rPr>
          <w:sz w:val="26"/>
          <w:szCs w:val="26"/>
        </w:rPr>
        <w:t>i</w:t>
      </w:r>
      <w:r w:rsidRPr="00386E76">
        <w:rPr>
          <w:sz w:val="26"/>
          <w:szCs w:val="26"/>
        </w:rPr>
        <w:t>ều</w:t>
      </w:r>
      <w:r>
        <w:rPr>
          <w:sz w:val="26"/>
          <w:szCs w:val="26"/>
        </w:rPr>
        <w:t xml:space="preserve"> ch</w:t>
      </w:r>
      <w:r w:rsidRPr="00386E76">
        <w:rPr>
          <w:sz w:val="26"/>
          <w:szCs w:val="26"/>
        </w:rPr>
        <w:t>ỉnh</w:t>
      </w:r>
      <w:r>
        <w:rPr>
          <w:sz w:val="26"/>
          <w:szCs w:val="26"/>
        </w:rPr>
        <w:t xml:space="preserve"> h</w:t>
      </w:r>
      <w:r w:rsidRPr="00386E76">
        <w:rPr>
          <w:sz w:val="26"/>
          <w:szCs w:val="26"/>
        </w:rPr>
        <w:t>ồi</w:t>
      </w:r>
      <w:r>
        <w:rPr>
          <w:sz w:val="26"/>
          <w:szCs w:val="26"/>
        </w:rPr>
        <w:t xml:space="preserve"> t</w:t>
      </w:r>
      <w:r w:rsidRPr="00386E76">
        <w:rPr>
          <w:sz w:val="26"/>
          <w:szCs w:val="26"/>
        </w:rPr>
        <w:t>ố</w:t>
      </w:r>
      <w:r>
        <w:rPr>
          <w:sz w:val="26"/>
          <w:szCs w:val="26"/>
        </w:rPr>
        <w:t xml:space="preserve"> t</w:t>
      </w:r>
      <w:r w:rsidRPr="00386E76">
        <w:rPr>
          <w:sz w:val="26"/>
          <w:szCs w:val="26"/>
        </w:rPr>
        <w:t>ă</w:t>
      </w:r>
      <w:r>
        <w:rPr>
          <w:sz w:val="26"/>
          <w:szCs w:val="26"/>
        </w:rPr>
        <w:t>ng t</w:t>
      </w:r>
      <w:r w:rsidRPr="00386E76">
        <w:rPr>
          <w:sz w:val="26"/>
          <w:szCs w:val="26"/>
        </w:rPr>
        <w:t>ươ</w:t>
      </w:r>
      <w:r>
        <w:rPr>
          <w:sz w:val="26"/>
          <w:szCs w:val="26"/>
        </w:rPr>
        <w:t xml:space="preserve">ng </w:t>
      </w:r>
      <w:r w:rsidRPr="00386E76">
        <w:rPr>
          <w:sz w:val="26"/>
          <w:szCs w:val="26"/>
        </w:rPr>
        <w:t>ứng</w:t>
      </w:r>
      <w:r>
        <w:rPr>
          <w:sz w:val="26"/>
          <w:szCs w:val="26"/>
        </w:rPr>
        <w:t xml:space="preserve"> v</w:t>
      </w:r>
      <w:r w:rsidRPr="00386E76">
        <w:rPr>
          <w:sz w:val="26"/>
          <w:szCs w:val="26"/>
        </w:rPr>
        <w:t>ới</w:t>
      </w:r>
      <w:r>
        <w:rPr>
          <w:sz w:val="26"/>
          <w:szCs w:val="26"/>
        </w:rPr>
        <w:t xml:space="preserve"> s</w:t>
      </w:r>
      <w:r w:rsidRPr="00386E76">
        <w:rPr>
          <w:sz w:val="26"/>
          <w:szCs w:val="26"/>
        </w:rPr>
        <w:t>ố</w:t>
      </w:r>
      <w:r>
        <w:rPr>
          <w:sz w:val="26"/>
          <w:szCs w:val="26"/>
        </w:rPr>
        <w:t xml:space="preserve"> l</w:t>
      </w:r>
      <w:r w:rsidRPr="00386E76">
        <w:rPr>
          <w:sz w:val="26"/>
          <w:szCs w:val="26"/>
        </w:rPr>
        <w:t>ượng</w:t>
      </w:r>
      <w:r>
        <w:rPr>
          <w:sz w:val="26"/>
          <w:szCs w:val="26"/>
        </w:rPr>
        <w:t xml:space="preserve"> c</w:t>
      </w:r>
      <w:r w:rsidRPr="00386E76">
        <w:rPr>
          <w:sz w:val="26"/>
          <w:szCs w:val="26"/>
        </w:rPr>
        <w:t>ổ</w:t>
      </w:r>
      <w:r>
        <w:rPr>
          <w:sz w:val="26"/>
          <w:szCs w:val="26"/>
        </w:rPr>
        <w:t xml:space="preserve"> phi</w:t>
      </w:r>
      <w:r w:rsidRPr="00386E76">
        <w:rPr>
          <w:sz w:val="26"/>
          <w:szCs w:val="26"/>
        </w:rPr>
        <w:t>ếu</w:t>
      </w:r>
      <w:r>
        <w:rPr>
          <w:sz w:val="26"/>
          <w:szCs w:val="26"/>
        </w:rPr>
        <w:t xml:space="preserve"> t</w:t>
      </w:r>
      <w:r w:rsidRPr="00386E76">
        <w:rPr>
          <w:sz w:val="26"/>
          <w:szCs w:val="26"/>
        </w:rPr>
        <w:t>ă</w:t>
      </w:r>
      <w:r>
        <w:rPr>
          <w:sz w:val="26"/>
          <w:szCs w:val="26"/>
        </w:rPr>
        <w:t>ng do v</w:t>
      </w:r>
      <w:r w:rsidRPr="00386E76">
        <w:rPr>
          <w:sz w:val="26"/>
          <w:szCs w:val="26"/>
        </w:rPr>
        <w:t>ốn</w:t>
      </w:r>
      <w:r>
        <w:rPr>
          <w:sz w:val="26"/>
          <w:szCs w:val="26"/>
        </w:rPr>
        <w:t xml:space="preserve"> h</w:t>
      </w:r>
      <w:r w:rsidRPr="00386E76">
        <w:rPr>
          <w:sz w:val="26"/>
          <w:szCs w:val="26"/>
        </w:rPr>
        <w:t>óa</w:t>
      </w:r>
      <w:r w:rsidR="00346111">
        <w:rPr>
          <w:sz w:val="26"/>
          <w:szCs w:val="26"/>
        </w:rPr>
        <w:t>. Do v</w:t>
      </w:r>
      <w:r w:rsidR="00346111" w:rsidRPr="00346111">
        <w:rPr>
          <w:sz w:val="26"/>
          <w:szCs w:val="26"/>
        </w:rPr>
        <w:t>ậy</w:t>
      </w:r>
      <w:r w:rsidR="00346111">
        <w:rPr>
          <w:sz w:val="26"/>
          <w:szCs w:val="26"/>
        </w:rPr>
        <w:t>, l</w:t>
      </w:r>
      <w:r w:rsidR="00346111" w:rsidRPr="00346111">
        <w:rPr>
          <w:sz w:val="26"/>
          <w:szCs w:val="26"/>
        </w:rPr>
        <w:t>ãi</w:t>
      </w:r>
      <w:r w:rsidR="00346111">
        <w:rPr>
          <w:sz w:val="26"/>
          <w:szCs w:val="26"/>
        </w:rPr>
        <w:t xml:space="preserve"> c</w:t>
      </w:r>
      <w:r w:rsidR="00346111" w:rsidRPr="00346111">
        <w:rPr>
          <w:sz w:val="26"/>
          <w:szCs w:val="26"/>
        </w:rPr>
        <w:t>ơ</w:t>
      </w:r>
      <w:r w:rsidR="00346111">
        <w:rPr>
          <w:sz w:val="26"/>
          <w:szCs w:val="26"/>
        </w:rPr>
        <w:t xml:space="preserve"> b</w:t>
      </w:r>
      <w:r w:rsidR="00346111" w:rsidRPr="00346111">
        <w:rPr>
          <w:sz w:val="26"/>
          <w:szCs w:val="26"/>
        </w:rPr>
        <w:t>ản</w:t>
      </w:r>
      <w:r w:rsidR="00346111">
        <w:rPr>
          <w:sz w:val="26"/>
          <w:szCs w:val="26"/>
        </w:rPr>
        <w:t xml:space="preserve"> tr</w:t>
      </w:r>
      <w:r w:rsidR="00346111" w:rsidRPr="00346111">
        <w:rPr>
          <w:sz w:val="26"/>
          <w:szCs w:val="26"/>
        </w:rPr>
        <w:t>ê</w:t>
      </w:r>
      <w:r w:rsidR="00346111">
        <w:rPr>
          <w:sz w:val="26"/>
          <w:szCs w:val="26"/>
        </w:rPr>
        <w:t>n c</w:t>
      </w:r>
      <w:r w:rsidR="00346111" w:rsidRPr="00346111">
        <w:rPr>
          <w:sz w:val="26"/>
          <w:szCs w:val="26"/>
        </w:rPr>
        <w:t>ổ</w:t>
      </w:r>
      <w:r w:rsidR="00346111">
        <w:rPr>
          <w:sz w:val="26"/>
          <w:szCs w:val="26"/>
        </w:rPr>
        <w:t xml:space="preserve"> phi</w:t>
      </w:r>
      <w:r w:rsidR="00346111" w:rsidRPr="00346111">
        <w:rPr>
          <w:sz w:val="26"/>
          <w:szCs w:val="26"/>
        </w:rPr>
        <w:t>ếu</w:t>
      </w:r>
      <w:r w:rsidR="00346111">
        <w:rPr>
          <w:sz w:val="26"/>
          <w:szCs w:val="26"/>
        </w:rPr>
        <w:t xml:space="preserve"> n</w:t>
      </w:r>
      <w:r w:rsidR="00346111" w:rsidRPr="00346111">
        <w:rPr>
          <w:sz w:val="26"/>
          <w:szCs w:val="26"/>
        </w:rPr>
        <w:t>ă</w:t>
      </w:r>
      <w:r w:rsidR="00346111">
        <w:rPr>
          <w:sz w:val="26"/>
          <w:szCs w:val="26"/>
        </w:rPr>
        <w:t xml:space="preserve">m 2013 </w:t>
      </w:r>
      <w:r w:rsidR="00346111" w:rsidRPr="00346111">
        <w:rPr>
          <w:sz w:val="26"/>
          <w:szCs w:val="26"/>
        </w:rPr>
        <w:t>được</w:t>
      </w:r>
      <w:r w:rsidR="00346111">
        <w:rPr>
          <w:sz w:val="26"/>
          <w:szCs w:val="26"/>
        </w:rPr>
        <w:t xml:space="preserve"> </w:t>
      </w:r>
      <w:r w:rsidR="00346111" w:rsidRPr="00346111">
        <w:rPr>
          <w:sz w:val="26"/>
          <w:szCs w:val="26"/>
        </w:rPr>
        <w:t>đ</w:t>
      </w:r>
      <w:r w:rsidR="00346111">
        <w:rPr>
          <w:sz w:val="26"/>
          <w:szCs w:val="26"/>
        </w:rPr>
        <w:t>i</w:t>
      </w:r>
      <w:r w:rsidR="00346111" w:rsidRPr="00346111">
        <w:rPr>
          <w:sz w:val="26"/>
          <w:szCs w:val="26"/>
        </w:rPr>
        <w:t>ều</w:t>
      </w:r>
      <w:r w:rsidR="00346111">
        <w:rPr>
          <w:sz w:val="26"/>
          <w:szCs w:val="26"/>
        </w:rPr>
        <w:t xml:space="preserve"> ch</w:t>
      </w:r>
      <w:r w:rsidR="00346111" w:rsidRPr="00346111">
        <w:rPr>
          <w:sz w:val="26"/>
          <w:szCs w:val="26"/>
        </w:rPr>
        <w:t>ỉnh</w:t>
      </w:r>
      <w:r w:rsidR="00346111">
        <w:rPr>
          <w:sz w:val="26"/>
          <w:szCs w:val="26"/>
        </w:rPr>
        <w:t xml:space="preserve"> c</w:t>
      </w:r>
      <w:r w:rsidR="00346111" w:rsidRPr="00346111">
        <w:rPr>
          <w:sz w:val="26"/>
          <w:szCs w:val="26"/>
        </w:rPr>
        <w:t>ụ</w:t>
      </w:r>
      <w:r w:rsidR="00346111">
        <w:rPr>
          <w:sz w:val="26"/>
          <w:szCs w:val="26"/>
        </w:rPr>
        <w:t xml:space="preserve"> th</w:t>
      </w:r>
      <w:r w:rsidR="00346111" w:rsidRPr="00346111">
        <w:rPr>
          <w:sz w:val="26"/>
          <w:szCs w:val="26"/>
        </w:rPr>
        <w:t>ể</w:t>
      </w:r>
      <w:r w:rsidR="00346111">
        <w:rPr>
          <w:sz w:val="26"/>
          <w:szCs w:val="26"/>
        </w:rPr>
        <w:t xml:space="preserve"> nh</w:t>
      </w:r>
      <w:r w:rsidR="00346111" w:rsidRPr="00346111">
        <w:rPr>
          <w:sz w:val="26"/>
          <w:szCs w:val="26"/>
        </w:rPr>
        <w:t>ư</w:t>
      </w:r>
      <w:r w:rsidR="00346111">
        <w:rPr>
          <w:sz w:val="26"/>
          <w:szCs w:val="26"/>
        </w:rPr>
        <w:t xml:space="preserve"> sau:</w:t>
      </w:r>
    </w:p>
    <w:tbl>
      <w:tblPr>
        <w:tblpPr w:leftFromText="180" w:rightFromText="180" w:vertAnchor="text" w:horzAnchor="margin" w:tblpXSpec="center"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1"/>
        <w:gridCol w:w="1711"/>
      </w:tblGrid>
      <w:tr w:rsidR="00346111" w:rsidRPr="00346111">
        <w:trPr>
          <w:trHeight w:val="432"/>
        </w:trPr>
        <w:tc>
          <w:tcPr>
            <w:tcW w:w="0" w:type="auto"/>
            <w:shd w:val="clear" w:color="auto" w:fill="auto"/>
            <w:vAlign w:val="center"/>
          </w:tcPr>
          <w:p w:rsidR="00346111" w:rsidRPr="00346111" w:rsidRDefault="00346111" w:rsidP="00346111">
            <w:pPr>
              <w:rPr>
                <w:sz w:val="26"/>
                <w:szCs w:val="26"/>
              </w:rPr>
            </w:pPr>
            <w:r w:rsidRPr="00346111">
              <w:rPr>
                <w:sz w:val="26"/>
                <w:szCs w:val="26"/>
              </w:rPr>
              <w:t>Lợi nhuận sau thuế năm 2013</w:t>
            </w:r>
          </w:p>
        </w:tc>
        <w:tc>
          <w:tcPr>
            <w:tcW w:w="0" w:type="auto"/>
            <w:shd w:val="clear" w:color="auto" w:fill="auto"/>
            <w:noWrap/>
            <w:vAlign w:val="center"/>
          </w:tcPr>
          <w:p w:rsidR="00346111" w:rsidRPr="00346111" w:rsidRDefault="00346111" w:rsidP="00346111">
            <w:pPr>
              <w:jc w:val="right"/>
              <w:rPr>
                <w:sz w:val="26"/>
                <w:szCs w:val="26"/>
              </w:rPr>
            </w:pPr>
            <w:r w:rsidRPr="00346111">
              <w:rPr>
                <w:sz w:val="26"/>
                <w:szCs w:val="26"/>
              </w:rPr>
              <w:t>7.556.074.123</w:t>
            </w:r>
          </w:p>
        </w:tc>
      </w:tr>
      <w:tr w:rsidR="00346111" w:rsidRPr="00346111">
        <w:trPr>
          <w:trHeight w:val="432"/>
        </w:trPr>
        <w:tc>
          <w:tcPr>
            <w:tcW w:w="0" w:type="auto"/>
            <w:shd w:val="clear" w:color="auto" w:fill="auto"/>
            <w:vAlign w:val="center"/>
          </w:tcPr>
          <w:p w:rsidR="00346111" w:rsidRPr="00346111" w:rsidRDefault="00346111" w:rsidP="00346111">
            <w:pPr>
              <w:rPr>
                <w:sz w:val="26"/>
                <w:szCs w:val="26"/>
              </w:rPr>
            </w:pPr>
            <w:r w:rsidRPr="00346111">
              <w:rPr>
                <w:sz w:val="26"/>
                <w:szCs w:val="26"/>
              </w:rPr>
              <w:t>Số lượng cổ phiếu lưu hành năm 2013</w:t>
            </w:r>
          </w:p>
        </w:tc>
        <w:tc>
          <w:tcPr>
            <w:tcW w:w="0" w:type="auto"/>
            <w:shd w:val="clear" w:color="auto" w:fill="auto"/>
            <w:noWrap/>
            <w:vAlign w:val="center"/>
          </w:tcPr>
          <w:p w:rsidR="00346111" w:rsidRPr="00346111" w:rsidRDefault="00346111" w:rsidP="00346111">
            <w:pPr>
              <w:jc w:val="right"/>
              <w:rPr>
                <w:sz w:val="26"/>
                <w:szCs w:val="26"/>
              </w:rPr>
            </w:pPr>
            <w:r w:rsidRPr="00346111">
              <w:rPr>
                <w:sz w:val="26"/>
                <w:szCs w:val="26"/>
              </w:rPr>
              <w:t>9.758.000</w:t>
            </w:r>
          </w:p>
        </w:tc>
      </w:tr>
      <w:tr w:rsidR="00346111" w:rsidRPr="00346111">
        <w:trPr>
          <w:trHeight w:val="432"/>
        </w:trPr>
        <w:tc>
          <w:tcPr>
            <w:tcW w:w="0" w:type="auto"/>
            <w:shd w:val="clear" w:color="auto" w:fill="auto"/>
            <w:vAlign w:val="center"/>
          </w:tcPr>
          <w:p w:rsidR="00346111" w:rsidRPr="00346111" w:rsidRDefault="00346111" w:rsidP="00346111">
            <w:pPr>
              <w:rPr>
                <w:sz w:val="26"/>
                <w:szCs w:val="26"/>
              </w:rPr>
            </w:pPr>
            <w:r w:rsidRPr="00346111">
              <w:rPr>
                <w:sz w:val="26"/>
                <w:szCs w:val="26"/>
              </w:rPr>
              <w:t>Lãi cơ bản trên cổ phiếu năm 2013</w:t>
            </w:r>
          </w:p>
        </w:tc>
        <w:tc>
          <w:tcPr>
            <w:tcW w:w="0" w:type="auto"/>
            <w:shd w:val="clear" w:color="auto" w:fill="auto"/>
            <w:noWrap/>
            <w:vAlign w:val="center"/>
          </w:tcPr>
          <w:p w:rsidR="00346111" w:rsidRPr="00346111" w:rsidRDefault="00346111" w:rsidP="00346111">
            <w:pPr>
              <w:jc w:val="right"/>
              <w:rPr>
                <w:sz w:val="26"/>
                <w:szCs w:val="26"/>
              </w:rPr>
            </w:pPr>
            <w:r w:rsidRPr="00346111">
              <w:rPr>
                <w:sz w:val="26"/>
                <w:szCs w:val="26"/>
              </w:rPr>
              <w:t>774</w:t>
            </w:r>
          </w:p>
        </w:tc>
      </w:tr>
      <w:tr w:rsidR="00346111" w:rsidRPr="00346111">
        <w:trPr>
          <w:trHeight w:val="432"/>
        </w:trPr>
        <w:tc>
          <w:tcPr>
            <w:tcW w:w="0" w:type="auto"/>
            <w:shd w:val="clear" w:color="auto" w:fill="auto"/>
            <w:vAlign w:val="center"/>
          </w:tcPr>
          <w:p w:rsidR="00346111" w:rsidRPr="00346111" w:rsidRDefault="00346111" w:rsidP="00346111">
            <w:pPr>
              <w:rPr>
                <w:sz w:val="26"/>
                <w:szCs w:val="26"/>
              </w:rPr>
            </w:pPr>
            <w:r w:rsidRPr="00346111">
              <w:rPr>
                <w:sz w:val="26"/>
                <w:szCs w:val="26"/>
              </w:rPr>
              <w:t xml:space="preserve">Số lượng </w:t>
            </w:r>
            <w:r>
              <w:rPr>
                <w:sz w:val="26"/>
                <w:szCs w:val="26"/>
              </w:rPr>
              <w:t>CP</w:t>
            </w:r>
            <w:r w:rsidRPr="00346111">
              <w:rPr>
                <w:sz w:val="26"/>
                <w:szCs w:val="26"/>
              </w:rPr>
              <w:t xml:space="preserve"> lưu hành năm 2013 được </w:t>
            </w:r>
            <w:r w:rsidR="00946C10">
              <w:rPr>
                <w:sz w:val="26"/>
                <w:szCs w:val="26"/>
              </w:rPr>
              <w:t xml:space="preserve">điều chỉnh </w:t>
            </w:r>
            <w:r w:rsidRPr="00346111">
              <w:rPr>
                <w:sz w:val="26"/>
                <w:szCs w:val="26"/>
              </w:rPr>
              <w:t>Đ</w:t>
            </w:r>
            <w:r>
              <w:rPr>
                <w:sz w:val="26"/>
                <w:szCs w:val="26"/>
              </w:rPr>
              <w:t>C</w:t>
            </w:r>
            <w:r w:rsidRPr="00346111">
              <w:rPr>
                <w:sz w:val="26"/>
                <w:szCs w:val="26"/>
              </w:rPr>
              <w:t xml:space="preserve"> hồi tố</w:t>
            </w:r>
          </w:p>
        </w:tc>
        <w:tc>
          <w:tcPr>
            <w:tcW w:w="0" w:type="auto"/>
            <w:shd w:val="clear" w:color="auto" w:fill="auto"/>
            <w:noWrap/>
            <w:vAlign w:val="center"/>
          </w:tcPr>
          <w:p w:rsidR="00346111" w:rsidRPr="00346111" w:rsidRDefault="00346111" w:rsidP="00346111">
            <w:pPr>
              <w:jc w:val="right"/>
              <w:rPr>
                <w:sz w:val="26"/>
                <w:szCs w:val="26"/>
              </w:rPr>
            </w:pPr>
            <w:r w:rsidRPr="00346111">
              <w:rPr>
                <w:sz w:val="26"/>
                <w:szCs w:val="26"/>
              </w:rPr>
              <w:t>19.516.000</w:t>
            </w:r>
          </w:p>
        </w:tc>
      </w:tr>
      <w:tr w:rsidR="00346111" w:rsidRPr="00346111">
        <w:trPr>
          <w:trHeight w:val="432"/>
        </w:trPr>
        <w:tc>
          <w:tcPr>
            <w:tcW w:w="0" w:type="auto"/>
            <w:shd w:val="clear" w:color="auto" w:fill="auto"/>
            <w:vAlign w:val="center"/>
          </w:tcPr>
          <w:p w:rsidR="00346111" w:rsidRPr="00346111" w:rsidRDefault="00346111" w:rsidP="00346111">
            <w:pPr>
              <w:rPr>
                <w:sz w:val="26"/>
                <w:szCs w:val="26"/>
              </w:rPr>
            </w:pPr>
            <w:r w:rsidRPr="00346111">
              <w:rPr>
                <w:sz w:val="26"/>
                <w:szCs w:val="26"/>
              </w:rPr>
              <w:t xml:space="preserve">Lãi cơ bản trên </w:t>
            </w:r>
            <w:r>
              <w:rPr>
                <w:sz w:val="26"/>
                <w:szCs w:val="26"/>
              </w:rPr>
              <w:t>CP</w:t>
            </w:r>
            <w:r w:rsidRPr="00346111">
              <w:rPr>
                <w:sz w:val="26"/>
                <w:szCs w:val="26"/>
              </w:rPr>
              <w:t xml:space="preserve"> năm 2013 được Đ</w:t>
            </w:r>
            <w:r>
              <w:rPr>
                <w:sz w:val="26"/>
                <w:szCs w:val="26"/>
              </w:rPr>
              <w:t>C</w:t>
            </w:r>
            <w:r w:rsidRPr="00346111">
              <w:rPr>
                <w:sz w:val="26"/>
                <w:szCs w:val="26"/>
              </w:rPr>
              <w:t xml:space="preserve"> hồi tố</w:t>
            </w:r>
          </w:p>
        </w:tc>
        <w:tc>
          <w:tcPr>
            <w:tcW w:w="0" w:type="auto"/>
            <w:shd w:val="clear" w:color="auto" w:fill="auto"/>
            <w:noWrap/>
            <w:vAlign w:val="center"/>
          </w:tcPr>
          <w:p w:rsidR="00346111" w:rsidRPr="00346111" w:rsidRDefault="00346111" w:rsidP="00346111">
            <w:pPr>
              <w:jc w:val="right"/>
              <w:rPr>
                <w:sz w:val="26"/>
                <w:szCs w:val="26"/>
              </w:rPr>
            </w:pPr>
            <w:r w:rsidRPr="00346111">
              <w:rPr>
                <w:sz w:val="26"/>
                <w:szCs w:val="26"/>
              </w:rPr>
              <w:t>387</w:t>
            </w:r>
          </w:p>
        </w:tc>
      </w:tr>
      <w:tr w:rsidR="00946C10" w:rsidRPr="00346111">
        <w:trPr>
          <w:trHeight w:val="432"/>
        </w:trPr>
        <w:tc>
          <w:tcPr>
            <w:tcW w:w="0" w:type="auto"/>
            <w:shd w:val="clear" w:color="auto" w:fill="auto"/>
            <w:vAlign w:val="center"/>
          </w:tcPr>
          <w:p w:rsidR="00946C10" w:rsidRPr="00346111" w:rsidRDefault="00946C10" w:rsidP="00346111">
            <w:pPr>
              <w:rPr>
                <w:sz w:val="26"/>
                <w:szCs w:val="26"/>
              </w:rPr>
            </w:pPr>
            <w:r>
              <w:rPr>
                <w:sz w:val="26"/>
                <w:szCs w:val="26"/>
              </w:rPr>
              <w:t>Số cổ phiếu đã điều chỉnh</w:t>
            </w:r>
            <w:r w:rsidR="0063105B">
              <w:rPr>
                <w:sz w:val="26"/>
                <w:szCs w:val="26"/>
              </w:rPr>
              <w:t xml:space="preserve"> (tăng)</w:t>
            </w:r>
          </w:p>
        </w:tc>
        <w:tc>
          <w:tcPr>
            <w:tcW w:w="0" w:type="auto"/>
            <w:shd w:val="clear" w:color="auto" w:fill="auto"/>
            <w:noWrap/>
            <w:vAlign w:val="center"/>
          </w:tcPr>
          <w:p w:rsidR="00946C10" w:rsidRPr="00346111" w:rsidRDefault="00946C10" w:rsidP="00346111">
            <w:pPr>
              <w:jc w:val="right"/>
              <w:rPr>
                <w:sz w:val="26"/>
                <w:szCs w:val="26"/>
              </w:rPr>
            </w:pPr>
            <w:r>
              <w:rPr>
                <w:sz w:val="26"/>
                <w:szCs w:val="26"/>
              </w:rPr>
              <w:t>9.758.000</w:t>
            </w:r>
          </w:p>
        </w:tc>
      </w:tr>
    </w:tbl>
    <w:p w:rsidR="00346111" w:rsidRPr="00386E76" w:rsidRDefault="00A95DE1" w:rsidP="00A0763F">
      <w:pPr>
        <w:spacing w:before="120" w:line="312" w:lineRule="auto"/>
        <w:jc w:val="both"/>
        <w:rPr>
          <w:sz w:val="26"/>
          <w:szCs w:val="26"/>
        </w:rPr>
      </w:pPr>
      <w:r>
        <w:rPr>
          <w:sz w:val="26"/>
          <w:szCs w:val="26"/>
        </w:rPr>
        <w:tab/>
      </w:r>
    </w:p>
    <w:p w:rsidR="00A95DE1" w:rsidRPr="00386E76" w:rsidRDefault="00A95DE1" w:rsidP="00A0763F">
      <w:pPr>
        <w:spacing w:before="120" w:line="312" w:lineRule="auto"/>
        <w:jc w:val="both"/>
        <w:rPr>
          <w:sz w:val="26"/>
          <w:szCs w:val="26"/>
        </w:rPr>
      </w:pPr>
    </w:p>
    <w:p w:rsidR="00A0763F" w:rsidRPr="00267CA6" w:rsidRDefault="00A0763F" w:rsidP="00A0763F">
      <w:pPr>
        <w:spacing w:before="120" w:line="312" w:lineRule="auto"/>
        <w:jc w:val="both"/>
        <w:rPr>
          <w:sz w:val="26"/>
          <w:szCs w:val="26"/>
        </w:rPr>
      </w:pPr>
      <w:r w:rsidRPr="00267CA6">
        <w:rPr>
          <w:sz w:val="26"/>
          <w:szCs w:val="26"/>
        </w:rPr>
        <w:tab/>
      </w:r>
      <w:r>
        <w:rPr>
          <w:sz w:val="26"/>
          <w:szCs w:val="26"/>
        </w:rPr>
        <w:t>C</w:t>
      </w:r>
      <w:r w:rsidRPr="00386E76">
        <w:rPr>
          <w:sz w:val="26"/>
          <w:szCs w:val="26"/>
        </w:rPr>
        <w:t>ô</w:t>
      </w:r>
      <w:r>
        <w:rPr>
          <w:sz w:val="26"/>
          <w:szCs w:val="26"/>
        </w:rPr>
        <w:t>ng ty C</w:t>
      </w:r>
      <w:r w:rsidRPr="00386E76">
        <w:rPr>
          <w:sz w:val="26"/>
          <w:szCs w:val="26"/>
        </w:rPr>
        <w:t>ổ</w:t>
      </w:r>
      <w:r>
        <w:rPr>
          <w:sz w:val="26"/>
          <w:szCs w:val="26"/>
        </w:rPr>
        <w:t xml:space="preserve"> ph</w:t>
      </w:r>
      <w:r w:rsidRPr="00386E76">
        <w:rPr>
          <w:sz w:val="26"/>
          <w:szCs w:val="26"/>
        </w:rPr>
        <w:t>ần</w:t>
      </w:r>
      <w:r>
        <w:rPr>
          <w:sz w:val="26"/>
          <w:szCs w:val="26"/>
        </w:rPr>
        <w:t xml:space="preserve"> xi m</w:t>
      </w:r>
      <w:r w:rsidRPr="00386E76">
        <w:rPr>
          <w:sz w:val="26"/>
          <w:szCs w:val="26"/>
        </w:rPr>
        <w:t>ă</w:t>
      </w:r>
      <w:r>
        <w:rPr>
          <w:sz w:val="26"/>
          <w:szCs w:val="26"/>
        </w:rPr>
        <w:t>ng S</w:t>
      </w:r>
      <w:r w:rsidRPr="00386E76">
        <w:rPr>
          <w:sz w:val="26"/>
          <w:szCs w:val="26"/>
        </w:rPr>
        <w:t>ài</w:t>
      </w:r>
      <w:r>
        <w:rPr>
          <w:sz w:val="26"/>
          <w:szCs w:val="26"/>
        </w:rPr>
        <w:t xml:space="preserve"> S</w:t>
      </w:r>
      <w:r w:rsidRPr="00386E76">
        <w:rPr>
          <w:sz w:val="26"/>
          <w:szCs w:val="26"/>
        </w:rPr>
        <w:t>ơ</w:t>
      </w:r>
      <w:r>
        <w:rPr>
          <w:sz w:val="26"/>
          <w:szCs w:val="26"/>
        </w:rPr>
        <w:t xml:space="preserve">n xin cam </w:t>
      </w:r>
      <w:r w:rsidRPr="00386E76">
        <w:rPr>
          <w:sz w:val="26"/>
          <w:szCs w:val="26"/>
        </w:rPr>
        <w:t>đ</w:t>
      </w:r>
      <w:r>
        <w:rPr>
          <w:sz w:val="26"/>
          <w:szCs w:val="26"/>
        </w:rPr>
        <w:t>oan nh</w:t>
      </w:r>
      <w:r w:rsidRPr="00386E76">
        <w:rPr>
          <w:sz w:val="26"/>
          <w:szCs w:val="26"/>
        </w:rPr>
        <w:t>ững</w:t>
      </w:r>
      <w:r>
        <w:rPr>
          <w:sz w:val="26"/>
          <w:szCs w:val="26"/>
        </w:rPr>
        <w:t xml:space="preserve"> gi</w:t>
      </w:r>
      <w:r w:rsidRPr="00386E76">
        <w:rPr>
          <w:sz w:val="26"/>
          <w:szCs w:val="26"/>
        </w:rPr>
        <w:t>ải</w:t>
      </w:r>
      <w:r>
        <w:rPr>
          <w:sz w:val="26"/>
          <w:szCs w:val="26"/>
        </w:rPr>
        <w:t xml:space="preserve"> tr</w:t>
      </w:r>
      <w:r w:rsidRPr="00386E76">
        <w:rPr>
          <w:sz w:val="26"/>
          <w:szCs w:val="26"/>
        </w:rPr>
        <w:t>ình</w:t>
      </w:r>
      <w:r>
        <w:rPr>
          <w:sz w:val="26"/>
          <w:szCs w:val="26"/>
        </w:rPr>
        <w:t xml:space="preserve"> tr</w:t>
      </w:r>
      <w:r w:rsidRPr="00386E76">
        <w:rPr>
          <w:sz w:val="26"/>
          <w:szCs w:val="26"/>
        </w:rPr>
        <w:t>ê</w:t>
      </w:r>
      <w:r>
        <w:rPr>
          <w:sz w:val="26"/>
          <w:szCs w:val="26"/>
        </w:rPr>
        <w:t xml:space="preserve">n </w:t>
      </w:r>
      <w:r w:rsidRPr="00386E76">
        <w:rPr>
          <w:sz w:val="26"/>
          <w:szCs w:val="26"/>
        </w:rPr>
        <w:t>đâ</w:t>
      </w:r>
      <w:r>
        <w:rPr>
          <w:sz w:val="26"/>
          <w:szCs w:val="26"/>
        </w:rPr>
        <w:t>y l</w:t>
      </w:r>
      <w:r w:rsidRPr="00386E76">
        <w:rPr>
          <w:sz w:val="26"/>
          <w:szCs w:val="26"/>
        </w:rPr>
        <w:t>à</w:t>
      </w:r>
      <w:r>
        <w:rPr>
          <w:sz w:val="26"/>
          <w:szCs w:val="26"/>
        </w:rPr>
        <w:t xml:space="preserve"> ho</w:t>
      </w:r>
      <w:r w:rsidRPr="00386E76">
        <w:rPr>
          <w:sz w:val="26"/>
          <w:szCs w:val="26"/>
        </w:rPr>
        <w:t>àn</w:t>
      </w:r>
      <w:r>
        <w:rPr>
          <w:sz w:val="26"/>
          <w:szCs w:val="26"/>
        </w:rPr>
        <w:t xml:space="preserve"> to</w:t>
      </w:r>
      <w:r w:rsidRPr="00386E76">
        <w:rPr>
          <w:sz w:val="26"/>
          <w:szCs w:val="26"/>
        </w:rPr>
        <w:t>àn</w:t>
      </w:r>
      <w:r>
        <w:rPr>
          <w:sz w:val="26"/>
          <w:szCs w:val="26"/>
        </w:rPr>
        <w:t xml:space="preserve"> ch</w:t>
      </w:r>
      <w:r w:rsidRPr="00386E76">
        <w:rPr>
          <w:sz w:val="26"/>
          <w:szCs w:val="26"/>
        </w:rPr>
        <w:t>ính</w:t>
      </w:r>
      <w:r>
        <w:rPr>
          <w:sz w:val="26"/>
          <w:szCs w:val="26"/>
        </w:rPr>
        <w:t xml:space="preserve"> x</w:t>
      </w:r>
      <w:r w:rsidRPr="00386E76">
        <w:rPr>
          <w:sz w:val="26"/>
          <w:szCs w:val="26"/>
        </w:rPr>
        <w:t>ác</w:t>
      </w:r>
      <w:r>
        <w:rPr>
          <w:sz w:val="26"/>
          <w:szCs w:val="26"/>
        </w:rPr>
        <w:t xml:space="preserve"> v</w:t>
      </w:r>
      <w:r w:rsidRPr="00386E76">
        <w:rPr>
          <w:sz w:val="26"/>
          <w:szCs w:val="26"/>
        </w:rPr>
        <w:t>à</w:t>
      </w:r>
      <w:r>
        <w:rPr>
          <w:sz w:val="26"/>
          <w:szCs w:val="26"/>
        </w:rPr>
        <w:t xml:space="preserve"> ph</w:t>
      </w:r>
      <w:r w:rsidRPr="00386E76">
        <w:rPr>
          <w:sz w:val="26"/>
          <w:szCs w:val="26"/>
        </w:rPr>
        <w:t>ù</w:t>
      </w:r>
      <w:r>
        <w:rPr>
          <w:sz w:val="26"/>
          <w:szCs w:val="26"/>
        </w:rPr>
        <w:t xml:space="preserve"> h</w:t>
      </w:r>
      <w:r w:rsidRPr="00386E76">
        <w:rPr>
          <w:sz w:val="26"/>
          <w:szCs w:val="26"/>
        </w:rPr>
        <w:t>ợp</w:t>
      </w:r>
      <w:r>
        <w:rPr>
          <w:sz w:val="26"/>
          <w:szCs w:val="26"/>
        </w:rPr>
        <w:t xml:space="preserve"> v</w:t>
      </w:r>
      <w:r w:rsidRPr="00386E76">
        <w:rPr>
          <w:sz w:val="26"/>
          <w:szCs w:val="26"/>
        </w:rPr>
        <w:t>ới</w:t>
      </w:r>
      <w:r>
        <w:rPr>
          <w:sz w:val="26"/>
          <w:szCs w:val="26"/>
        </w:rPr>
        <w:t xml:space="preserve"> th</w:t>
      </w:r>
      <w:r w:rsidRPr="00386E76">
        <w:rPr>
          <w:sz w:val="26"/>
          <w:szCs w:val="26"/>
        </w:rPr>
        <w:t>ực</w:t>
      </w:r>
      <w:r>
        <w:rPr>
          <w:sz w:val="26"/>
          <w:szCs w:val="26"/>
        </w:rPr>
        <w:t xml:space="preserve"> t</w:t>
      </w:r>
      <w:r w:rsidRPr="00386E76">
        <w:rPr>
          <w:sz w:val="26"/>
          <w:szCs w:val="26"/>
        </w:rPr>
        <w:t>ế</w:t>
      </w:r>
      <w:r>
        <w:rPr>
          <w:sz w:val="26"/>
          <w:szCs w:val="26"/>
        </w:rPr>
        <w:t xml:space="preserve"> ph</w:t>
      </w:r>
      <w:r w:rsidRPr="00386E76">
        <w:rPr>
          <w:sz w:val="26"/>
          <w:szCs w:val="26"/>
        </w:rPr>
        <w:t>át</w:t>
      </w:r>
      <w:r>
        <w:rPr>
          <w:sz w:val="26"/>
          <w:szCs w:val="26"/>
        </w:rPr>
        <w:t xml:space="preserve"> sinh t</w:t>
      </w:r>
      <w:r w:rsidRPr="00386E76">
        <w:rPr>
          <w:sz w:val="26"/>
          <w:szCs w:val="26"/>
        </w:rPr>
        <w:t>ại</w:t>
      </w:r>
      <w:r>
        <w:rPr>
          <w:sz w:val="26"/>
          <w:szCs w:val="26"/>
        </w:rPr>
        <w:t xml:space="preserve"> </w:t>
      </w:r>
      <w:r w:rsidRPr="00386E76">
        <w:rPr>
          <w:sz w:val="26"/>
          <w:szCs w:val="26"/>
        </w:rPr>
        <w:t>đơ</w:t>
      </w:r>
      <w:r>
        <w:rPr>
          <w:sz w:val="26"/>
          <w:szCs w:val="26"/>
        </w:rPr>
        <w:t>n v</w:t>
      </w:r>
      <w:r w:rsidRPr="00386E76">
        <w:rPr>
          <w:sz w:val="26"/>
          <w:szCs w:val="26"/>
        </w:rPr>
        <w:t>ị</w:t>
      </w:r>
      <w:r w:rsidRPr="00267CA6">
        <w:rPr>
          <w:sz w:val="26"/>
          <w:szCs w:val="26"/>
        </w:rPr>
        <w:t xml:space="preserve"> kính trình Ủy ban chứng khoán Nhà nước và Sở giao dịch chứng khoán Hà Nội xem xét.</w:t>
      </w:r>
    </w:p>
    <w:p w:rsidR="00A0763F" w:rsidRPr="00267CA6" w:rsidRDefault="00A0763F" w:rsidP="00A0763F">
      <w:pPr>
        <w:spacing w:before="120" w:line="312" w:lineRule="auto"/>
        <w:jc w:val="both"/>
        <w:rPr>
          <w:sz w:val="26"/>
          <w:szCs w:val="26"/>
        </w:rPr>
      </w:pPr>
      <w:r w:rsidRPr="00267CA6">
        <w:rPr>
          <w:sz w:val="26"/>
          <w:szCs w:val="26"/>
        </w:rPr>
        <w:tab/>
        <w:t>Trân trọng!</w:t>
      </w:r>
    </w:p>
    <w:tbl>
      <w:tblPr>
        <w:tblW w:w="0" w:type="auto"/>
        <w:tblLook w:val="01E0"/>
      </w:tblPr>
      <w:tblGrid>
        <w:gridCol w:w="4923"/>
        <w:gridCol w:w="4923"/>
      </w:tblGrid>
      <w:tr w:rsidR="00A0763F" w:rsidRPr="00946C10" w:rsidTr="00946C10">
        <w:trPr>
          <w:trHeight w:val="778"/>
        </w:trPr>
        <w:tc>
          <w:tcPr>
            <w:tcW w:w="4923" w:type="dxa"/>
          </w:tcPr>
          <w:p w:rsidR="00A0763F" w:rsidRPr="00946C10" w:rsidRDefault="00A0763F" w:rsidP="00946C10">
            <w:pPr>
              <w:spacing w:before="100" w:line="288" w:lineRule="auto"/>
              <w:rPr>
                <w:b/>
                <w:i/>
                <w:sz w:val="16"/>
                <w:szCs w:val="16"/>
                <w:u w:val="single"/>
              </w:rPr>
            </w:pPr>
            <w:r w:rsidRPr="00946C10">
              <w:rPr>
                <w:b/>
                <w:i/>
                <w:sz w:val="26"/>
                <w:szCs w:val="26"/>
              </w:rPr>
              <w:t xml:space="preserve">       </w:t>
            </w:r>
            <w:r w:rsidRPr="00946C10">
              <w:rPr>
                <w:b/>
                <w:i/>
                <w:sz w:val="16"/>
                <w:szCs w:val="16"/>
                <w:u w:val="single"/>
              </w:rPr>
              <w:t xml:space="preserve">Nơi nhận: </w:t>
            </w:r>
          </w:p>
          <w:p w:rsidR="00A0763F" w:rsidRPr="00946C10" w:rsidRDefault="00A0763F" w:rsidP="00946C10">
            <w:pPr>
              <w:numPr>
                <w:ilvl w:val="0"/>
                <w:numId w:val="2"/>
              </w:numPr>
              <w:tabs>
                <w:tab w:val="clear" w:pos="720"/>
                <w:tab w:val="num" w:pos="360"/>
              </w:tabs>
              <w:spacing w:before="100"/>
              <w:ind w:left="360" w:firstLine="0"/>
              <w:rPr>
                <w:sz w:val="16"/>
                <w:szCs w:val="16"/>
              </w:rPr>
            </w:pPr>
            <w:r w:rsidRPr="00946C10">
              <w:rPr>
                <w:sz w:val="16"/>
                <w:szCs w:val="16"/>
              </w:rPr>
              <w:t>Như kính gửi</w:t>
            </w:r>
          </w:p>
          <w:p w:rsidR="00A0763F" w:rsidRPr="00946C10" w:rsidRDefault="00A0763F" w:rsidP="00946C10">
            <w:pPr>
              <w:numPr>
                <w:ilvl w:val="0"/>
                <w:numId w:val="2"/>
              </w:numPr>
              <w:tabs>
                <w:tab w:val="clear" w:pos="720"/>
                <w:tab w:val="num" w:pos="360"/>
              </w:tabs>
              <w:spacing w:before="100"/>
              <w:ind w:left="360" w:firstLine="0"/>
              <w:rPr>
                <w:sz w:val="16"/>
                <w:szCs w:val="16"/>
              </w:rPr>
            </w:pPr>
            <w:r w:rsidRPr="00946C10">
              <w:rPr>
                <w:sz w:val="16"/>
                <w:szCs w:val="16"/>
              </w:rPr>
              <w:t>Lưu VP</w:t>
            </w:r>
          </w:p>
        </w:tc>
        <w:tc>
          <w:tcPr>
            <w:tcW w:w="4923" w:type="dxa"/>
          </w:tcPr>
          <w:p w:rsidR="00A0763F" w:rsidRPr="00946C10" w:rsidRDefault="00A0763F" w:rsidP="00946C10">
            <w:pPr>
              <w:spacing w:before="120" w:line="312" w:lineRule="auto"/>
              <w:jc w:val="both"/>
              <w:rPr>
                <w:b/>
                <w:sz w:val="26"/>
                <w:szCs w:val="26"/>
              </w:rPr>
            </w:pPr>
            <w:r w:rsidRPr="00946C10">
              <w:rPr>
                <w:b/>
                <w:sz w:val="26"/>
                <w:szCs w:val="26"/>
              </w:rPr>
              <w:t>CÔNG TY CP XI MĂNG SÀI SƠN</w:t>
            </w:r>
          </w:p>
        </w:tc>
      </w:tr>
    </w:tbl>
    <w:p w:rsidR="00A0763F" w:rsidRPr="009118C9" w:rsidRDefault="00A0763F" w:rsidP="00A0763F">
      <w:pPr>
        <w:spacing w:line="312"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p>
    <w:p w:rsidR="009118C9" w:rsidRPr="004F4FA1" w:rsidRDefault="009118C9" w:rsidP="009118C9">
      <w:pPr>
        <w:spacing w:line="312" w:lineRule="auto"/>
        <w:jc w:val="center"/>
        <w:rPr>
          <w:sz w:val="28"/>
          <w:szCs w:val="28"/>
        </w:rPr>
      </w:pPr>
    </w:p>
    <w:sectPr w:rsidR="009118C9" w:rsidRPr="004F4FA1" w:rsidSect="007B1D9A">
      <w:pgSz w:w="12240" w:h="15840"/>
      <w:pgMar w:top="1080" w:right="108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B70B8"/>
    <w:multiLevelType w:val="hybridMultilevel"/>
    <w:tmpl w:val="99943ABE"/>
    <w:lvl w:ilvl="0" w:tplc="A5B22C1C">
      <w:start w:val="1"/>
      <w:numFmt w:val="decimal"/>
      <w:lvlText w:val="%1."/>
      <w:lvlJc w:val="left"/>
      <w:pPr>
        <w:tabs>
          <w:tab w:val="num" w:pos="1020"/>
        </w:tabs>
        <w:ind w:left="1020" w:hanging="6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D43453"/>
    <w:multiLevelType w:val="hybridMultilevel"/>
    <w:tmpl w:val="358A4B72"/>
    <w:lvl w:ilvl="0" w:tplc="D75C69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BA7A0D"/>
    <w:rsid w:val="000268FB"/>
    <w:rsid w:val="0006127B"/>
    <w:rsid w:val="000B14A1"/>
    <w:rsid w:val="001135D9"/>
    <w:rsid w:val="0016109C"/>
    <w:rsid w:val="0017468E"/>
    <w:rsid w:val="001C231C"/>
    <w:rsid w:val="001C5FCB"/>
    <w:rsid w:val="00240548"/>
    <w:rsid w:val="00267CA6"/>
    <w:rsid w:val="00276A33"/>
    <w:rsid w:val="002D39E5"/>
    <w:rsid w:val="00346111"/>
    <w:rsid w:val="00386E76"/>
    <w:rsid w:val="003B5CBB"/>
    <w:rsid w:val="00422A46"/>
    <w:rsid w:val="004A3B6C"/>
    <w:rsid w:val="004C7955"/>
    <w:rsid w:val="004D4C4D"/>
    <w:rsid w:val="004F4FA1"/>
    <w:rsid w:val="00545435"/>
    <w:rsid w:val="005C64E9"/>
    <w:rsid w:val="0063105B"/>
    <w:rsid w:val="006A723C"/>
    <w:rsid w:val="006F193D"/>
    <w:rsid w:val="007254E3"/>
    <w:rsid w:val="007B1D9A"/>
    <w:rsid w:val="007D7CA5"/>
    <w:rsid w:val="0085602D"/>
    <w:rsid w:val="008614FE"/>
    <w:rsid w:val="008702C4"/>
    <w:rsid w:val="00880DB2"/>
    <w:rsid w:val="008E7737"/>
    <w:rsid w:val="008E79FC"/>
    <w:rsid w:val="008F6DE0"/>
    <w:rsid w:val="009043E1"/>
    <w:rsid w:val="009118C9"/>
    <w:rsid w:val="00920404"/>
    <w:rsid w:val="00923C0C"/>
    <w:rsid w:val="00930A53"/>
    <w:rsid w:val="00946C10"/>
    <w:rsid w:val="009D6BF8"/>
    <w:rsid w:val="00A0763F"/>
    <w:rsid w:val="00A20D4F"/>
    <w:rsid w:val="00A3755E"/>
    <w:rsid w:val="00A7744A"/>
    <w:rsid w:val="00A95DE1"/>
    <w:rsid w:val="00AA0127"/>
    <w:rsid w:val="00AA3328"/>
    <w:rsid w:val="00AB1BC6"/>
    <w:rsid w:val="00AB1CF3"/>
    <w:rsid w:val="00AC4FB6"/>
    <w:rsid w:val="00B24185"/>
    <w:rsid w:val="00B87B6A"/>
    <w:rsid w:val="00BA7A0D"/>
    <w:rsid w:val="00C0168C"/>
    <w:rsid w:val="00C652C7"/>
    <w:rsid w:val="00C94AE9"/>
    <w:rsid w:val="00CA58DA"/>
    <w:rsid w:val="00CC2695"/>
    <w:rsid w:val="00CD3371"/>
    <w:rsid w:val="00CE314E"/>
    <w:rsid w:val="00CE7E9B"/>
    <w:rsid w:val="00CF4B4C"/>
    <w:rsid w:val="00DB64A6"/>
    <w:rsid w:val="00E1013F"/>
    <w:rsid w:val="00E419F7"/>
    <w:rsid w:val="00E6201A"/>
    <w:rsid w:val="00E96DEA"/>
    <w:rsid w:val="00F11CB8"/>
    <w:rsid w:val="00F53132"/>
    <w:rsid w:val="00F61617"/>
    <w:rsid w:val="00F82213"/>
    <w:rsid w:val="00FB4A71"/>
    <w:rsid w:val="00FC25D9"/>
    <w:rsid w:val="00FC26B7"/>
    <w:rsid w:val="00FF2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A0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C231C"/>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rPr>
  </w:style>
  <w:style w:type="character" w:customStyle="1" w:styleId="BodyText2Char">
    <w:name w:val="Body Text 2 Char"/>
    <w:link w:val="BodyText2"/>
    <w:rsid w:val="001C231C"/>
    <w:rPr>
      <w:rFonts w:ascii="VNtimes new roman" w:eastAsia="MS Mincho" w:hAnsi="VNtimes new roman"/>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563956390">
      <w:bodyDiv w:val="1"/>
      <w:marLeft w:val="0"/>
      <w:marRight w:val="0"/>
      <w:marTop w:val="0"/>
      <w:marBottom w:val="0"/>
      <w:divBdr>
        <w:top w:val="none" w:sz="0" w:space="0" w:color="auto"/>
        <w:left w:val="none" w:sz="0" w:space="0" w:color="auto"/>
        <w:bottom w:val="none" w:sz="0" w:space="0" w:color="auto"/>
        <w:right w:val="none" w:sz="0" w:space="0" w:color="auto"/>
      </w:divBdr>
    </w:div>
    <w:div w:id="808983667">
      <w:bodyDiv w:val="1"/>
      <w:marLeft w:val="0"/>
      <w:marRight w:val="0"/>
      <w:marTop w:val="0"/>
      <w:marBottom w:val="0"/>
      <w:divBdr>
        <w:top w:val="none" w:sz="0" w:space="0" w:color="auto"/>
        <w:left w:val="none" w:sz="0" w:space="0" w:color="auto"/>
        <w:bottom w:val="none" w:sz="0" w:space="0" w:color="auto"/>
        <w:right w:val="none" w:sz="0" w:space="0" w:color="auto"/>
      </w:divBdr>
    </w:div>
    <w:div w:id="1306661509">
      <w:bodyDiv w:val="1"/>
      <w:marLeft w:val="0"/>
      <w:marRight w:val="0"/>
      <w:marTop w:val="0"/>
      <w:marBottom w:val="0"/>
      <w:divBdr>
        <w:top w:val="none" w:sz="0" w:space="0" w:color="auto"/>
        <w:left w:val="none" w:sz="0" w:space="0" w:color="auto"/>
        <w:bottom w:val="none" w:sz="0" w:space="0" w:color="auto"/>
        <w:right w:val="none" w:sz="0" w:space="0" w:color="auto"/>
      </w:divBdr>
    </w:div>
    <w:div w:id="1378551386">
      <w:bodyDiv w:val="1"/>
      <w:marLeft w:val="0"/>
      <w:marRight w:val="0"/>
      <w:marTop w:val="0"/>
      <w:marBottom w:val="0"/>
      <w:divBdr>
        <w:top w:val="none" w:sz="0" w:space="0" w:color="auto"/>
        <w:left w:val="none" w:sz="0" w:space="0" w:color="auto"/>
        <w:bottom w:val="none" w:sz="0" w:space="0" w:color="auto"/>
        <w:right w:val="none" w:sz="0" w:space="0" w:color="auto"/>
      </w:divBdr>
    </w:div>
    <w:div w:id="18930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CÔNG TY CỔ PHẦN</vt:lpstr>
    </vt:vector>
  </TitlesOfParts>
  <Company>INFOTECH</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subject/>
  <dc:creator>LOGON</dc:creator>
  <cp:keywords/>
  <cp:lastModifiedBy>Phùng Minh Tuân</cp:lastModifiedBy>
  <cp:revision>2</cp:revision>
  <cp:lastPrinted>2015-03-19T10:21:00Z</cp:lastPrinted>
  <dcterms:created xsi:type="dcterms:W3CDTF">2015-03-25T03:44:00Z</dcterms:created>
  <dcterms:modified xsi:type="dcterms:W3CDTF">2015-03-25T03:44:00Z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0169f040a3c4fac9cdbfe5552e8bc2e.psdsxs" Id="R69b37478b975428f" /></Relationships>
</file>