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09" w:rsidRPr="005D5EB0" w:rsidRDefault="00AB2D09" w:rsidP="00AB2D09">
      <w:pPr>
        <w:rPr>
          <w:b/>
          <w:sz w:val="27"/>
          <w:szCs w:val="27"/>
        </w:rPr>
      </w:pPr>
      <w:r w:rsidRPr="005D5EB0">
        <w:rPr>
          <w:b/>
          <w:sz w:val="27"/>
          <w:szCs w:val="27"/>
        </w:rPr>
        <w:t>CÔNG TY CỔ PHẦN CƠ KHÍ     CỘNG HÒA XÃ HỘI CHỦ NHĨA VIỆT NAM</w:t>
      </w:r>
    </w:p>
    <w:p w:rsidR="00AB2D09" w:rsidRPr="005D5EB0" w:rsidRDefault="00AB2D09" w:rsidP="00AB2D09">
      <w:pPr>
        <w:rPr>
          <w:b/>
          <w:sz w:val="27"/>
          <w:szCs w:val="27"/>
        </w:rPr>
      </w:pPr>
      <w:r w:rsidRPr="005D5EB0">
        <w:rPr>
          <w:b/>
          <w:sz w:val="27"/>
          <w:szCs w:val="27"/>
        </w:rPr>
        <w:t>VÀ KHOÁNG SẢN HÀ GIANG                       Độc lập – Tự do – Hạnh phúc</w:t>
      </w:r>
    </w:p>
    <w:p w:rsidR="00AB2D09" w:rsidRPr="005D5EB0" w:rsidRDefault="00AB2D09" w:rsidP="00AB2D09">
      <w:pPr>
        <w:rPr>
          <w:b/>
          <w:sz w:val="27"/>
          <w:szCs w:val="27"/>
        </w:rPr>
      </w:pPr>
      <w:r>
        <w:rPr>
          <w:b/>
          <w:noProof/>
          <w:sz w:val="27"/>
          <w:szCs w:val="27"/>
        </w:rPr>
        <w:pict>
          <v:shapetype id="_x0000_t32" coordsize="21600,21600" o:spt="32" o:oned="t" path="m,l21600,21600e" filled="f">
            <v:path arrowok="t" fillok="f" o:connecttype="none"/>
            <o:lock v:ext="edit" shapetype="t"/>
          </v:shapetype>
          <v:shape id="AutoShape 3" o:spid="_x0000_s1032" type="#_x0000_t32" style="position:absolute;margin-left:42.6pt;margin-top:2.35pt;width: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"/>
        </w:pict>
      </w:r>
      <w:r>
        <w:rPr>
          <w:b/>
          <w:noProof/>
          <w:sz w:val="27"/>
          <w:szCs w:val="27"/>
        </w:rPr>
        <w:pict>
          <v:shape id="AutoShape 2" o:spid="_x0000_s1031" type="#_x0000_t32" style="position:absolute;margin-left:258.6pt;margin-top:2.35pt;width:174.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SE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hJEkP&#10;LXo8OhUio9S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"/>
        </w:pict>
      </w:r>
    </w:p>
    <w:p w:rsidR="00AB2D09" w:rsidRPr="005D5EB0" w:rsidRDefault="00AB2D09" w:rsidP="00AB2D09">
      <w:pPr>
        <w:rPr>
          <w:i/>
          <w:sz w:val="27"/>
          <w:szCs w:val="27"/>
        </w:rPr>
      </w:pPr>
      <w:r w:rsidRPr="005D5EB0">
        <w:rPr>
          <w:sz w:val="27"/>
          <w:szCs w:val="27"/>
        </w:rPr>
        <w:t xml:space="preserve">           Số:       /NQ-ĐHĐCĐ        </w:t>
      </w:r>
      <w:r>
        <w:rPr>
          <w:sz w:val="27"/>
          <w:szCs w:val="27"/>
        </w:rPr>
        <w:t xml:space="preserve">                        </w:t>
      </w:r>
      <w:r w:rsidRPr="005D5EB0">
        <w:rPr>
          <w:i/>
          <w:sz w:val="27"/>
          <w:szCs w:val="27"/>
        </w:rPr>
        <w:t xml:space="preserve"> Hà Giang, ngày 29 tháng 3 năm 2015</w:t>
      </w:r>
    </w:p>
    <w:p w:rsidR="00AB2D09" w:rsidRPr="005D5EB0" w:rsidRDefault="00AB2D09" w:rsidP="00AB2D09">
      <w:pPr>
        <w:rPr>
          <w:sz w:val="27"/>
          <w:szCs w:val="27"/>
        </w:rPr>
      </w:pPr>
    </w:p>
    <w:p w:rsidR="00AB2D09" w:rsidRPr="005D5EB0" w:rsidRDefault="00AB2D09" w:rsidP="00AB2D09">
      <w:pPr>
        <w:rPr>
          <w:b/>
          <w:sz w:val="27"/>
          <w:szCs w:val="27"/>
        </w:rPr>
      </w:pPr>
    </w:p>
    <w:p w:rsidR="00AB2D09" w:rsidRPr="005D5EB0" w:rsidRDefault="00AB2D09" w:rsidP="00AB2D09">
      <w:pPr>
        <w:jc w:val="center"/>
        <w:rPr>
          <w:b/>
          <w:sz w:val="27"/>
          <w:szCs w:val="27"/>
        </w:rPr>
      </w:pPr>
      <w:r w:rsidRPr="005D5EB0">
        <w:rPr>
          <w:b/>
          <w:sz w:val="27"/>
          <w:szCs w:val="27"/>
        </w:rPr>
        <w:t>NGHỊ QUYẾT</w:t>
      </w:r>
    </w:p>
    <w:p w:rsidR="00AB2D09" w:rsidRPr="005D5EB0" w:rsidRDefault="00AB2D09" w:rsidP="00AB2D09">
      <w:pPr>
        <w:jc w:val="center"/>
        <w:rPr>
          <w:b/>
          <w:sz w:val="27"/>
          <w:szCs w:val="27"/>
        </w:rPr>
      </w:pPr>
      <w:r w:rsidRPr="005D5EB0">
        <w:rPr>
          <w:b/>
          <w:sz w:val="27"/>
          <w:szCs w:val="27"/>
        </w:rPr>
        <w:t>ĐẠI HỘI ĐỒNG CỔ ĐÔNG THƯỜNG NIÊN NĂM 2015</w:t>
      </w:r>
    </w:p>
    <w:p w:rsidR="00AB2D09" w:rsidRPr="005D5EB0" w:rsidRDefault="00AB2D09" w:rsidP="00AB2D09">
      <w:pPr>
        <w:jc w:val="center"/>
        <w:rPr>
          <w:b/>
          <w:sz w:val="27"/>
          <w:szCs w:val="27"/>
        </w:rPr>
      </w:pPr>
      <w:r w:rsidRPr="005D5EB0">
        <w:rPr>
          <w:b/>
          <w:sz w:val="27"/>
          <w:szCs w:val="27"/>
        </w:rPr>
        <w:t>CÔNG TY CỔ PHẦN CƠ KHÍ VÀ KHOÁNG SẢN HÀ GIANG (HGM)</w:t>
      </w:r>
    </w:p>
    <w:p w:rsidR="00AB2D09" w:rsidRPr="005D5EB0" w:rsidRDefault="00AB2D09" w:rsidP="00AB2D09">
      <w:pPr>
        <w:rPr>
          <w:b/>
          <w:sz w:val="27"/>
          <w:szCs w:val="27"/>
        </w:rPr>
      </w:pPr>
    </w:p>
    <w:p w:rsidR="00AB2D09" w:rsidRPr="00DE1B02" w:rsidRDefault="00AB2D09" w:rsidP="00AB2D09">
      <w:pPr>
        <w:rPr>
          <w:sz w:val="27"/>
          <w:szCs w:val="27"/>
        </w:rPr>
      </w:pPr>
      <w:r w:rsidRPr="00DE1B02">
        <w:rPr>
          <w:sz w:val="27"/>
          <w:szCs w:val="27"/>
        </w:rPr>
        <w:t>Căn cứ</w:t>
      </w:r>
      <w:r>
        <w:rPr>
          <w:sz w:val="27"/>
          <w:szCs w:val="27"/>
        </w:rPr>
        <w:t>:</w:t>
      </w:r>
    </w:p>
    <w:p w:rsidR="00AB2D09" w:rsidRPr="005D5EB0" w:rsidRDefault="00AB2D09" w:rsidP="00AB2D09">
      <w:pPr>
        <w:pStyle w:val="oncaDanhsch"/>
        <w:numPr>
          <w:ilvl w:val="0"/>
          <w:numId w:val="1"/>
        </w:numPr>
        <w:rPr>
          <w:sz w:val="27"/>
          <w:szCs w:val="27"/>
        </w:rPr>
      </w:pPr>
      <w:r w:rsidRPr="005D5EB0">
        <w:rPr>
          <w:sz w:val="27"/>
          <w:szCs w:val="27"/>
        </w:rPr>
        <w:t xml:space="preserve">Luật Doanh nghiệp </w:t>
      </w:r>
      <w:r w:rsidR="00BF2AD4">
        <w:rPr>
          <w:sz w:val="27"/>
          <w:szCs w:val="27"/>
        </w:rPr>
        <w:t>số 60/2005/QH11 ngày 29/11/2005;</w:t>
      </w:r>
    </w:p>
    <w:p w:rsidR="00AB2D09" w:rsidRPr="00AB2D09" w:rsidRDefault="00AB2D09" w:rsidP="00AB2D09">
      <w:pPr>
        <w:numPr>
          <w:ilvl w:val="0"/>
          <w:numId w:val="1"/>
        </w:numPr>
        <w:jc w:val="both"/>
        <w:rPr>
          <w:spacing w:val="-6"/>
          <w:sz w:val="27"/>
          <w:szCs w:val="27"/>
        </w:rPr>
      </w:pPr>
      <w:r w:rsidRPr="00AB2D09">
        <w:rPr>
          <w:spacing w:val="-6"/>
          <w:sz w:val="27"/>
          <w:szCs w:val="27"/>
        </w:rPr>
        <w:t>Điều lệ tổ chức hoạt động của Công ty Cổ phần Cơ khí và Khoáng sản Hà Giang</w:t>
      </w:r>
      <w:r w:rsidR="00BF2AD4">
        <w:rPr>
          <w:spacing w:val="-6"/>
          <w:sz w:val="27"/>
          <w:szCs w:val="27"/>
        </w:rPr>
        <w:t>;</w:t>
      </w:r>
    </w:p>
    <w:p w:rsidR="00AB2D09" w:rsidRPr="005D5EB0" w:rsidRDefault="00AB2D09" w:rsidP="00AB2D09">
      <w:pPr>
        <w:pStyle w:val="oncaDanhsch"/>
        <w:numPr>
          <w:ilvl w:val="0"/>
          <w:numId w:val="1"/>
        </w:numPr>
        <w:rPr>
          <w:sz w:val="27"/>
          <w:szCs w:val="27"/>
        </w:rPr>
      </w:pPr>
      <w:r w:rsidRPr="00AB2D09">
        <w:rPr>
          <w:spacing w:val="-6"/>
          <w:sz w:val="27"/>
          <w:szCs w:val="27"/>
        </w:rPr>
        <w:t>Biên bản Đại hội đồng cổ đông thường niên năm 2015 ngày 29 tháng 3 năm 2015</w:t>
      </w:r>
      <w:r w:rsidR="00BF2AD4">
        <w:rPr>
          <w:sz w:val="27"/>
          <w:szCs w:val="27"/>
        </w:rPr>
        <w:t>;</w:t>
      </w:r>
    </w:p>
    <w:p w:rsidR="00AB2D09" w:rsidRPr="005D5EB0" w:rsidRDefault="00AB2D09" w:rsidP="00AB2D09">
      <w:pPr>
        <w:pStyle w:val="oncaDanhsch"/>
        <w:numPr>
          <w:ilvl w:val="0"/>
          <w:numId w:val="1"/>
        </w:numPr>
        <w:rPr>
          <w:sz w:val="27"/>
          <w:szCs w:val="27"/>
        </w:rPr>
      </w:pPr>
      <w:r w:rsidRPr="005D5EB0">
        <w:rPr>
          <w:sz w:val="27"/>
          <w:szCs w:val="27"/>
        </w:rPr>
        <w:t xml:space="preserve">Biên bản kiểm phiếu </w:t>
      </w:r>
      <w:r>
        <w:rPr>
          <w:sz w:val="27"/>
          <w:szCs w:val="27"/>
        </w:rPr>
        <w:t xml:space="preserve">biểu quyết tại </w:t>
      </w:r>
      <w:r w:rsidRPr="005D5EB0">
        <w:rPr>
          <w:sz w:val="27"/>
          <w:szCs w:val="27"/>
        </w:rPr>
        <w:t>Đại hội đồng cổ đông thường niên năm 2015</w:t>
      </w:r>
      <w:r>
        <w:rPr>
          <w:sz w:val="27"/>
          <w:szCs w:val="27"/>
        </w:rPr>
        <w:t>.</w:t>
      </w:r>
    </w:p>
    <w:p w:rsidR="00AB2D09" w:rsidRPr="005D5EB0" w:rsidRDefault="00AB2D09" w:rsidP="00AB2D09">
      <w:pPr>
        <w:pStyle w:val="oncaDanhsch"/>
        <w:ind w:left="0"/>
        <w:jc w:val="both"/>
        <w:rPr>
          <w:sz w:val="27"/>
          <w:szCs w:val="27"/>
        </w:rPr>
      </w:pPr>
      <w:r w:rsidRPr="005D5EB0">
        <w:rPr>
          <w:sz w:val="27"/>
          <w:szCs w:val="27"/>
        </w:rPr>
        <w:t>Đại hội đồng cổ đông thường niên năm 2015 của Công ty Cổ phần Cơ khí và Khoáng sản Hà Giang năm 2015</w:t>
      </w:r>
      <w:r>
        <w:rPr>
          <w:sz w:val="27"/>
          <w:szCs w:val="27"/>
        </w:rPr>
        <w:t xml:space="preserve"> đã được tiến hành</w:t>
      </w:r>
      <w:r w:rsidRPr="005D5EB0">
        <w:rPr>
          <w:sz w:val="27"/>
          <w:szCs w:val="27"/>
        </w:rPr>
        <w:t xml:space="preserve"> với 105</w:t>
      </w:r>
      <w:r w:rsidR="00BF2AD4">
        <w:rPr>
          <w:sz w:val="27"/>
          <w:szCs w:val="27"/>
        </w:rPr>
        <w:t xml:space="preserve"> </w:t>
      </w:r>
      <w:r w:rsidRPr="005D5EB0">
        <w:rPr>
          <w:sz w:val="27"/>
          <w:szCs w:val="27"/>
        </w:rPr>
        <w:t>cổ đông và người được ủy quyền</w:t>
      </w:r>
      <w:r>
        <w:rPr>
          <w:sz w:val="27"/>
          <w:szCs w:val="27"/>
        </w:rPr>
        <w:t xml:space="preserve"> tham</w:t>
      </w:r>
      <w:r w:rsidRPr="005D5EB0">
        <w:rPr>
          <w:sz w:val="27"/>
          <w:szCs w:val="27"/>
        </w:rPr>
        <w:t xml:space="preserve"> dự, đại diện cho 10.982.040</w:t>
      </w:r>
      <w:r w:rsidR="00BF2AD4">
        <w:rPr>
          <w:sz w:val="27"/>
          <w:szCs w:val="27"/>
        </w:rPr>
        <w:t xml:space="preserve"> </w:t>
      </w:r>
      <w:r w:rsidRPr="005D5EB0">
        <w:rPr>
          <w:sz w:val="27"/>
          <w:szCs w:val="27"/>
        </w:rPr>
        <w:t>cổ phần</w:t>
      </w:r>
      <w:r w:rsidR="00BF2AD4">
        <w:rPr>
          <w:sz w:val="27"/>
          <w:szCs w:val="27"/>
        </w:rPr>
        <w:t xml:space="preserve"> </w:t>
      </w:r>
      <w:r w:rsidRPr="005D5EB0">
        <w:rPr>
          <w:sz w:val="27"/>
          <w:szCs w:val="27"/>
        </w:rPr>
        <w:t>tương đương 92,13% tổng số cổ phần có quyền biểu quyết đã thảo luận và biểu quyết thông qua các Điều sau đây:</w:t>
      </w:r>
    </w:p>
    <w:p w:rsidR="00AB2D09" w:rsidRPr="005D5EB0" w:rsidRDefault="00AB2D09" w:rsidP="00AB2D09">
      <w:pPr>
        <w:pStyle w:val="oncaDanhsch"/>
        <w:ind w:left="0"/>
        <w:jc w:val="both"/>
        <w:rPr>
          <w:sz w:val="27"/>
          <w:szCs w:val="27"/>
        </w:rPr>
      </w:pPr>
    </w:p>
    <w:p w:rsidR="00AB2D09" w:rsidRPr="005D5EB0" w:rsidRDefault="00AB2D09" w:rsidP="00AB2D09">
      <w:pPr>
        <w:jc w:val="both"/>
        <w:rPr>
          <w:sz w:val="27"/>
          <w:szCs w:val="27"/>
        </w:rPr>
      </w:pPr>
      <w:r w:rsidRPr="005D5EB0">
        <w:rPr>
          <w:b/>
          <w:sz w:val="27"/>
          <w:szCs w:val="27"/>
        </w:rPr>
        <w:t>Điều 1:</w:t>
      </w:r>
      <w:r w:rsidRPr="005D5EB0">
        <w:rPr>
          <w:sz w:val="27"/>
          <w:szCs w:val="27"/>
        </w:rPr>
        <w:t xml:space="preserve"> Thông qua nội dung Báo cáo hoạt động của Hội đồng quản trị năm 2014 và phương hướng năm 2015.</w:t>
      </w:r>
    </w:p>
    <w:p w:rsidR="00AB2D09" w:rsidRPr="005D5EB0" w:rsidRDefault="00AB2D09" w:rsidP="00AB2D09">
      <w:pPr>
        <w:rPr>
          <w:i/>
          <w:sz w:val="27"/>
          <w:szCs w:val="27"/>
        </w:rPr>
      </w:pPr>
      <w:r w:rsidRPr="005D5EB0">
        <w:rPr>
          <w:i/>
          <w:sz w:val="27"/>
          <w:szCs w:val="27"/>
        </w:rPr>
        <w:t>Tỷ lệ biểu quyết đồng ý thông qua là: 100% tổng số cổ phần biểu quyết dự họp.</w:t>
      </w:r>
    </w:p>
    <w:p w:rsidR="00AB2D09" w:rsidRPr="005D5EB0" w:rsidRDefault="00AB2D09" w:rsidP="00AB2D09">
      <w:pPr>
        <w:rPr>
          <w:i/>
          <w:sz w:val="27"/>
          <w:szCs w:val="27"/>
        </w:rPr>
      </w:pPr>
    </w:p>
    <w:p w:rsidR="00AB2D09" w:rsidRPr="005D5EB0" w:rsidRDefault="00AB2D09" w:rsidP="00AB2D09">
      <w:pPr>
        <w:jc w:val="both"/>
        <w:rPr>
          <w:sz w:val="27"/>
          <w:szCs w:val="27"/>
        </w:rPr>
      </w:pPr>
      <w:r w:rsidRPr="005D5EB0">
        <w:rPr>
          <w:b/>
          <w:sz w:val="27"/>
          <w:szCs w:val="27"/>
        </w:rPr>
        <w:t>Điều 2:</w:t>
      </w:r>
      <w:r w:rsidRPr="005D5EB0">
        <w:rPr>
          <w:sz w:val="27"/>
          <w:szCs w:val="27"/>
        </w:rPr>
        <w:t xml:space="preserve"> Thông qua nội dung Báo cáo hoạt động của Ban kiểm soát năm 2014 và phương hướng năm 2015.</w:t>
      </w:r>
    </w:p>
    <w:p w:rsidR="00AB2D09" w:rsidRPr="005D5EB0" w:rsidRDefault="00AB2D09" w:rsidP="00AB2D09">
      <w:pPr>
        <w:jc w:val="both"/>
        <w:rPr>
          <w:sz w:val="27"/>
          <w:szCs w:val="27"/>
        </w:rPr>
      </w:pPr>
      <w:r w:rsidRPr="005D5EB0">
        <w:rPr>
          <w:i/>
          <w:sz w:val="27"/>
          <w:szCs w:val="27"/>
        </w:rPr>
        <w:t xml:space="preserve"> Tỷ lệ biểu quyết đồng ý thông qua là</w:t>
      </w:r>
      <w:r w:rsidR="0067126C">
        <w:rPr>
          <w:i/>
          <w:sz w:val="27"/>
          <w:szCs w:val="27"/>
        </w:rPr>
        <w:t xml:space="preserve">: </w:t>
      </w:r>
      <w:r w:rsidRPr="005D5EB0">
        <w:rPr>
          <w:i/>
          <w:sz w:val="27"/>
          <w:szCs w:val="27"/>
        </w:rPr>
        <w:t>100% tổng số cổ phần biểu quyết dự họp</w:t>
      </w:r>
    </w:p>
    <w:p w:rsidR="00AB2D09" w:rsidRPr="005D5EB0" w:rsidRDefault="00AB2D09" w:rsidP="00AB2D09">
      <w:pPr>
        <w:rPr>
          <w:b/>
          <w:sz w:val="27"/>
          <w:szCs w:val="27"/>
        </w:rPr>
      </w:pPr>
    </w:p>
    <w:p w:rsidR="00AB2D09" w:rsidRPr="005D5EB0" w:rsidRDefault="00AB2D09" w:rsidP="00AB2D09">
      <w:pPr>
        <w:jc w:val="both"/>
        <w:rPr>
          <w:sz w:val="27"/>
          <w:szCs w:val="27"/>
        </w:rPr>
      </w:pPr>
      <w:r w:rsidRPr="005D5EB0">
        <w:rPr>
          <w:b/>
          <w:sz w:val="27"/>
          <w:szCs w:val="27"/>
        </w:rPr>
        <w:t>Điều 3</w:t>
      </w:r>
      <w:r w:rsidRPr="005D5EB0">
        <w:rPr>
          <w:sz w:val="27"/>
          <w:szCs w:val="27"/>
        </w:rPr>
        <w:t>: Thông qua nội dung Báo cáo tài chính đã được kiểm toán năm 2014.</w:t>
      </w:r>
    </w:p>
    <w:p w:rsidR="00AB2D09" w:rsidRPr="005D5EB0" w:rsidRDefault="00AB2D09" w:rsidP="00AB2D09">
      <w:pPr>
        <w:rPr>
          <w:i/>
          <w:sz w:val="27"/>
          <w:szCs w:val="27"/>
        </w:rPr>
      </w:pPr>
      <w:r w:rsidRPr="005D5EB0">
        <w:rPr>
          <w:i/>
          <w:sz w:val="27"/>
          <w:szCs w:val="27"/>
        </w:rPr>
        <w:t>Tỷ lệ biểu quyết đồng ý thông qua là</w:t>
      </w:r>
      <w:r w:rsidR="003C164C">
        <w:rPr>
          <w:i/>
          <w:sz w:val="27"/>
          <w:szCs w:val="27"/>
        </w:rPr>
        <w:t>:</w:t>
      </w:r>
      <w:r w:rsidRPr="005D5EB0">
        <w:rPr>
          <w:i/>
          <w:sz w:val="27"/>
          <w:szCs w:val="27"/>
        </w:rPr>
        <w:t xml:space="preserve"> 100% tổng số cổ phần biểu quyết dự họp</w:t>
      </w:r>
    </w:p>
    <w:p w:rsidR="00AB2D09" w:rsidRPr="005D5EB0" w:rsidRDefault="00AB2D09" w:rsidP="00AB2D09">
      <w:pPr>
        <w:rPr>
          <w:b/>
          <w:sz w:val="27"/>
          <w:szCs w:val="27"/>
        </w:rPr>
      </w:pPr>
    </w:p>
    <w:p w:rsidR="00AB2D09" w:rsidRPr="005D5EB0" w:rsidRDefault="00AB2D09" w:rsidP="00AB2D09">
      <w:pPr>
        <w:rPr>
          <w:sz w:val="27"/>
          <w:szCs w:val="27"/>
        </w:rPr>
      </w:pPr>
      <w:r w:rsidRPr="005D5EB0">
        <w:rPr>
          <w:b/>
          <w:sz w:val="27"/>
          <w:szCs w:val="27"/>
        </w:rPr>
        <w:t>Điều4:</w:t>
      </w:r>
      <w:r w:rsidRPr="005D5EB0">
        <w:rPr>
          <w:sz w:val="27"/>
          <w:szCs w:val="27"/>
        </w:rPr>
        <w:t xml:space="preserve"> Thông qua Phương án phân phối lợi nhuận và cổ tức năm 2014</w:t>
      </w:r>
      <w:r>
        <w:rPr>
          <w:sz w:val="27"/>
          <w:szCs w:val="27"/>
        </w:rPr>
        <w:t xml:space="preserve"> như sau</w:t>
      </w:r>
      <w:r w:rsidRPr="005D5EB0">
        <w:rPr>
          <w:sz w:val="27"/>
          <w:szCs w:val="27"/>
        </w:rPr>
        <w:t>:</w:t>
      </w:r>
    </w:p>
    <w:p w:rsidR="00AB2D09" w:rsidRPr="005D5EB0" w:rsidRDefault="00AB2D09" w:rsidP="00AB2D09">
      <w:pPr>
        <w:rPr>
          <w:sz w:val="27"/>
          <w:szCs w:val="27"/>
        </w:rPr>
      </w:pPr>
      <w:r w:rsidRPr="005D5EB0">
        <w:rPr>
          <w:sz w:val="27"/>
          <w:szCs w:val="27"/>
        </w:rPr>
        <w:tab/>
        <w:t>- Cổ tức trả bằng tiền: 20% (đã tạm ứng 15%)</w:t>
      </w:r>
    </w:p>
    <w:p w:rsidR="00AB2D09" w:rsidRPr="005D5EB0" w:rsidRDefault="00AB2D09" w:rsidP="00AB2D09">
      <w:pPr>
        <w:rPr>
          <w:sz w:val="27"/>
          <w:szCs w:val="27"/>
        </w:rPr>
      </w:pPr>
      <w:r w:rsidRPr="005D5EB0">
        <w:rPr>
          <w:sz w:val="27"/>
          <w:szCs w:val="27"/>
        </w:rPr>
        <w:tab/>
        <w:t>- Trích quỹ khen thưởng phúc lợi:</w:t>
      </w:r>
      <w:r>
        <w:rPr>
          <w:sz w:val="27"/>
          <w:szCs w:val="27"/>
        </w:rPr>
        <w:tab/>
      </w:r>
      <w:r w:rsidRPr="005D5EB0">
        <w:rPr>
          <w:sz w:val="27"/>
          <w:szCs w:val="27"/>
        </w:rPr>
        <w:t>3.379.284.000 đồng</w:t>
      </w:r>
    </w:p>
    <w:p w:rsidR="00AB2D09" w:rsidRPr="005D5EB0" w:rsidRDefault="00AB2D09" w:rsidP="00AB2D09">
      <w:pPr>
        <w:rPr>
          <w:sz w:val="27"/>
          <w:szCs w:val="27"/>
        </w:rPr>
      </w:pPr>
      <w:r w:rsidRPr="005D5EB0">
        <w:rPr>
          <w:sz w:val="27"/>
          <w:szCs w:val="27"/>
        </w:rPr>
        <w:tab/>
        <w:t>- Tríc</w:t>
      </w:r>
      <w:r>
        <w:rPr>
          <w:sz w:val="27"/>
          <w:szCs w:val="27"/>
        </w:rPr>
        <w:t>h quỹ đầu tư phát triển :</w:t>
      </w:r>
      <w:r>
        <w:rPr>
          <w:sz w:val="27"/>
          <w:szCs w:val="27"/>
        </w:rPr>
        <w:tab/>
      </w:r>
      <w:r>
        <w:rPr>
          <w:sz w:val="27"/>
          <w:szCs w:val="27"/>
        </w:rPr>
        <w:tab/>
      </w:r>
      <w:r w:rsidRPr="005D5EB0">
        <w:rPr>
          <w:color w:val="000000"/>
          <w:sz w:val="27"/>
          <w:szCs w:val="27"/>
        </w:rPr>
        <w:t xml:space="preserve">2.839.598.479 </w:t>
      </w:r>
      <w:r w:rsidRPr="005D5EB0">
        <w:rPr>
          <w:sz w:val="27"/>
          <w:szCs w:val="27"/>
        </w:rPr>
        <w:t>đồng</w:t>
      </w:r>
    </w:p>
    <w:p w:rsidR="00AB2D09" w:rsidRPr="005D5EB0" w:rsidRDefault="00AB2D09" w:rsidP="00AB2D09">
      <w:pPr>
        <w:rPr>
          <w:i/>
          <w:sz w:val="27"/>
          <w:szCs w:val="27"/>
        </w:rPr>
      </w:pPr>
      <w:r w:rsidRPr="005D5EB0">
        <w:rPr>
          <w:i/>
          <w:sz w:val="27"/>
          <w:szCs w:val="27"/>
        </w:rPr>
        <w:t>Tỷ lệ biểu quyết đồng ý thông qua là</w:t>
      </w:r>
      <w:r w:rsidR="003C164C">
        <w:rPr>
          <w:i/>
          <w:sz w:val="27"/>
          <w:szCs w:val="27"/>
        </w:rPr>
        <w:t>:</w:t>
      </w:r>
      <w:r w:rsidRPr="005D5EB0">
        <w:rPr>
          <w:i/>
          <w:sz w:val="27"/>
          <w:szCs w:val="27"/>
        </w:rPr>
        <w:t xml:space="preserve"> 100% tổng số cổ phần biểu quyết dự họp</w:t>
      </w:r>
    </w:p>
    <w:p w:rsidR="00AB2D09" w:rsidRPr="005D5EB0" w:rsidRDefault="00AB2D09" w:rsidP="00AB2D09">
      <w:pPr>
        <w:rPr>
          <w:b/>
          <w:sz w:val="27"/>
          <w:szCs w:val="27"/>
        </w:rPr>
      </w:pPr>
    </w:p>
    <w:p w:rsidR="00AB2D09" w:rsidRPr="005D5EB0" w:rsidRDefault="00AB2D09" w:rsidP="00AB2D09">
      <w:pPr>
        <w:rPr>
          <w:sz w:val="27"/>
          <w:szCs w:val="27"/>
        </w:rPr>
      </w:pPr>
      <w:r w:rsidRPr="005D5EB0">
        <w:rPr>
          <w:b/>
          <w:sz w:val="27"/>
          <w:szCs w:val="27"/>
        </w:rPr>
        <w:t>Điều5:</w:t>
      </w:r>
      <w:r w:rsidRPr="005D5EB0">
        <w:rPr>
          <w:sz w:val="27"/>
          <w:szCs w:val="27"/>
        </w:rPr>
        <w:t xml:space="preserve"> Thông qua Kế hoạch sản xuất kinh doanh và dự kiến cổ tức năm 2015</w:t>
      </w:r>
    </w:p>
    <w:p w:rsidR="00AB2D09" w:rsidRPr="005D5EB0" w:rsidRDefault="00AB2D09" w:rsidP="00AB2D09">
      <w:pPr>
        <w:pStyle w:val="KhngGincch"/>
        <w:jc w:val="both"/>
        <w:rPr>
          <w:sz w:val="27"/>
          <w:szCs w:val="27"/>
        </w:rPr>
      </w:pPr>
      <w:r w:rsidRPr="005D5EB0">
        <w:rPr>
          <w:sz w:val="27"/>
          <w:szCs w:val="27"/>
        </w:rPr>
        <w:tab/>
        <w:t>- Sản xuất kim loại antimon:</w:t>
      </w:r>
      <w:r w:rsidRPr="005D5EB0">
        <w:rPr>
          <w:sz w:val="27"/>
          <w:szCs w:val="27"/>
        </w:rPr>
        <w:tab/>
      </w:r>
      <w:r w:rsidRPr="005D5EB0">
        <w:rPr>
          <w:sz w:val="27"/>
          <w:szCs w:val="27"/>
        </w:rPr>
        <w:tab/>
        <w:t>750 tấn</w:t>
      </w:r>
    </w:p>
    <w:p w:rsidR="00AB2D09" w:rsidRPr="005D5EB0" w:rsidRDefault="00AB2D09" w:rsidP="00AB2D09">
      <w:pPr>
        <w:pStyle w:val="KhngGincch"/>
        <w:jc w:val="both"/>
        <w:rPr>
          <w:sz w:val="27"/>
          <w:szCs w:val="27"/>
        </w:rPr>
      </w:pPr>
      <w:r w:rsidRPr="005D5EB0">
        <w:rPr>
          <w:sz w:val="27"/>
          <w:szCs w:val="27"/>
        </w:rPr>
        <w:tab/>
        <w:t>- Tiêu thụ kim loại antimon:</w:t>
      </w:r>
      <w:r w:rsidRPr="005D5EB0">
        <w:rPr>
          <w:sz w:val="27"/>
          <w:szCs w:val="27"/>
        </w:rPr>
        <w:tab/>
      </w:r>
      <w:r w:rsidRPr="005D5EB0">
        <w:rPr>
          <w:sz w:val="27"/>
          <w:szCs w:val="27"/>
        </w:rPr>
        <w:tab/>
        <w:t>770 tấn</w:t>
      </w:r>
    </w:p>
    <w:p w:rsidR="00AB2D09" w:rsidRPr="005D5EB0" w:rsidRDefault="00AB2D09" w:rsidP="00AB2D09">
      <w:pPr>
        <w:pStyle w:val="KhngGincch"/>
        <w:jc w:val="both"/>
        <w:rPr>
          <w:sz w:val="27"/>
          <w:szCs w:val="27"/>
        </w:rPr>
      </w:pPr>
      <w:r w:rsidRPr="005D5EB0">
        <w:rPr>
          <w:sz w:val="27"/>
          <w:szCs w:val="27"/>
        </w:rPr>
        <w:tab/>
        <w:t>- Doanh thu:</w:t>
      </w:r>
      <w:r w:rsidRPr="005D5EB0">
        <w:rPr>
          <w:sz w:val="27"/>
          <w:szCs w:val="27"/>
        </w:rPr>
        <w:tab/>
      </w:r>
      <w:r w:rsidRPr="005D5EB0">
        <w:rPr>
          <w:sz w:val="27"/>
          <w:szCs w:val="27"/>
        </w:rPr>
        <w:tab/>
      </w:r>
      <w:r w:rsidRPr="005D5EB0">
        <w:rPr>
          <w:sz w:val="27"/>
          <w:szCs w:val="27"/>
        </w:rPr>
        <w:tab/>
      </w:r>
      <w:r w:rsidRPr="005D5EB0">
        <w:rPr>
          <w:sz w:val="27"/>
          <w:szCs w:val="27"/>
        </w:rPr>
        <w:tab/>
      </w:r>
      <w:r w:rsidRPr="005D5EB0">
        <w:rPr>
          <w:sz w:val="27"/>
          <w:szCs w:val="27"/>
        </w:rPr>
        <w:tab/>
        <w:t>134 tỷ đồng</w:t>
      </w:r>
    </w:p>
    <w:p w:rsidR="00AB2D09" w:rsidRPr="005D5EB0" w:rsidRDefault="00AB2D09" w:rsidP="00AB2D09">
      <w:pPr>
        <w:pStyle w:val="KhngGincch"/>
        <w:jc w:val="both"/>
        <w:rPr>
          <w:sz w:val="27"/>
          <w:szCs w:val="27"/>
        </w:rPr>
      </w:pPr>
      <w:r w:rsidRPr="005D5EB0">
        <w:rPr>
          <w:sz w:val="27"/>
          <w:szCs w:val="27"/>
        </w:rPr>
        <w:tab/>
        <w:t>- Lợi nhuận trước thuế:</w:t>
      </w:r>
      <w:r w:rsidRPr="005D5EB0">
        <w:rPr>
          <w:sz w:val="27"/>
          <w:szCs w:val="27"/>
        </w:rPr>
        <w:tab/>
      </w:r>
      <w:r w:rsidRPr="005D5EB0">
        <w:rPr>
          <w:sz w:val="27"/>
          <w:szCs w:val="27"/>
        </w:rPr>
        <w:tab/>
      </w:r>
      <w:r w:rsidRPr="005D5EB0">
        <w:rPr>
          <w:sz w:val="27"/>
          <w:szCs w:val="27"/>
        </w:rPr>
        <w:tab/>
        <w:t>39 tỷ đồng</w:t>
      </w:r>
    </w:p>
    <w:p w:rsidR="00AB2D09" w:rsidRPr="005D5EB0" w:rsidRDefault="00AB2D09" w:rsidP="00AB2D09">
      <w:pPr>
        <w:pStyle w:val="KhngGincch"/>
        <w:jc w:val="both"/>
        <w:rPr>
          <w:sz w:val="27"/>
          <w:szCs w:val="27"/>
        </w:rPr>
      </w:pPr>
      <w:r w:rsidRPr="005D5EB0">
        <w:rPr>
          <w:sz w:val="27"/>
          <w:szCs w:val="27"/>
        </w:rPr>
        <w:lastRenderedPageBreak/>
        <w:tab/>
        <w:t>- Cổ tức bằng tiề</w:t>
      </w:r>
      <w:bookmarkStart w:id="0" w:name="_GoBack"/>
      <w:bookmarkEnd w:id="0"/>
      <w:r w:rsidRPr="005D5EB0">
        <w:rPr>
          <w:sz w:val="27"/>
          <w:szCs w:val="27"/>
        </w:rPr>
        <w:t>n</w:t>
      </w:r>
      <w:r w:rsidR="00BF2AD4">
        <w:rPr>
          <w:sz w:val="27"/>
          <w:szCs w:val="27"/>
        </w:rPr>
        <w:t>:</w:t>
      </w:r>
      <w:r w:rsidR="00BF2AD4">
        <w:rPr>
          <w:sz w:val="27"/>
          <w:szCs w:val="27"/>
        </w:rPr>
        <w:tab/>
      </w:r>
      <w:r w:rsidR="00BF2AD4">
        <w:rPr>
          <w:sz w:val="27"/>
          <w:szCs w:val="27"/>
        </w:rPr>
        <w:tab/>
      </w:r>
      <w:r w:rsidR="00BF2AD4">
        <w:rPr>
          <w:sz w:val="27"/>
          <w:szCs w:val="27"/>
        </w:rPr>
        <w:tab/>
      </w:r>
      <w:r w:rsidR="00BF2AD4">
        <w:rPr>
          <w:sz w:val="27"/>
          <w:szCs w:val="27"/>
        </w:rPr>
        <w:tab/>
      </w:r>
      <w:r>
        <w:rPr>
          <w:sz w:val="27"/>
          <w:szCs w:val="27"/>
        </w:rPr>
        <w:t>T</w:t>
      </w:r>
      <w:r w:rsidRPr="005D5EB0">
        <w:rPr>
          <w:sz w:val="27"/>
          <w:szCs w:val="27"/>
        </w:rPr>
        <w:t>ối thiểu</w:t>
      </w:r>
      <w:r w:rsidR="00BF2AD4">
        <w:rPr>
          <w:sz w:val="27"/>
          <w:szCs w:val="27"/>
        </w:rPr>
        <w:t xml:space="preserve"> </w:t>
      </w:r>
      <w:r w:rsidRPr="005D5EB0">
        <w:rPr>
          <w:sz w:val="27"/>
          <w:szCs w:val="27"/>
        </w:rPr>
        <w:t>20%</w:t>
      </w:r>
    </w:p>
    <w:p w:rsidR="00AB2D09" w:rsidRPr="005D5EB0" w:rsidRDefault="00AB2D09" w:rsidP="00AB2D09">
      <w:pPr>
        <w:pStyle w:val="KhngGincch"/>
        <w:ind w:firstLine="720"/>
        <w:jc w:val="both"/>
        <w:rPr>
          <w:sz w:val="27"/>
          <w:szCs w:val="27"/>
        </w:rPr>
      </w:pPr>
      <w:r w:rsidRPr="005D5EB0">
        <w:rPr>
          <w:sz w:val="27"/>
          <w:szCs w:val="27"/>
        </w:rPr>
        <w:t xml:space="preserve">- Ủy quyền cho HĐQT </w:t>
      </w:r>
      <w:r>
        <w:rPr>
          <w:sz w:val="27"/>
          <w:szCs w:val="27"/>
        </w:rPr>
        <w:t>được quyết định</w:t>
      </w:r>
      <w:r w:rsidR="00BF2AD4">
        <w:rPr>
          <w:sz w:val="27"/>
          <w:szCs w:val="27"/>
        </w:rPr>
        <w:t xml:space="preserve"> </w:t>
      </w:r>
      <w:r w:rsidRPr="005D5EB0">
        <w:rPr>
          <w:sz w:val="27"/>
          <w:szCs w:val="27"/>
        </w:rPr>
        <w:t xml:space="preserve">mức tạm ứng cổ tức </w:t>
      </w:r>
      <w:r>
        <w:rPr>
          <w:sz w:val="27"/>
          <w:szCs w:val="27"/>
        </w:rPr>
        <w:t xml:space="preserve">và thời </w:t>
      </w:r>
      <w:r w:rsidRPr="005D5EB0">
        <w:rPr>
          <w:sz w:val="27"/>
          <w:szCs w:val="27"/>
        </w:rPr>
        <w:t xml:space="preserve">gian </w:t>
      </w:r>
      <w:r>
        <w:rPr>
          <w:sz w:val="27"/>
          <w:szCs w:val="27"/>
        </w:rPr>
        <w:t>chi trả</w:t>
      </w:r>
      <w:r w:rsidRPr="005D5EB0">
        <w:rPr>
          <w:sz w:val="27"/>
          <w:szCs w:val="27"/>
        </w:rPr>
        <w:t>.</w:t>
      </w:r>
    </w:p>
    <w:p w:rsidR="00AB2D09" w:rsidRPr="005D5EB0" w:rsidRDefault="00AB2D09" w:rsidP="00AB2D09">
      <w:pPr>
        <w:pStyle w:val="KhngGincch"/>
        <w:jc w:val="both"/>
        <w:rPr>
          <w:sz w:val="27"/>
          <w:szCs w:val="27"/>
        </w:rPr>
      </w:pPr>
      <w:r w:rsidRPr="005D5EB0">
        <w:rPr>
          <w:sz w:val="27"/>
          <w:szCs w:val="27"/>
        </w:rPr>
        <w:tab/>
        <w:t xml:space="preserve">- </w:t>
      </w:r>
      <w:r>
        <w:rPr>
          <w:sz w:val="27"/>
          <w:szCs w:val="27"/>
        </w:rPr>
        <w:t xml:space="preserve">Công ty được tạm trích 5% từ lợi nhuận sau thuế hàng quý năm 2015 </w:t>
      </w:r>
      <w:r w:rsidRPr="005D5EB0">
        <w:rPr>
          <w:sz w:val="27"/>
          <w:szCs w:val="27"/>
        </w:rPr>
        <w:t>vào Quỹ Khen thưởng phúc lợi</w:t>
      </w:r>
      <w:r>
        <w:rPr>
          <w:sz w:val="27"/>
          <w:szCs w:val="27"/>
        </w:rPr>
        <w:t>.</w:t>
      </w:r>
    </w:p>
    <w:p w:rsidR="00AB2D09" w:rsidRPr="005D5EB0" w:rsidRDefault="00AB2D09" w:rsidP="00AB2D09">
      <w:pPr>
        <w:pStyle w:val="KhngGincch"/>
        <w:ind w:firstLine="720"/>
        <w:jc w:val="both"/>
        <w:rPr>
          <w:sz w:val="27"/>
          <w:szCs w:val="27"/>
        </w:rPr>
      </w:pPr>
      <w:r w:rsidRPr="005D5EB0">
        <w:rPr>
          <w:sz w:val="27"/>
          <w:szCs w:val="27"/>
        </w:rPr>
        <w:t xml:space="preserve">- Về kế hoạch đầu tư: </w:t>
      </w:r>
      <w:r>
        <w:rPr>
          <w:sz w:val="27"/>
          <w:szCs w:val="27"/>
        </w:rPr>
        <w:t>Làm rõ hiệu quả của Dự án xưởng tuyển để quyết định đầu tư</w:t>
      </w:r>
      <w:r w:rsidRPr="005D5EB0">
        <w:rPr>
          <w:sz w:val="27"/>
          <w:szCs w:val="27"/>
        </w:rPr>
        <w:t xml:space="preserve">; </w:t>
      </w:r>
      <w:r>
        <w:rPr>
          <w:sz w:val="27"/>
          <w:szCs w:val="27"/>
        </w:rPr>
        <w:t xml:space="preserve">Hoàn thiện Dự án thăm dò nâng cấp mỏ Antimon Mậu Duệ; </w:t>
      </w:r>
      <w:r w:rsidRPr="005D5EB0">
        <w:rPr>
          <w:sz w:val="27"/>
          <w:szCs w:val="27"/>
        </w:rPr>
        <w:t xml:space="preserve">Xây dựng Dự án tòa nhà văn phòng; Xem xét lựa chọn đầu tư </w:t>
      </w:r>
      <w:r>
        <w:rPr>
          <w:sz w:val="27"/>
          <w:szCs w:val="27"/>
        </w:rPr>
        <w:t>tài chính vào các công ty</w:t>
      </w:r>
      <w:r w:rsidRPr="005D5EB0">
        <w:rPr>
          <w:sz w:val="27"/>
          <w:szCs w:val="27"/>
        </w:rPr>
        <w:t xml:space="preserve"> tiềm năng khi có điều kiện thuận lợi.</w:t>
      </w:r>
    </w:p>
    <w:p w:rsidR="00AB2D09" w:rsidRPr="005D5EB0" w:rsidRDefault="00AB2D09" w:rsidP="00AB2D09">
      <w:pPr>
        <w:rPr>
          <w:i/>
          <w:sz w:val="27"/>
          <w:szCs w:val="27"/>
        </w:rPr>
      </w:pPr>
      <w:r w:rsidRPr="005D5EB0">
        <w:rPr>
          <w:i/>
          <w:sz w:val="27"/>
          <w:szCs w:val="27"/>
        </w:rPr>
        <w:t>Tỷ lệ</w:t>
      </w:r>
      <w:r w:rsidR="003C164C">
        <w:rPr>
          <w:i/>
          <w:sz w:val="27"/>
          <w:szCs w:val="27"/>
        </w:rPr>
        <w:t xml:space="preserve"> biểu quyết đồng ý thông qua là:</w:t>
      </w:r>
      <w:r w:rsidRPr="005D5EB0">
        <w:rPr>
          <w:i/>
          <w:sz w:val="27"/>
          <w:szCs w:val="27"/>
        </w:rPr>
        <w:t>100% tổng số cổ phần biểu quyết dự họp</w:t>
      </w:r>
    </w:p>
    <w:p w:rsidR="00AB2D09" w:rsidRPr="005D5EB0" w:rsidRDefault="00AB2D09" w:rsidP="00AB2D09">
      <w:pPr>
        <w:rPr>
          <w:b/>
          <w:sz w:val="27"/>
          <w:szCs w:val="27"/>
        </w:rPr>
      </w:pPr>
    </w:p>
    <w:p w:rsidR="00AB2D09" w:rsidRPr="005D5EB0" w:rsidRDefault="00AB2D09" w:rsidP="00AB2D09">
      <w:pPr>
        <w:rPr>
          <w:sz w:val="27"/>
          <w:szCs w:val="27"/>
        </w:rPr>
      </w:pPr>
      <w:r w:rsidRPr="005D5EB0">
        <w:rPr>
          <w:b/>
          <w:sz w:val="27"/>
          <w:szCs w:val="27"/>
        </w:rPr>
        <w:t>Điều 6</w:t>
      </w:r>
      <w:r w:rsidR="00BF2AD4">
        <w:rPr>
          <w:b/>
          <w:sz w:val="27"/>
          <w:szCs w:val="27"/>
        </w:rPr>
        <w:t xml:space="preserve">: </w:t>
      </w:r>
      <w:r w:rsidRPr="005D5EB0">
        <w:rPr>
          <w:sz w:val="27"/>
          <w:szCs w:val="27"/>
        </w:rPr>
        <w:t>Bổ nhiệm Công ty TNHH Deloitte Việt Nam là đơn vị Kiểm toán Báo cáo tài chính năm 2015 của Công ty.</w:t>
      </w:r>
    </w:p>
    <w:p w:rsidR="00AB2D09" w:rsidRPr="005D5EB0" w:rsidRDefault="00AB2D09" w:rsidP="00AB2D09">
      <w:pPr>
        <w:rPr>
          <w:i/>
          <w:sz w:val="27"/>
          <w:szCs w:val="27"/>
        </w:rPr>
      </w:pPr>
      <w:r w:rsidRPr="005D5EB0">
        <w:rPr>
          <w:i/>
          <w:sz w:val="27"/>
          <w:szCs w:val="27"/>
        </w:rPr>
        <w:t>Tỷ lệ biểu quyết đồng ý thông qua là</w:t>
      </w:r>
      <w:r w:rsidR="003C164C">
        <w:rPr>
          <w:i/>
          <w:sz w:val="27"/>
          <w:szCs w:val="27"/>
        </w:rPr>
        <w:t>:</w:t>
      </w:r>
      <w:r w:rsidRPr="005D5EB0">
        <w:rPr>
          <w:i/>
          <w:sz w:val="27"/>
          <w:szCs w:val="27"/>
        </w:rPr>
        <w:t xml:space="preserve"> 100% tổng số cổ phần biểu quyết dự họp</w:t>
      </w:r>
    </w:p>
    <w:p w:rsidR="00AB2D09" w:rsidRPr="005D5EB0" w:rsidRDefault="00AB2D09" w:rsidP="00AB2D09">
      <w:pPr>
        <w:jc w:val="both"/>
        <w:rPr>
          <w:b/>
          <w:sz w:val="27"/>
          <w:szCs w:val="27"/>
        </w:rPr>
      </w:pPr>
    </w:p>
    <w:p w:rsidR="00AB2D09" w:rsidRPr="005D5EB0" w:rsidRDefault="00AB2D09" w:rsidP="00AB2D09">
      <w:pPr>
        <w:jc w:val="both"/>
        <w:rPr>
          <w:sz w:val="27"/>
          <w:szCs w:val="27"/>
        </w:rPr>
      </w:pPr>
      <w:r w:rsidRPr="005D5EB0">
        <w:rPr>
          <w:b/>
          <w:sz w:val="27"/>
          <w:szCs w:val="27"/>
        </w:rPr>
        <w:t>Điều 7:</w:t>
      </w:r>
      <w:r w:rsidRPr="005D5EB0">
        <w:rPr>
          <w:sz w:val="27"/>
          <w:szCs w:val="27"/>
        </w:rPr>
        <w:t xml:space="preserve"> Thông qua quyết toán mức chi trả thù lao cho Hội đồng quản trị, Ban kiểm soát và thư ký Hội đồng quản trị năm 2014và kế hoạch chi trả thù lao năm 2015.</w:t>
      </w:r>
    </w:p>
    <w:p w:rsidR="00AB2D09" w:rsidRPr="005D5EB0" w:rsidRDefault="00AB2D09" w:rsidP="00AB2D09">
      <w:pPr>
        <w:rPr>
          <w:sz w:val="27"/>
          <w:szCs w:val="27"/>
        </w:rPr>
      </w:pPr>
      <w:r w:rsidRPr="005D5EB0">
        <w:rPr>
          <w:sz w:val="27"/>
          <w:szCs w:val="27"/>
        </w:rPr>
        <w:tab/>
        <w:t>- Tổng số thù lao thực hiện năm 2014:</w:t>
      </w:r>
      <w:r w:rsidRPr="005D5EB0">
        <w:rPr>
          <w:sz w:val="27"/>
          <w:szCs w:val="27"/>
        </w:rPr>
        <w:tab/>
      </w:r>
      <w:r w:rsidRPr="005D5EB0">
        <w:rPr>
          <w:sz w:val="27"/>
          <w:szCs w:val="27"/>
        </w:rPr>
        <w:tab/>
        <w:t>923.000.000 đồng</w:t>
      </w:r>
    </w:p>
    <w:p w:rsidR="00AB2D09" w:rsidRPr="005D5EB0" w:rsidRDefault="00AB2D09" w:rsidP="00AB2D09">
      <w:pPr>
        <w:rPr>
          <w:sz w:val="27"/>
          <w:szCs w:val="27"/>
        </w:rPr>
      </w:pPr>
      <w:r w:rsidRPr="005D5EB0">
        <w:rPr>
          <w:sz w:val="27"/>
          <w:szCs w:val="27"/>
        </w:rPr>
        <w:tab/>
        <w:t>- Kế hoạch thù lao năm 2015:</w:t>
      </w:r>
      <w:r w:rsidRPr="005D5EB0">
        <w:rPr>
          <w:sz w:val="27"/>
          <w:szCs w:val="27"/>
        </w:rPr>
        <w:tab/>
      </w:r>
      <w:r w:rsidRPr="005D5EB0">
        <w:rPr>
          <w:sz w:val="27"/>
          <w:szCs w:val="27"/>
        </w:rPr>
        <w:tab/>
      </w:r>
      <w:r w:rsidRPr="005D5EB0">
        <w:rPr>
          <w:sz w:val="27"/>
          <w:szCs w:val="27"/>
        </w:rPr>
        <w:tab/>
        <w:t>816.000.000 đồng</w:t>
      </w:r>
    </w:p>
    <w:p w:rsidR="00AB2D09" w:rsidRPr="005D5EB0" w:rsidRDefault="00AB2D09" w:rsidP="00AB2D09">
      <w:pPr>
        <w:rPr>
          <w:i/>
          <w:sz w:val="27"/>
          <w:szCs w:val="27"/>
        </w:rPr>
      </w:pPr>
      <w:r w:rsidRPr="005D5EB0">
        <w:rPr>
          <w:i/>
          <w:sz w:val="27"/>
          <w:szCs w:val="27"/>
        </w:rPr>
        <w:t>Tỷ lệ biểu quyết đồng ý thông qua là</w:t>
      </w:r>
      <w:r w:rsidR="003C164C">
        <w:rPr>
          <w:i/>
          <w:sz w:val="27"/>
          <w:szCs w:val="27"/>
        </w:rPr>
        <w:t>:</w:t>
      </w:r>
      <w:r w:rsidRPr="005D5EB0">
        <w:rPr>
          <w:i/>
          <w:sz w:val="27"/>
          <w:szCs w:val="27"/>
        </w:rPr>
        <w:t xml:space="preserve"> 100% tổng số cổ phần biểu quyết dự họp</w:t>
      </w:r>
    </w:p>
    <w:p w:rsidR="00AB2D09" w:rsidRPr="005D5EB0" w:rsidRDefault="00AB2D09" w:rsidP="00AB2D09">
      <w:pPr>
        <w:jc w:val="both"/>
        <w:rPr>
          <w:b/>
          <w:sz w:val="27"/>
          <w:szCs w:val="27"/>
        </w:rPr>
      </w:pPr>
    </w:p>
    <w:p w:rsidR="00AB2D09" w:rsidRPr="005D5EB0" w:rsidRDefault="00AB2D09" w:rsidP="00AB2D09">
      <w:pPr>
        <w:jc w:val="both"/>
        <w:rPr>
          <w:i/>
          <w:sz w:val="27"/>
          <w:szCs w:val="27"/>
        </w:rPr>
      </w:pPr>
      <w:r w:rsidRPr="005D5EB0">
        <w:rPr>
          <w:b/>
          <w:sz w:val="27"/>
          <w:szCs w:val="27"/>
        </w:rPr>
        <w:t>Điều 8:</w:t>
      </w:r>
      <w:r w:rsidRPr="005D5EB0">
        <w:rPr>
          <w:sz w:val="27"/>
          <w:szCs w:val="27"/>
        </w:rPr>
        <w:t xml:space="preserve"> Thông qua</w:t>
      </w:r>
      <w:r>
        <w:rPr>
          <w:sz w:val="27"/>
          <w:szCs w:val="27"/>
        </w:rPr>
        <w:t xml:space="preserve"> tờ trình về việc </w:t>
      </w:r>
      <w:r w:rsidRPr="005D5EB0">
        <w:rPr>
          <w:sz w:val="27"/>
          <w:szCs w:val="27"/>
        </w:rPr>
        <w:t>bổ xung, sửa đổi Điều lệ hoạt động Công ty. Giao cho H</w:t>
      </w:r>
      <w:r w:rsidR="00BF2AD4">
        <w:rPr>
          <w:sz w:val="27"/>
          <w:szCs w:val="27"/>
        </w:rPr>
        <w:t xml:space="preserve">ội đồng quản trị </w:t>
      </w:r>
      <w:r>
        <w:rPr>
          <w:sz w:val="27"/>
          <w:szCs w:val="27"/>
        </w:rPr>
        <w:t xml:space="preserve">hoàn thiện các nội dung </w:t>
      </w:r>
      <w:r w:rsidRPr="005D5EB0">
        <w:rPr>
          <w:sz w:val="27"/>
          <w:szCs w:val="27"/>
        </w:rPr>
        <w:t>Điều lệ hoạt động của Công ty theo quy định hiện hành và phù hợp với điều kiện thực tế của Công ty để trình Đại hội đồng cổ đông thông qua tại phiên họp gần nhất.</w:t>
      </w:r>
    </w:p>
    <w:p w:rsidR="00AB2D09" w:rsidRPr="005D5EB0" w:rsidRDefault="00AB2D09" w:rsidP="00AB2D09">
      <w:pPr>
        <w:rPr>
          <w:i/>
          <w:sz w:val="27"/>
          <w:szCs w:val="27"/>
        </w:rPr>
      </w:pPr>
      <w:r w:rsidRPr="005D5EB0">
        <w:rPr>
          <w:i/>
          <w:sz w:val="27"/>
          <w:szCs w:val="27"/>
        </w:rPr>
        <w:t>Tỷ lệ biểu quyết đồng ý thông qua là</w:t>
      </w:r>
      <w:r w:rsidR="003C164C">
        <w:rPr>
          <w:i/>
          <w:sz w:val="27"/>
          <w:szCs w:val="27"/>
        </w:rPr>
        <w:t>:</w:t>
      </w:r>
      <w:r w:rsidRPr="005D5EB0">
        <w:rPr>
          <w:i/>
          <w:sz w:val="27"/>
          <w:szCs w:val="27"/>
        </w:rPr>
        <w:t xml:space="preserve"> 100% tổng số cổ phần biểu quyết dự họp</w:t>
      </w:r>
    </w:p>
    <w:p w:rsidR="00AB2D09" w:rsidRPr="005D5EB0" w:rsidRDefault="00AB2D09" w:rsidP="00AB2D09">
      <w:pPr>
        <w:pStyle w:val="oncaDanhsch"/>
        <w:ind w:left="0"/>
        <w:rPr>
          <w:b/>
          <w:sz w:val="27"/>
          <w:szCs w:val="27"/>
        </w:rPr>
      </w:pPr>
    </w:p>
    <w:p w:rsidR="00AB2D09" w:rsidRPr="005D5EB0" w:rsidRDefault="00AB2D09" w:rsidP="00AB2D09">
      <w:pPr>
        <w:pStyle w:val="oncaDanhsch"/>
        <w:ind w:left="0"/>
        <w:rPr>
          <w:sz w:val="27"/>
          <w:szCs w:val="27"/>
        </w:rPr>
      </w:pPr>
      <w:r w:rsidRPr="005D5EB0">
        <w:rPr>
          <w:b/>
          <w:sz w:val="27"/>
          <w:szCs w:val="27"/>
        </w:rPr>
        <w:t>Điều 9:</w:t>
      </w:r>
      <w:r w:rsidRPr="005D5EB0">
        <w:rPr>
          <w:sz w:val="27"/>
          <w:szCs w:val="27"/>
        </w:rPr>
        <w:t xml:space="preserve"> Triển khai thực hiện Nghị quyết.</w:t>
      </w:r>
    </w:p>
    <w:p w:rsidR="00AB2D09" w:rsidRPr="005D5EB0" w:rsidRDefault="00AB2D09" w:rsidP="00AB2D09">
      <w:pPr>
        <w:pStyle w:val="oncaDanhsch"/>
        <w:ind w:left="0"/>
        <w:rPr>
          <w:sz w:val="27"/>
          <w:szCs w:val="27"/>
        </w:rPr>
      </w:pPr>
      <w:r w:rsidRPr="005D5EB0">
        <w:rPr>
          <w:sz w:val="27"/>
          <w:szCs w:val="27"/>
        </w:rPr>
        <w:tab/>
        <w:t>1. Nghị quyết này có hiệu lực từ ngày</w:t>
      </w:r>
      <w:r w:rsidR="00BF2AD4">
        <w:rPr>
          <w:sz w:val="27"/>
          <w:szCs w:val="27"/>
        </w:rPr>
        <w:t xml:space="preserve"> 29 tháng </w:t>
      </w:r>
      <w:r w:rsidRPr="005D5EB0">
        <w:rPr>
          <w:sz w:val="27"/>
          <w:szCs w:val="27"/>
        </w:rPr>
        <w:t>03 năm 2015</w:t>
      </w:r>
    </w:p>
    <w:p w:rsidR="00AB2D09" w:rsidRPr="005D5EB0" w:rsidRDefault="00AB2D09" w:rsidP="00AB2D09">
      <w:pPr>
        <w:pStyle w:val="oncaDanhsch"/>
        <w:ind w:left="0"/>
        <w:jc w:val="both"/>
        <w:rPr>
          <w:sz w:val="27"/>
          <w:szCs w:val="27"/>
        </w:rPr>
      </w:pPr>
      <w:r w:rsidRPr="005D5EB0">
        <w:rPr>
          <w:sz w:val="27"/>
          <w:szCs w:val="27"/>
        </w:rPr>
        <w:tab/>
        <w:t>2. Các thành viên Hội đồng Quản trị, Ban Kiểm soát, Ban Điều hành có trách nhiệm chỉ đạo triển khai thực hiện Nghị quyết này theo chức năng, nhiệm vụ, quyền hạn của mình phù hợp với quy định của pháp luật và Điều lệ Công ty. Hội đồng Quản trị có trách nhiệm báo cáo kết quả thực hiện tới Đại hội đồng cổ đông tại Phiên họp thường niên năm 2016./.</w:t>
      </w:r>
    </w:p>
    <w:p w:rsidR="00AB2D09" w:rsidRPr="005D5EB0" w:rsidRDefault="00AB2D09" w:rsidP="00AB2D09">
      <w:pPr>
        <w:pStyle w:val="oncaDanhsch"/>
        <w:ind w:left="0"/>
        <w:jc w:val="both"/>
        <w:rPr>
          <w:sz w:val="27"/>
          <w:szCs w:val="27"/>
        </w:rPr>
      </w:pPr>
    </w:p>
    <w:p w:rsidR="00AB2D09" w:rsidRPr="005D5EB0" w:rsidRDefault="00AB2D09" w:rsidP="00AB2D09">
      <w:pPr>
        <w:pStyle w:val="oncaDanhsch"/>
        <w:ind w:left="0"/>
        <w:jc w:val="both"/>
        <w:rPr>
          <w:b/>
          <w:sz w:val="27"/>
          <w:szCs w:val="27"/>
        </w:rPr>
      </w:pPr>
      <w:r>
        <w:rPr>
          <w:b/>
          <w:sz w:val="27"/>
          <w:szCs w:val="27"/>
        </w:rPr>
        <w:t xml:space="preserve">                                                                </w:t>
      </w:r>
      <w:r w:rsidRPr="005D5EB0">
        <w:rPr>
          <w:b/>
          <w:sz w:val="27"/>
          <w:szCs w:val="27"/>
        </w:rPr>
        <w:t>T/M ĐẠI HỘI ĐỒNG CỔ ĐÔNG</w:t>
      </w:r>
    </w:p>
    <w:p w:rsidR="00AB2D09" w:rsidRPr="005D5EB0" w:rsidRDefault="00AB2D09" w:rsidP="00AB2D09">
      <w:pPr>
        <w:pStyle w:val="oncaDanhsch"/>
        <w:ind w:left="0"/>
        <w:jc w:val="both"/>
        <w:rPr>
          <w:b/>
          <w:sz w:val="27"/>
          <w:szCs w:val="27"/>
        </w:rPr>
      </w:pPr>
      <w:r w:rsidRPr="005D5EB0">
        <w:rPr>
          <w:b/>
          <w:sz w:val="27"/>
          <w:szCs w:val="27"/>
        </w:rPr>
        <w:t xml:space="preserve">               </w:t>
      </w:r>
      <w:r>
        <w:rPr>
          <w:b/>
          <w:sz w:val="27"/>
          <w:szCs w:val="27"/>
        </w:rPr>
        <w:t xml:space="preserve">                                                            </w:t>
      </w:r>
      <w:r w:rsidRPr="005D5EB0">
        <w:rPr>
          <w:b/>
          <w:sz w:val="27"/>
          <w:szCs w:val="27"/>
        </w:rPr>
        <w:t xml:space="preserve"> CHỦ TỊCH HĐQT</w:t>
      </w:r>
    </w:p>
    <w:p w:rsidR="00AB2D09" w:rsidRPr="005D5EB0" w:rsidRDefault="00AB2D09" w:rsidP="00AB2D09">
      <w:pPr>
        <w:pStyle w:val="oncaDanhsch"/>
        <w:ind w:left="0"/>
        <w:jc w:val="both"/>
        <w:rPr>
          <w:i/>
          <w:sz w:val="27"/>
          <w:szCs w:val="27"/>
        </w:rPr>
      </w:pPr>
    </w:p>
    <w:p w:rsidR="00AB2D09" w:rsidRDefault="00AB2D09" w:rsidP="00AB2D09">
      <w:pPr>
        <w:pStyle w:val="oncaDanhsch"/>
        <w:ind w:left="0"/>
        <w:jc w:val="both"/>
        <w:rPr>
          <w:i/>
          <w:sz w:val="27"/>
          <w:szCs w:val="27"/>
        </w:rPr>
      </w:pPr>
    </w:p>
    <w:p w:rsidR="00AB2D09" w:rsidRDefault="00AB2D09" w:rsidP="00AB2D09">
      <w:pPr>
        <w:pStyle w:val="oncaDanhsch"/>
        <w:ind w:left="0"/>
        <w:jc w:val="both"/>
        <w:rPr>
          <w:i/>
          <w:sz w:val="27"/>
          <w:szCs w:val="27"/>
        </w:rPr>
      </w:pPr>
    </w:p>
    <w:p w:rsidR="00AB2D09" w:rsidRPr="005D5EB0" w:rsidRDefault="00AB2D09" w:rsidP="00AB2D09">
      <w:pPr>
        <w:pStyle w:val="oncaDanhsch"/>
        <w:ind w:left="0"/>
        <w:jc w:val="both"/>
        <w:rPr>
          <w:i/>
          <w:sz w:val="27"/>
          <w:szCs w:val="27"/>
        </w:rPr>
      </w:pPr>
    </w:p>
    <w:p w:rsidR="00AB2D09" w:rsidRPr="005D5EB0" w:rsidRDefault="00AB2D09" w:rsidP="00AB2D09">
      <w:pPr>
        <w:pStyle w:val="oncaDanhsch"/>
        <w:ind w:left="0"/>
        <w:rPr>
          <w:b/>
          <w:sz w:val="27"/>
          <w:szCs w:val="27"/>
        </w:rPr>
      </w:pPr>
    </w:p>
    <w:p w:rsidR="00AB2D09" w:rsidRPr="00533FFF" w:rsidRDefault="00AB2D09" w:rsidP="00AB2D09">
      <w:pPr>
        <w:pStyle w:val="oncaDanhsch"/>
        <w:ind w:left="0"/>
        <w:jc w:val="both"/>
        <w:rPr>
          <w:b/>
          <w:sz w:val="27"/>
          <w:szCs w:val="27"/>
        </w:rPr>
      </w:pPr>
      <w:r w:rsidRPr="005D5EB0">
        <w:rPr>
          <w:b/>
          <w:sz w:val="27"/>
          <w:szCs w:val="27"/>
        </w:rPr>
        <w:t xml:space="preserve">                                                                            Phạm Thành Đô</w:t>
      </w:r>
    </w:p>
    <w:p w:rsidR="006E0CAF" w:rsidRPr="00AB2D09" w:rsidRDefault="006E0CAF" w:rsidP="00AB2D09">
      <w:pPr>
        <w:rPr>
          <w:szCs w:val="28"/>
        </w:rPr>
      </w:pPr>
    </w:p>
    <w:sectPr w:rsidR="006E0CAF" w:rsidRPr="00AB2D09" w:rsidSect="00641622">
      <w:headerReference w:type="default" r:id="rId7"/>
      <w:footerReference w:type="default" r:id="rId8"/>
      <w:pgSz w:w="12240" w:h="15840" w:code="1"/>
      <w:pgMar w:top="1267" w:right="100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87B" w:rsidRDefault="00E0387B" w:rsidP="006E7C8A">
      <w:r>
        <w:separator/>
      </w:r>
    </w:p>
  </w:endnote>
  <w:endnote w:type="continuationSeparator" w:id="1">
    <w:p w:rsidR="00E0387B" w:rsidRDefault="00E0387B" w:rsidP="006E7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791"/>
      <w:docPartObj>
        <w:docPartGallery w:val="Page Numbers (Bottom of Page)"/>
        <w:docPartUnique/>
      </w:docPartObj>
    </w:sdtPr>
    <w:sdtContent>
      <w:p w:rsidR="006E7C8A" w:rsidRDefault="00A665BC">
        <w:pPr>
          <w:pStyle w:val="Chntrang"/>
          <w:jc w:val="center"/>
        </w:pPr>
        <w:fldSimple w:instr=" PAGE   \* MERGEFORMAT ">
          <w:r w:rsidR="003C164C">
            <w:rPr>
              <w:noProof/>
            </w:rPr>
            <w:t>2</w:t>
          </w:r>
        </w:fldSimple>
      </w:p>
    </w:sdtContent>
  </w:sdt>
  <w:p w:rsidR="006E7C8A" w:rsidRDefault="006E7C8A">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87B" w:rsidRDefault="00E0387B" w:rsidP="006E7C8A">
      <w:r>
        <w:separator/>
      </w:r>
    </w:p>
  </w:footnote>
  <w:footnote w:type="continuationSeparator" w:id="1">
    <w:p w:rsidR="00E0387B" w:rsidRDefault="00E0387B" w:rsidP="006E7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8A" w:rsidRDefault="006E7C8A">
    <w:pPr>
      <w:pStyle w:val="utrang"/>
    </w:pPr>
    <w:r>
      <w:rPr>
        <w:noProof/>
      </w:rPr>
      <w:drawing>
        <wp:anchor distT="0" distB="0" distL="114300" distR="114300" simplePos="0" relativeHeight="251659264" behindDoc="1" locked="0" layoutInCell="1" allowOverlap="1">
          <wp:simplePos x="0" y="0"/>
          <wp:positionH relativeFrom="column">
            <wp:posOffset>160020</wp:posOffset>
          </wp:positionH>
          <wp:positionV relativeFrom="paragraph">
            <wp:posOffset>-295275</wp:posOffset>
          </wp:positionV>
          <wp:extent cx="638175" cy="638175"/>
          <wp:effectExtent l="19050" t="0" r="9525" b="0"/>
          <wp:wrapNone/>
          <wp:docPr id="2" name="Ảnh 2" descr="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 descr="ks3"/>
                  <pic:cNvPicPr>
                    <a:picLocks noChangeAspect="1" noChangeArrowheads="1"/>
                  </pic:cNvPicPr>
                </pic:nvPicPr>
                <pic:blipFill>
                  <a:blip r:embed="rId1" cstate="print">
                    <a:lum bright="18000"/>
                  </a:blip>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rsidR="006E7C8A" w:rsidRDefault="006E7C8A">
    <w:pPr>
      <w:pStyle w:val="utrang"/>
    </w:pPr>
    <w:r>
      <w:t>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43A2"/>
    <w:multiLevelType w:val="hybridMultilevel"/>
    <w:tmpl w:val="AEFA5F64"/>
    <w:lvl w:ilvl="0" w:tplc="41409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4BFD"/>
    <w:multiLevelType w:val="hybridMultilevel"/>
    <w:tmpl w:val="2F30D1F4"/>
    <w:lvl w:ilvl="0" w:tplc="AC48E1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E6130"/>
    <w:rsid w:val="000C0EB0"/>
    <w:rsid w:val="000D2FA0"/>
    <w:rsid w:val="00101ABF"/>
    <w:rsid w:val="001359D9"/>
    <w:rsid w:val="003B4945"/>
    <w:rsid w:val="003C164C"/>
    <w:rsid w:val="0040174F"/>
    <w:rsid w:val="004E6130"/>
    <w:rsid w:val="005338AD"/>
    <w:rsid w:val="00641622"/>
    <w:rsid w:val="0067126C"/>
    <w:rsid w:val="006A6240"/>
    <w:rsid w:val="006B2B67"/>
    <w:rsid w:val="006E0CAF"/>
    <w:rsid w:val="006E7C8A"/>
    <w:rsid w:val="00707351"/>
    <w:rsid w:val="00745689"/>
    <w:rsid w:val="00771682"/>
    <w:rsid w:val="00853D3D"/>
    <w:rsid w:val="00937D0A"/>
    <w:rsid w:val="009763B4"/>
    <w:rsid w:val="009C76D8"/>
    <w:rsid w:val="00A665BC"/>
    <w:rsid w:val="00A729BA"/>
    <w:rsid w:val="00AB2D09"/>
    <w:rsid w:val="00AC632A"/>
    <w:rsid w:val="00B22EDF"/>
    <w:rsid w:val="00B32138"/>
    <w:rsid w:val="00B55296"/>
    <w:rsid w:val="00B603B8"/>
    <w:rsid w:val="00BB065C"/>
    <w:rsid w:val="00BF2AD4"/>
    <w:rsid w:val="00C06A9D"/>
    <w:rsid w:val="00C666FC"/>
    <w:rsid w:val="00D24922"/>
    <w:rsid w:val="00E0387B"/>
    <w:rsid w:val="00E25CB3"/>
    <w:rsid w:val="00F735B4"/>
    <w:rsid w:val="00FE5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AutoShape 3"/>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AB2D09"/>
    <w:rPr>
      <w:sz w:val="24"/>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Chun"/>
    <w:uiPriority w:val="34"/>
    <w:qFormat/>
    <w:rsid w:val="004E6130"/>
    <w:pPr>
      <w:ind w:left="720"/>
      <w:contextualSpacing/>
    </w:pPr>
  </w:style>
  <w:style w:type="paragraph" w:styleId="utrang">
    <w:name w:val="header"/>
    <w:basedOn w:val="Chun"/>
    <w:link w:val="utrangChar"/>
    <w:uiPriority w:val="99"/>
    <w:semiHidden/>
    <w:unhideWhenUsed/>
    <w:rsid w:val="006B2B67"/>
    <w:pPr>
      <w:tabs>
        <w:tab w:val="center" w:pos="4680"/>
        <w:tab w:val="right" w:pos="9360"/>
      </w:tabs>
    </w:pPr>
  </w:style>
  <w:style w:type="character" w:customStyle="1" w:styleId="utrangChar">
    <w:name w:val="Đầu trang Char"/>
    <w:basedOn w:val="Phngmcnhcaonvn"/>
    <w:link w:val="utrang"/>
    <w:uiPriority w:val="99"/>
    <w:semiHidden/>
    <w:rsid w:val="006B2B67"/>
    <w:rPr>
      <w:sz w:val="24"/>
      <w:szCs w:val="24"/>
    </w:rPr>
  </w:style>
  <w:style w:type="paragraph" w:styleId="Chntrang">
    <w:name w:val="footer"/>
    <w:basedOn w:val="Chun"/>
    <w:link w:val="ChntrangChar"/>
    <w:uiPriority w:val="99"/>
    <w:unhideWhenUsed/>
    <w:rsid w:val="006E7C8A"/>
    <w:pPr>
      <w:tabs>
        <w:tab w:val="center" w:pos="4680"/>
        <w:tab w:val="right" w:pos="9360"/>
      </w:tabs>
    </w:pPr>
  </w:style>
  <w:style w:type="character" w:customStyle="1" w:styleId="ChntrangChar">
    <w:name w:val="Chân trang Char"/>
    <w:basedOn w:val="Phngmcnhcaonvn"/>
    <w:link w:val="Chntrang"/>
    <w:uiPriority w:val="99"/>
    <w:rsid w:val="006E7C8A"/>
    <w:rPr>
      <w:sz w:val="24"/>
      <w:szCs w:val="24"/>
    </w:rPr>
  </w:style>
  <w:style w:type="paragraph" w:styleId="KhngGincch">
    <w:name w:val="No Spacing"/>
    <w:uiPriority w:val="1"/>
    <w:qFormat/>
    <w:rsid w:val="00AB2D0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dAAuxVKWIW+4iP0l/s2+BVnlyEc=</DigestValue>
    </Reference>
    <Reference URI="#idOfficeObject" Type="http://www.w3.org/2000/09/xmldsig#Object">
      <DigestMethod Algorithm="http://www.w3.org/2000/09/xmldsig#sha1"/>
      <DigestValue>GWW5o65emMIJCdifLaX3pIh+WA0=</DigestValue>
    </Reference>
  </SignedInfo>
  <SignatureValue>
    hwBlj5AiRdZh2PUio3zYx107rXDTmd5zHVoiFOVNXij4gjRs9w73THVHZOZ8lmzDKMXi8Xd8
    KFFfShUTSXR4ueK4X+XXXDpq9wfXAQND33VBJsRksoSnQO+iFn5olE9dImdVX/Q+en14bGCe
    Ez4MqIaud/BPM5ebynjQYv02V5I=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pb06yHZXoTjXYkgGeIvzRYs7mQM=</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Ad1LCpTu29rbmWzvMqWDFqMPY6k=</DigestValue>
      </Reference>
      <Reference URI="/word/endnotes.xml?ContentType=application/vnd.openxmlformats-officedocument.wordprocessingml.endnotes+xml">
        <DigestMethod Algorithm="http://www.w3.org/2000/09/xmldsig#sha1"/>
        <DigestValue>BohtEwT/9Kf8P/uPqmCk65Lm/uI=</DigestValue>
      </Reference>
      <Reference URI="/word/fontTable.xml?ContentType=application/vnd.openxmlformats-officedocument.wordprocessingml.fontTable+xml">
        <DigestMethod Algorithm="http://www.w3.org/2000/09/xmldsig#sha1"/>
        <DigestValue>k2kYXXXBH7onObEo1jsOt6mio3s=</DigestValue>
      </Reference>
      <Reference URI="/word/footer1.xml?ContentType=application/vnd.openxmlformats-officedocument.wordprocessingml.footer+xml">
        <DigestMethod Algorithm="http://www.w3.org/2000/09/xmldsig#sha1"/>
        <DigestValue>WsX3MA3jPEoHyRkRW1z+u/WM1zU=</DigestValue>
      </Reference>
      <Reference URI="/word/footnotes.xml?ContentType=application/vnd.openxmlformats-officedocument.wordprocessingml.footnotes+xml">
        <DigestMethod Algorithm="http://www.w3.org/2000/09/xmldsig#sha1"/>
        <DigestValue>L1YHLR+uVnYkF6Jg6S6z2Fk8f/A=</DigestValue>
      </Reference>
      <Reference URI="/word/header1.xml?ContentType=application/vnd.openxmlformats-officedocument.wordprocessingml.header+xml">
        <DigestMethod Algorithm="http://www.w3.org/2000/09/xmldsig#sha1"/>
        <DigestValue>awXLBcCa0oYxxo7EGM6DpmKX7ec=</DigestValue>
      </Reference>
      <Reference URI="/word/media/image1.jpeg?ContentType=image/jpeg">
        <DigestMethod Algorithm="http://www.w3.org/2000/09/xmldsig#sha1"/>
        <DigestValue>xie3lhcDgZcCvG29Kx3C4DWkSP8=</DigestValue>
      </Reference>
      <Reference URI="/word/numbering.xml?ContentType=application/vnd.openxmlformats-officedocument.wordprocessingml.numbering+xml">
        <DigestMethod Algorithm="http://www.w3.org/2000/09/xmldsig#sha1"/>
        <DigestValue>If+r5gRb703MOduyjd7MT0WUObE=</DigestValue>
      </Reference>
      <Reference URI="/word/settings.xml?ContentType=application/vnd.openxmlformats-officedocument.wordprocessingml.settings+xml">
        <DigestMethod Algorithm="http://www.w3.org/2000/09/xmldsig#sha1"/>
        <DigestValue>F34dHPnW5jJC3aTF+yGmiK+Y8Kk=</DigestValue>
      </Reference>
      <Reference URI="/word/styles.xml?ContentType=application/vnd.openxmlformats-officedocument.wordprocessingml.styles+xml">
        <DigestMethod Algorithm="http://www.w3.org/2000/09/xmldsig#sha1"/>
        <DigestValue>tu10PtxJMPc1BLi8g10GSJ08QII=</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2015-03-30T08:42:31Z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Nghị quyết ĐHĐCĐ năm 2015</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250</TotalTime>
  <Pages>3</Pages>
  <Words>619</Words>
  <Characters>3534</Characters>
  <Application>Microsoft Office Word</Application>
  <DocSecurity>0</DocSecurity>
  <Lines>29</Lines>
  <Paragraphs>8</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2015-03-30T04:13:00Z</cp:lastPrinted>
  <dcterms:created xsi:type="dcterms:W3CDTF">2015-02-05T10:17:00Z</dcterms:created>
  <dcterms:modified xsi:type="dcterms:W3CDTF">2015-03-30T04:27:00Z</dcterms:modified>
</cp:coreProperties>
</file>