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48" w:rsidRPr="00FF108D" w:rsidRDefault="00E74348" w:rsidP="00FF108D">
      <w:pPr>
        <w:spacing w:before="120" w:line="340" w:lineRule="exact"/>
        <w:jc w:val="center"/>
        <w:rPr>
          <w:rFonts w:ascii="Times New Roman" w:hAnsi="Times New Roman"/>
          <w:b/>
          <w:bCs/>
          <w:color w:val="000000"/>
          <w:sz w:val="32"/>
          <w:szCs w:val="32"/>
        </w:rPr>
      </w:pPr>
      <w:r w:rsidRPr="00FF108D">
        <w:rPr>
          <w:rFonts w:ascii="Times New Roman" w:hAnsi="Times New Roman"/>
          <w:b/>
          <w:bCs/>
          <w:color w:val="000000"/>
          <w:sz w:val="32"/>
          <w:szCs w:val="32"/>
        </w:rPr>
        <w:t>BÁO CÁO</w:t>
      </w:r>
    </w:p>
    <w:p w:rsidR="00E74348" w:rsidRPr="00FF108D" w:rsidRDefault="00E74348" w:rsidP="00FF108D">
      <w:pPr>
        <w:spacing w:line="340" w:lineRule="exact"/>
        <w:jc w:val="center"/>
        <w:rPr>
          <w:rFonts w:ascii="Times New Roman" w:hAnsi="Times New Roman"/>
          <w:b/>
          <w:bCs/>
          <w:color w:val="000000"/>
          <w:sz w:val="24"/>
        </w:rPr>
      </w:pPr>
      <w:r w:rsidRPr="00FF108D">
        <w:rPr>
          <w:rFonts w:ascii="Times New Roman" w:hAnsi="Times New Roman"/>
          <w:b/>
          <w:bCs/>
          <w:color w:val="000000"/>
          <w:sz w:val="24"/>
        </w:rPr>
        <w:t>KẾT QUẢ HOẠT ĐỘNG CỦA HỘI ĐỒNG QUẢN TRỊ N</w:t>
      </w:r>
      <w:r w:rsidR="00140C57" w:rsidRPr="00FF108D">
        <w:rPr>
          <w:rFonts w:ascii="Times New Roman" w:hAnsi="Times New Roman"/>
          <w:b/>
          <w:bCs/>
          <w:color w:val="000000"/>
          <w:sz w:val="24"/>
        </w:rPr>
        <w:t xml:space="preserve">HIỆM KỲ 2010 - </w:t>
      </w:r>
      <w:r w:rsidRPr="00FF108D">
        <w:rPr>
          <w:rFonts w:ascii="Times New Roman" w:hAnsi="Times New Roman"/>
          <w:b/>
          <w:bCs/>
          <w:color w:val="000000"/>
          <w:sz w:val="24"/>
        </w:rPr>
        <w:t>201</w:t>
      </w:r>
      <w:r w:rsidR="00140C57" w:rsidRPr="00FF108D">
        <w:rPr>
          <w:rFonts w:ascii="Times New Roman" w:hAnsi="Times New Roman"/>
          <w:b/>
          <w:bCs/>
          <w:color w:val="000000"/>
          <w:sz w:val="24"/>
        </w:rPr>
        <w:t>5</w:t>
      </w:r>
      <w:r w:rsidRPr="00FF108D">
        <w:rPr>
          <w:rFonts w:ascii="Times New Roman" w:hAnsi="Times New Roman"/>
          <w:b/>
          <w:bCs/>
          <w:color w:val="000000"/>
          <w:sz w:val="24"/>
        </w:rPr>
        <w:t>,</w:t>
      </w:r>
    </w:p>
    <w:p w:rsidR="00E74348" w:rsidRPr="00FF108D" w:rsidRDefault="00E74348" w:rsidP="00FF108D">
      <w:pPr>
        <w:spacing w:after="120" w:line="340" w:lineRule="exact"/>
        <w:jc w:val="center"/>
        <w:rPr>
          <w:rFonts w:ascii="Times New Roman" w:hAnsi="Times New Roman"/>
          <w:b/>
          <w:bCs/>
          <w:color w:val="000000"/>
          <w:sz w:val="24"/>
        </w:rPr>
      </w:pPr>
      <w:r w:rsidRPr="00FF108D">
        <w:rPr>
          <w:rFonts w:ascii="Times New Roman" w:hAnsi="Times New Roman"/>
          <w:b/>
          <w:bCs/>
          <w:color w:val="000000"/>
          <w:sz w:val="24"/>
        </w:rPr>
        <w:t>PHƯƠNG HƯỚNG, NHIỆM VỤ N</w:t>
      </w:r>
      <w:r w:rsidR="00140C57" w:rsidRPr="00FF108D">
        <w:rPr>
          <w:rFonts w:ascii="Times New Roman" w:hAnsi="Times New Roman"/>
          <w:b/>
          <w:bCs/>
          <w:color w:val="000000"/>
          <w:sz w:val="24"/>
        </w:rPr>
        <w:t xml:space="preserve">HIỆM KỲ 2015 - </w:t>
      </w:r>
      <w:r w:rsidRPr="00FF108D">
        <w:rPr>
          <w:rFonts w:ascii="Times New Roman" w:hAnsi="Times New Roman"/>
          <w:b/>
          <w:bCs/>
          <w:color w:val="000000"/>
          <w:sz w:val="24"/>
        </w:rPr>
        <w:t>20</w:t>
      </w:r>
      <w:r w:rsidR="00140C57" w:rsidRPr="00FF108D">
        <w:rPr>
          <w:rFonts w:ascii="Times New Roman" w:hAnsi="Times New Roman"/>
          <w:b/>
          <w:bCs/>
          <w:color w:val="000000"/>
          <w:sz w:val="24"/>
        </w:rPr>
        <w:t>20</w:t>
      </w:r>
    </w:p>
    <w:p w:rsidR="00E74348" w:rsidRPr="00FF108D" w:rsidRDefault="00E74348" w:rsidP="00FF108D">
      <w:pPr>
        <w:spacing w:after="120" w:line="340" w:lineRule="exact"/>
        <w:ind w:firstLine="181"/>
        <w:jc w:val="both"/>
        <w:rPr>
          <w:rFonts w:ascii="Times New Roman" w:hAnsi="Times New Roman"/>
          <w:b/>
          <w:bCs/>
          <w:i/>
          <w:iCs/>
          <w:color w:val="000000"/>
          <w:sz w:val="26"/>
          <w:szCs w:val="26"/>
        </w:rPr>
      </w:pPr>
      <w:r w:rsidRPr="00FF108D">
        <w:rPr>
          <w:rFonts w:ascii="Times New Roman" w:hAnsi="Times New Roman"/>
          <w:b/>
          <w:bCs/>
          <w:i/>
          <w:iCs/>
          <w:color w:val="000000"/>
          <w:sz w:val="26"/>
          <w:szCs w:val="26"/>
        </w:rPr>
        <w:t>Kính thưa các Quý vị</w:t>
      </w:r>
      <w:r w:rsidR="009B4FE1" w:rsidRPr="00FF108D">
        <w:rPr>
          <w:rFonts w:ascii="Times New Roman" w:hAnsi="Times New Roman"/>
          <w:b/>
          <w:bCs/>
          <w:i/>
          <w:iCs/>
          <w:color w:val="000000"/>
          <w:sz w:val="26"/>
          <w:szCs w:val="26"/>
        </w:rPr>
        <w:t xml:space="preserve"> cổ đông</w:t>
      </w:r>
      <w:r w:rsidRPr="00FF108D">
        <w:rPr>
          <w:rFonts w:ascii="Times New Roman" w:hAnsi="Times New Roman"/>
          <w:b/>
          <w:bCs/>
          <w:i/>
          <w:iCs/>
          <w:color w:val="000000"/>
          <w:sz w:val="26"/>
          <w:szCs w:val="26"/>
        </w:rPr>
        <w:t>!</w:t>
      </w:r>
    </w:p>
    <w:p w:rsidR="004D5C72" w:rsidRPr="00FF108D" w:rsidRDefault="002F5188" w:rsidP="00FF108D">
      <w:pPr>
        <w:spacing w:after="60" w:line="340" w:lineRule="exact"/>
        <w:ind w:firstLine="284"/>
        <w:jc w:val="both"/>
        <w:rPr>
          <w:rFonts w:ascii="Times New Roman" w:hAnsi="Times New Roman"/>
          <w:sz w:val="26"/>
          <w:szCs w:val="26"/>
        </w:rPr>
      </w:pPr>
      <w:r w:rsidRPr="00FF108D">
        <w:rPr>
          <w:rFonts w:ascii="Times New Roman" w:hAnsi="Times New Roman"/>
          <w:sz w:val="26"/>
          <w:szCs w:val="26"/>
        </w:rPr>
        <w:t>Năm 2015 là năm kết thúc Nhiệm kỳ thứ hai của Hội đồng quản trị Công ty cổ phần Nhựa Thiếu niên Tiền phong, mười năm hoạt động theo mô hình công ty cổ phần, đặc biệt là trong nhiệm kỳ thứ hai (từ 2010 - 2015) Công ty cổ phần Nhựa Thiếu niên Tiền phong đã có bước phát triển ấn tượng, cả về quy mô và chiều sâu, với mức tăng trưởng bình quân doanh thu bán hàng trong nhiệm kỳ đạt mức 15%/năm.</w:t>
      </w:r>
    </w:p>
    <w:p w:rsidR="004D5C72" w:rsidRPr="00FF108D" w:rsidRDefault="002F5188" w:rsidP="00FF108D">
      <w:pPr>
        <w:spacing w:after="60" w:line="340" w:lineRule="exact"/>
        <w:ind w:firstLine="284"/>
        <w:jc w:val="both"/>
        <w:rPr>
          <w:rFonts w:ascii="Times New Roman" w:hAnsi="Times New Roman"/>
          <w:sz w:val="26"/>
          <w:szCs w:val="26"/>
        </w:rPr>
      </w:pPr>
      <w:r w:rsidRPr="00FF108D">
        <w:rPr>
          <w:rFonts w:ascii="Times New Roman" w:hAnsi="Times New Roman"/>
          <w:sz w:val="26"/>
          <w:szCs w:val="26"/>
        </w:rPr>
        <w:t>Mặc dù trong nhiệm kỳ vừa qua</w:t>
      </w:r>
      <w:r w:rsidR="00C333ED" w:rsidRPr="00FF108D">
        <w:rPr>
          <w:rFonts w:ascii="Times New Roman" w:hAnsi="Times New Roman"/>
          <w:sz w:val="26"/>
          <w:szCs w:val="26"/>
        </w:rPr>
        <w:t xml:space="preserve">, những ảnh hưởng sâu sắc của những bất ổn về chính trị, sự suy giảm kinh tế trong khu vực và trên thế giới đã tác động tiêu cực đến nền kinh tế nước ta, làm suy giảm sức cầu, nhất là đối với ngành cung cấp vật liệu xây dựng nói chung và ngành ống nhựa nói riêng. </w:t>
      </w:r>
      <w:r w:rsidR="004D5C72" w:rsidRPr="00FF108D">
        <w:rPr>
          <w:rFonts w:ascii="Times New Roman" w:hAnsi="Times New Roman"/>
          <w:sz w:val="26"/>
          <w:szCs w:val="26"/>
        </w:rPr>
        <w:t>Đánh giá đúng tình hình, Hội đồng quản trị</w:t>
      </w:r>
      <w:r w:rsidR="00C63AF0">
        <w:rPr>
          <w:rFonts w:ascii="Times New Roman" w:hAnsi="Times New Roman"/>
          <w:sz w:val="26"/>
          <w:szCs w:val="26"/>
        </w:rPr>
        <w:t xml:space="preserve"> </w:t>
      </w:r>
      <w:r w:rsidR="004D5C72" w:rsidRPr="00FF108D">
        <w:rPr>
          <w:rFonts w:ascii="Times New Roman" w:hAnsi="Times New Roman"/>
          <w:sz w:val="26"/>
          <w:szCs w:val="26"/>
        </w:rPr>
        <w:t xml:space="preserve">Công ty </w:t>
      </w:r>
      <w:r w:rsidR="00C333ED" w:rsidRPr="00FF108D">
        <w:rPr>
          <w:rFonts w:ascii="Times New Roman" w:hAnsi="Times New Roman"/>
          <w:sz w:val="26"/>
          <w:szCs w:val="26"/>
        </w:rPr>
        <w:t>luôn</w:t>
      </w:r>
      <w:r w:rsidR="004D5C72" w:rsidRPr="00FF108D">
        <w:rPr>
          <w:rFonts w:ascii="Times New Roman" w:hAnsi="Times New Roman"/>
          <w:sz w:val="26"/>
          <w:szCs w:val="26"/>
        </w:rPr>
        <w:t xml:space="preserve"> đoàn kết một lòng, tập trung trí tuệ, phát huy tối đa những thuận lợi, hạn chế đến mức thấp nhất những khó khăn, </w:t>
      </w:r>
      <w:r w:rsidR="00C333ED" w:rsidRPr="00FF108D">
        <w:rPr>
          <w:rFonts w:ascii="Times New Roman" w:hAnsi="Times New Roman"/>
          <w:sz w:val="26"/>
          <w:szCs w:val="26"/>
        </w:rPr>
        <w:t xml:space="preserve">phấn đấu </w:t>
      </w:r>
      <w:r w:rsidR="004D5C72" w:rsidRPr="00FF108D">
        <w:rPr>
          <w:rFonts w:ascii="Times New Roman" w:hAnsi="Times New Roman"/>
          <w:sz w:val="26"/>
          <w:szCs w:val="26"/>
        </w:rPr>
        <w:t xml:space="preserve">hoàn thành </w:t>
      </w:r>
      <w:r w:rsidR="00C333ED" w:rsidRPr="00FF108D">
        <w:rPr>
          <w:rFonts w:ascii="Times New Roman" w:hAnsi="Times New Roman"/>
          <w:sz w:val="26"/>
          <w:szCs w:val="26"/>
        </w:rPr>
        <w:t>các chỉ tiêu</w:t>
      </w:r>
      <w:r w:rsidR="004D5C72" w:rsidRPr="00FF108D">
        <w:rPr>
          <w:rFonts w:ascii="Times New Roman" w:hAnsi="Times New Roman"/>
          <w:sz w:val="26"/>
          <w:szCs w:val="26"/>
        </w:rPr>
        <w:t xml:space="preserve"> Kế hoạch </w:t>
      </w:r>
      <w:r w:rsidR="00C333ED" w:rsidRPr="00FF108D">
        <w:rPr>
          <w:rFonts w:ascii="Times New Roman" w:hAnsi="Times New Roman"/>
          <w:sz w:val="26"/>
          <w:szCs w:val="26"/>
        </w:rPr>
        <w:t xml:space="preserve">sản xuất kinh doanh hàng </w:t>
      </w:r>
      <w:r w:rsidR="004D5C72" w:rsidRPr="00FF108D">
        <w:rPr>
          <w:rFonts w:ascii="Times New Roman" w:hAnsi="Times New Roman"/>
          <w:sz w:val="26"/>
          <w:szCs w:val="26"/>
        </w:rPr>
        <w:t>năm đã được Đại hội đồng cổ đông thường niên thông qua.</w:t>
      </w:r>
    </w:p>
    <w:p w:rsidR="00904B4A" w:rsidRPr="00FF108D" w:rsidRDefault="00904B4A"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sz w:val="26"/>
          <w:szCs w:val="26"/>
        </w:rPr>
        <w:t>N</w:t>
      </w:r>
      <w:r w:rsidRPr="00FF108D">
        <w:rPr>
          <w:rFonts w:ascii="Times New Roman" w:hAnsi="Times New Roman"/>
          <w:color w:val="000000"/>
          <w:sz w:val="26"/>
          <w:szCs w:val="26"/>
        </w:rPr>
        <w:t xml:space="preserve">hững kết quả hoạt động của Hội đồng quản trị trong </w:t>
      </w:r>
      <w:r w:rsidR="00C333ED" w:rsidRPr="00FF108D">
        <w:rPr>
          <w:rFonts w:ascii="Times New Roman" w:hAnsi="Times New Roman"/>
          <w:color w:val="000000"/>
          <w:sz w:val="26"/>
          <w:szCs w:val="26"/>
        </w:rPr>
        <w:t xml:space="preserve">nhiệm kỳ vừa qua </w:t>
      </w:r>
      <w:r w:rsidRPr="00FF108D">
        <w:rPr>
          <w:rFonts w:ascii="Times New Roman" w:hAnsi="Times New Roman"/>
          <w:color w:val="000000"/>
          <w:sz w:val="26"/>
          <w:szCs w:val="26"/>
        </w:rPr>
        <w:t xml:space="preserve">được thể hiện cụ thể </w:t>
      </w:r>
      <w:r w:rsidR="00C333ED" w:rsidRPr="00FF108D">
        <w:rPr>
          <w:rFonts w:ascii="Times New Roman" w:hAnsi="Times New Roman"/>
          <w:color w:val="000000"/>
          <w:sz w:val="26"/>
          <w:szCs w:val="26"/>
        </w:rPr>
        <w:t>qua các mặt công tác</w:t>
      </w:r>
      <w:r w:rsidRPr="00FF108D">
        <w:rPr>
          <w:rFonts w:ascii="Times New Roman" w:hAnsi="Times New Roman"/>
          <w:color w:val="000000"/>
          <w:sz w:val="26"/>
          <w:szCs w:val="26"/>
        </w:rPr>
        <w:t xml:space="preserve"> sau đây:</w:t>
      </w:r>
    </w:p>
    <w:p w:rsidR="002E3872" w:rsidRPr="00FF108D" w:rsidRDefault="00D1551E" w:rsidP="00C47AA7">
      <w:pPr>
        <w:spacing w:before="120" w:after="120" w:line="340" w:lineRule="exact"/>
        <w:jc w:val="both"/>
        <w:rPr>
          <w:rFonts w:ascii="Times New Roman" w:hAnsi="Times New Roman"/>
          <w:b/>
          <w:bCs/>
          <w:color w:val="000000"/>
          <w:sz w:val="26"/>
          <w:szCs w:val="26"/>
        </w:rPr>
      </w:pPr>
      <w:r w:rsidRPr="00FF108D">
        <w:rPr>
          <w:rFonts w:ascii="Times New Roman" w:hAnsi="Times New Roman"/>
          <w:b/>
          <w:bCs/>
          <w:color w:val="000000"/>
          <w:sz w:val="26"/>
          <w:szCs w:val="26"/>
        </w:rPr>
        <w:t>I</w:t>
      </w:r>
      <w:r w:rsidR="002E3872" w:rsidRPr="00FF108D">
        <w:rPr>
          <w:rFonts w:ascii="Times New Roman" w:hAnsi="Times New Roman"/>
          <w:b/>
          <w:bCs/>
          <w:color w:val="000000"/>
          <w:sz w:val="26"/>
          <w:szCs w:val="26"/>
        </w:rPr>
        <w:t>. KẾT QUẢ HOẠT ĐỘNG CỦA HĐQT N</w:t>
      </w:r>
      <w:r w:rsidR="00C333ED" w:rsidRPr="00FF108D">
        <w:rPr>
          <w:rFonts w:ascii="Times New Roman" w:hAnsi="Times New Roman"/>
          <w:b/>
          <w:bCs/>
          <w:color w:val="000000"/>
          <w:sz w:val="26"/>
          <w:szCs w:val="26"/>
        </w:rPr>
        <w:t xml:space="preserve">HIỆM KỲ </w:t>
      </w:r>
      <w:r w:rsidR="002E3872" w:rsidRPr="00FF108D">
        <w:rPr>
          <w:rFonts w:ascii="Times New Roman" w:hAnsi="Times New Roman"/>
          <w:b/>
          <w:bCs/>
          <w:color w:val="000000"/>
          <w:sz w:val="26"/>
          <w:szCs w:val="26"/>
        </w:rPr>
        <w:t>201</w:t>
      </w:r>
      <w:r w:rsidR="00C333ED" w:rsidRPr="00FF108D">
        <w:rPr>
          <w:rFonts w:ascii="Times New Roman" w:hAnsi="Times New Roman"/>
          <w:b/>
          <w:bCs/>
          <w:color w:val="000000"/>
          <w:sz w:val="26"/>
          <w:szCs w:val="26"/>
        </w:rPr>
        <w:t>0 - 2015</w:t>
      </w:r>
      <w:r w:rsidR="002E3872" w:rsidRPr="00FF108D">
        <w:rPr>
          <w:rFonts w:ascii="Times New Roman" w:hAnsi="Times New Roman"/>
          <w:b/>
          <w:bCs/>
          <w:color w:val="000000"/>
          <w:sz w:val="26"/>
          <w:szCs w:val="26"/>
        </w:rPr>
        <w:t>:</w:t>
      </w:r>
    </w:p>
    <w:p w:rsidR="00D1551E" w:rsidRPr="00FF108D" w:rsidRDefault="00D1551E" w:rsidP="00FF108D">
      <w:pPr>
        <w:spacing w:before="60" w:after="60" w:line="340" w:lineRule="exact"/>
        <w:jc w:val="both"/>
        <w:rPr>
          <w:rFonts w:ascii="Times New Roman" w:hAnsi="Times New Roman"/>
          <w:b/>
          <w:color w:val="000000"/>
          <w:sz w:val="26"/>
          <w:szCs w:val="26"/>
        </w:rPr>
      </w:pPr>
      <w:r w:rsidRPr="00FF108D">
        <w:rPr>
          <w:rFonts w:ascii="Times New Roman" w:hAnsi="Times New Roman"/>
          <w:b/>
          <w:color w:val="000000"/>
          <w:sz w:val="26"/>
          <w:szCs w:val="26"/>
        </w:rPr>
        <w:t>1.</w:t>
      </w:r>
      <w:r w:rsidR="003977DC" w:rsidRPr="00FF108D">
        <w:rPr>
          <w:rFonts w:ascii="Times New Roman" w:hAnsi="Times New Roman"/>
          <w:b/>
          <w:color w:val="000000"/>
          <w:sz w:val="26"/>
          <w:szCs w:val="26"/>
        </w:rPr>
        <w:t>1.</w:t>
      </w:r>
      <w:r w:rsidR="00C63AF0">
        <w:rPr>
          <w:rFonts w:ascii="Times New Roman" w:hAnsi="Times New Roman"/>
          <w:b/>
          <w:color w:val="000000"/>
          <w:sz w:val="26"/>
          <w:szCs w:val="26"/>
        </w:rPr>
        <w:t xml:space="preserve"> </w:t>
      </w:r>
      <w:r w:rsidR="009F7DCE" w:rsidRPr="00FF108D">
        <w:rPr>
          <w:rFonts w:ascii="Times New Roman" w:hAnsi="Times New Roman"/>
          <w:b/>
          <w:color w:val="000000"/>
          <w:sz w:val="26"/>
          <w:szCs w:val="26"/>
        </w:rPr>
        <w:t>Đánh giá v</w:t>
      </w:r>
      <w:r w:rsidR="003977DC" w:rsidRPr="00FF108D">
        <w:rPr>
          <w:rFonts w:ascii="Times New Roman" w:hAnsi="Times New Roman"/>
          <w:b/>
          <w:color w:val="000000"/>
          <w:sz w:val="26"/>
          <w:szCs w:val="26"/>
        </w:rPr>
        <w:t>ề số lượng thành viên Hội đồng quản trị Công ty</w:t>
      </w:r>
      <w:r w:rsidRPr="00FF108D">
        <w:rPr>
          <w:rFonts w:ascii="Times New Roman" w:hAnsi="Times New Roman"/>
          <w:b/>
          <w:color w:val="000000"/>
          <w:sz w:val="26"/>
          <w:szCs w:val="26"/>
        </w:rPr>
        <w:t>:</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Nhân sự của Hội đồng quản trị Công ty hiện nay gồm có 6 thành viên:</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Ông Trần Bá Phúc </w:t>
      </w:r>
      <w:r w:rsidRPr="00FF108D">
        <w:rPr>
          <w:rFonts w:ascii="Times New Roman" w:hAnsi="Times New Roman"/>
          <w:color w:val="000000"/>
          <w:sz w:val="26"/>
          <w:szCs w:val="26"/>
        </w:rPr>
        <w:tab/>
      </w:r>
      <w:r w:rsidRPr="00FF108D">
        <w:rPr>
          <w:rFonts w:ascii="Times New Roman" w:hAnsi="Times New Roman"/>
          <w:color w:val="000000"/>
          <w:sz w:val="26"/>
          <w:szCs w:val="26"/>
        </w:rPr>
        <w:tab/>
      </w:r>
      <w:r w:rsidRPr="00FF108D">
        <w:rPr>
          <w:rFonts w:ascii="Times New Roman" w:hAnsi="Times New Roman"/>
          <w:color w:val="000000"/>
          <w:sz w:val="26"/>
          <w:szCs w:val="26"/>
        </w:rPr>
        <w:tab/>
        <w:t>- Chủ tịch HĐQT</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Ông Nguyễn Chí Thành </w:t>
      </w:r>
      <w:r w:rsidRPr="00FF108D">
        <w:rPr>
          <w:rFonts w:ascii="Times New Roman" w:hAnsi="Times New Roman"/>
          <w:color w:val="000000"/>
          <w:sz w:val="26"/>
          <w:szCs w:val="26"/>
        </w:rPr>
        <w:tab/>
      </w:r>
      <w:r w:rsidRPr="00FF108D">
        <w:rPr>
          <w:rFonts w:ascii="Times New Roman" w:hAnsi="Times New Roman"/>
          <w:color w:val="000000"/>
          <w:sz w:val="26"/>
          <w:szCs w:val="26"/>
        </w:rPr>
        <w:tab/>
        <w:t>- Phó Chủ tịch HĐQT</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Ông Nguyễn Quốc Trường</w:t>
      </w:r>
      <w:r w:rsidRPr="00FF108D">
        <w:rPr>
          <w:rFonts w:ascii="Times New Roman" w:hAnsi="Times New Roman"/>
          <w:color w:val="000000"/>
          <w:sz w:val="26"/>
          <w:szCs w:val="26"/>
        </w:rPr>
        <w:tab/>
      </w:r>
      <w:r w:rsidR="00182F1A" w:rsidRPr="00FF108D">
        <w:rPr>
          <w:rFonts w:ascii="Times New Roman" w:hAnsi="Times New Roman"/>
          <w:color w:val="000000"/>
          <w:sz w:val="26"/>
          <w:szCs w:val="26"/>
        </w:rPr>
        <w:tab/>
      </w:r>
      <w:r w:rsidRPr="00FF108D">
        <w:rPr>
          <w:rFonts w:ascii="Times New Roman" w:hAnsi="Times New Roman"/>
          <w:color w:val="000000"/>
          <w:sz w:val="26"/>
          <w:szCs w:val="26"/>
        </w:rPr>
        <w:t>- Ủy viên HĐQT, Tổng giám đốc</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Ông Nguyễn Trung Kiên</w:t>
      </w:r>
      <w:r w:rsidRPr="00FF108D">
        <w:rPr>
          <w:rFonts w:ascii="Times New Roman" w:hAnsi="Times New Roman"/>
          <w:color w:val="000000"/>
          <w:sz w:val="26"/>
          <w:szCs w:val="26"/>
        </w:rPr>
        <w:tab/>
      </w:r>
      <w:r w:rsidRPr="00FF108D">
        <w:rPr>
          <w:rFonts w:ascii="Times New Roman" w:hAnsi="Times New Roman"/>
          <w:color w:val="000000"/>
          <w:sz w:val="26"/>
          <w:szCs w:val="26"/>
        </w:rPr>
        <w:tab/>
        <w:t>- Ủy viên HĐQT, Phó Tổng giám đốc</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Ông Đặng Quốc Dũng</w:t>
      </w:r>
      <w:r w:rsidRPr="00FF108D">
        <w:rPr>
          <w:rFonts w:ascii="Times New Roman" w:hAnsi="Times New Roman"/>
          <w:color w:val="000000"/>
          <w:sz w:val="26"/>
          <w:szCs w:val="26"/>
        </w:rPr>
        <w:tab/>
      </w:r>
      <w:r w:rsidRPr="00FF108D">
        <w:rPr>
          <w:rFonts w:ascii="Times New Roman" w:hAnsi="Times New Roman"/>
          <w:color w:val="000000"/>
          <w:sz w:val="26"/>
          <w:szCs w:val="26"/>
        </w:rPr>
        <w:tab/>
      </w:r>
      <w:r w:rsidR="00C03A19">
        <w:rPr>
          <w:rFonts w:ascii="Times New Roman" w:hAnsi="Times New Roman"/>
          <w:color w:val="000000"/>
          <w:sz w:val="26"/>
          <w:szCs w:val="26"/>
        </w:rPr>
        <w:tab/>
      </w:r>
      <w:r w:rsidRPr="00FF108D">
        <w:rPr>
          <w:rFonts w:ascii="Times New Roman" w:hAnsi="Times New Roman"/>
          <w:color w:val="000000"/>
          <w:sz w:val="26"/>
          <w:szCs w:val="26"/>
        </w:rPr>
        <w:t>- Ủy viên HĐQT</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Ông Sakchai Patiparnpreechavud </w:t>
      </w:r>
      <w:r w:rsidR="00182F1A" w:rsidRPr="00FF108D">
        <w:rPr>
          <w:rFonts w:ascii="Times New Roman" w:hAnsi="Times New Roman"/>
          <w:color w:val="000000"/>
          <w:sz w:val="26"/>
          <w:szCs w:val="26"/>
        </w:rPr>
        <w:tab/>
      </w:r>
      <w:r w:rsidRPr="00FF108D">
        <w:rPr>
          <w:rFonts w:ascii="Times New Roman" w:hAnsi="Times New Roman"/>
          <w:color w:val="000000"/>
          <w:sz w:val="26"/>
          <w:szCs w:val="26"/>
        </w:rPr>
        <w:t>- Ủy viên HĐQT</w:t>
      </w:r>
    </w:p>
    <w:p w:rsidR="003977DC" w:rsidRPr="00FF108D" w:rsidRDefault="003977D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Trong nhiệm kỳ thứ hai vừa qua có sự thay đổi về số lượng, cũng như về nhân sự cụ thể của Hội đồng quản trị, cụ thể như sau:</w:t>
      </w:r>
    </w:p>
    <w:p w:rsidR="003977DC" w:rsidRPr="00FF108D" w:rsidRDefault="005F7A2C"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Tại Đại hội đồng cổ đông thường niên năm 2013 được tổ chức vào ngày 13/04/2013, Đại hội đã biểu quyết thông qua việc sửa đổi Điều 24 - Điều lệ Công ty </w:t>
      </w:r>
      <w:r w:rsidRPr="00FF108D">
        <w:rPr>
          <w:rFonts w:ascii="Times New Roman" w:hAnsi="Times New Roman"/>
          <w:color w:val="000000"/>
          <w:sz w:val="26"/>
          <w:szCs w:val="26"/>
        </w:rPr>
        <w:lastRenderedPageBreak/>
        <w:t xml:space="preserve">về việc thay đổi số lượng thành viên Hội đồng quản trị, đồng thời Đại hội </w:t>
      </w:r>
      <w:r w:rsidR="003D1ED3" w:rsidRPr="00FF108D">
        <w:rPr>
          <w:rFonts w:ascii="Times New Roman" w:hAnsi="Times New Roman"/>
          <w:color w:val="000000"/>
          <w:sz w:val="26"/>
          <w:szCs w:val="26"/>
        </w:rPr>
        <w:t xml:space="preserve">cũng </w:t>
      </w:r>
      <w:r w:rsidRPr="00FF108D">
        <w:rPr>
          <w:rFonts w:ascii="Times New Roman" w:hAnsi="Times New Roman"/>
          <w:color w:val="000000"/>
          <w:sz w:val="26"/>
          <w:szCs w:val="26"/>
        </w:rPr>
        <w:t xml:space="preserve">đã bầu bổ sung ông </w:t>
      </w:r>
      <w:r w:rsidRPr="00FF108D">
        <w:rPr>
          <w:rFonts w:ascii="Times New Roman" w:hAnsi="Times New Roman"/>
          <w:b/>
          <w:color w:val="000000"/>
          <w:sz w:val="26"/>
          <w:szCs w:val="26"/>
        </w:rPr>
        <w:t>Sakchai Patiparnpreechavud</w:t>
      </w:r>
      <w:r w:rsidRPr="00FF108D">
        <w:rPr>
          <w:rFonts w:ascii="Times New Roman" w:hAnsi="Times New Roman"/>
          <w:color w:val="000000"/>
          <w:sz w:val="26"/>
          <w:szCs w:val="26"/>
        </w:rPr>
        <w:t xml:space="preserve">, quốc tịch Thái Lan, đại diện cho cổ đông lớn </w:t>
      </w:r>
      <w:r w:rsidRPr="00FF108D">
        <w:rPr>
          <w:rFonts w:ascii="Times New Roman" w:hAnsi="Times New Roman"/>
          <w:b/>
          <w:color w:val="000000"/>
          <w:sz w:val="26"/>
          <w:szCs w:val="26"/>
        </w:rPr>
        <w:t>The Nawaplastic Industries (SARABURI)</w:t>
      </w:r>
      <w:r w:rsidR="003D1ED3" w:rsidRPr="00FF108D">
        <w:rPr>
          <w:rFonts w:ascii="Times New Roman" w:hAnsi="Times New Roman"/>
          <w:b/>
          <w:color w:val="000000"/>
          <w:sz w:val="26"/>
          <w:szCs w:val="26"/>
        </w:rPr>
        <w:t xml:space="preserve"> Company Limited</w:t>
      </w:r>
      <w:r w:rsidR="003D1ED3" w:rsidRPr="00FF108D">
        <w:rPr>
          <w:rFonts w:ascii="Times New Roman" w:hAnsi="Times New Roman"/>
          <w:color w:val="000000"/>
          <w:sz w:val="26"/>
          <w:szCs w:val="26"/>
        </w:rPr>
        <w:t xml:space="preserve"> sở hữu </w:t>
      </w:r>
      <w:r w:rsidR="00A0607E" w:rsidRPr="00FF108D">
        <w:rPr>
          <w:rFonts w:ascii="Times New Roman" w:hAnsi="Times New Roman"/>
          <w:color w:val="000000"/>
          <w:sz w:val="26"/>
          <w:szCs w:val="26"/>
        </w:rPr>
        <w:t>số</w:t>
      </w:r>
      <w:r w:rsidR="003D1ED3" w:rsidRPr="00FF108D">
        <w:rPr>
          <w:rFonts w:ascii="Times New Roman" w:hAnsi="Times New Roman"/>
          <w:color w:val="000000"/>
          <w:sz w:val="26"/>
          <w:szCs w:val="26"/>
        </w:rPr>
        <w:t xml:space="preserve"> cổ phần</w:t>
      </w:r>
      <w:r w:rsidR="00A0607E" w:rsidRPr="00FF108D">
        <w:rPr>
          <w:rFonts w:ascii="Times New Roman" w:hAnsi="Times New Roman"/>
          <w:color w:val="000000"/>
          <w:sz w:val="26"/>
          <w:szCs w:val="26"/>
        </w:rPr>
        <w:t xml:space="preserve"> bằng</w:t>
      </w:r>
      <w:r w:rsidR="00C63AF0">
        <w:rPr>
          <w:rFonts w:ascii="Times New Roman" w:hAnsi="Times New Roman"/>
          <w:color w:val="000000"/>
          <w:sz w:val="26"/>
          <w:szCs w:val="26"/>
        </w:rPr>
        <w:t xml:space="preserve"> </w:t>
      </w:r>
      <w:r w:rsidR="003D1ED3" w:rsidRPr="00FF108D">
        <w:rPr>
          <w:rFonts w:ascii="Times New Roman" w:hAnsi="Times New Roman"/>
          <w:b/>
          <w:color w:val="000000"/>
          <w:sz w:val="26"/>
          <w:szCs w:val="26"/>
        </w:rPr>
        <w:t>22,67%</w:t>
      </w:r>
      <w:r w:rsidR="003D1ED3" w:rsidRPr="00FF108D">
        <w:rPr>
          <w:rFonts w:ascii="Times New Roman" w:hAnsi="Times New Roman"/>
          <w:color w:val="000000"/>
          <w:sz w:val="26"/>
          <w:szCs w:val="26"/>
        </w:rPr>
        <w:t xml:space="preserve"> vốn điều lệ làm thành viên Hội đồng quản trị</w:t>
      </w:r>
      <w:r w:rsidR="008768D1" w:rsidRPr="00FF108D">
        <w:rPr>
          <w:rFonts w:ascii="Times New Roman" w:hAnsi="Times New Roman"/>
          <w:color w:val="000000"/>
          <w:sz w:val="26"/>
          <w:szCs w:val="26"/>
        </w:rPr>
        <w:t xml:space="preserve"> (nhiệm kỳ 2010 - 2015)</w:t>
      </w:r>
      <w:r w:rsidR="003D1ED3" w:rsidRPr="00FF108D">
        <w:rPr>
          <w:rFonts w:ascii="Times New Roman" w:hAnsi="Times New Roman"/>
          <w:color w:val="000000"/>
          <w:sz w:val="26"/>
          <w:szCs w:val="26"/>
        </w:rPr>
        <w:t xml:space="preserve">, </w:t>
      </w:r>
      <w:r w:rsidR="008768D1" w:rsidRPr="00FF108D">
        <w:rPr>
          <w:rFonts w:ascii="Times New Roman" w:hAnsi="Times New Roman"/>
          <w:color w:val="000000"/>
          <w:sz w:val="26"/>
          <w:szCs w:val="26"/>
        </w:rPr>
        <w:t xml:space="preserve">và </w:t>
      </w:r>
      <w:r w:rsidR="003D1ED3" w:rsidRPr="00FF108D">
        <w:rPr>
          <w:rFonts w:ascii="Times New Roman" w:hAnsi="Times New Roman"/>
          <w:color w:val="000000"/>
          <w:sz w:val="26"/>
          <w:szCs w:val="26"/>
        </w:rPr>
        <w:t>nâng tổng số thành viên Hội đồng quản trị lên 6 thành viên.</w:t>
      </w:r>
    </w:p>
    <w:p w:rsidR="008768D1" w:rsidRPr="00FF108D" w:rsidRDefault="008768D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Theo đề nghị của cổ đông Tổng Công ty Đầu tư và Kinh doanh vốn Nhà nước</w:t>
      </w:r>
      <w:r w:rsidR="00A0607E" w:rsidRPr="00FF108D">
        <w:rPr>
          <w:rFonts w:ascii="Times New Roman" w:hAnsi="Times New Roman"/>
          <w:color w:val="000000"/>
          <w:sz w:val="26"/>
          <w:szCs w:val="26"/>
        </w:rPr>
        <w:t xml:space="preserve"> sở hữu số cổ phần bằng </w:t>
      </w:r>
      <w:r w:rsidR="00A0607E" w:rsidRPr="00FF108D">
        <w:rPr>
          <w:rFonts w:ascii="Times New Roman" w:hAnsi="Times New Roman"/>
          <w:b/>
          <w:color w:val="000000"/>
          <w:sz w:val="26"/>
          <w:szCs w:val="26"/>
        </w:rPr>
        <w:t>37,1%</w:t>
      </w:r>
      <w:r w:rsidR="00A0607E" w:rsidRPr="00FF108D">
        <w:rPr>
          <w:rFonts w:ascii="Times New Roman" w:hAnsi="Times New Roman"/>
          <w:color w:val="000000"/>
          <w:sz w:val="26"/>
          <w:szCs w:val="26"/>
        </w:rPr>
        <w:t xml:space="preserve"> vốn điều lệ</w:t>
      </w:r>
      <w:r w:rsidRPr="00FF108D">
        <w:rPr>
          <w:rFonts w:ascii="Times New Roman" w:hAnsi="Times New Roman"/>
          <w:color w:val="000000"/>
          <w:sz w:val="26"/>
          <w:szCs w:val="26"/>
        </w:rPr>
        <w:t>, ngày 05/10/2013 Hội đồng quản trị đã biểu quyết</w:t>
      </w:r>
      <w:r w:rsidR="00C47AA7">
        <w:rPr>
          <w:rFonts w:ascii="Times New Roman" w:hAnsi="Times New Roman"/>
          <w:color w:val="000000"/>
          <w:sz w:val="26"/>
          <w:szCs w:val="26"/>
        </w:rPr>
        <w:t xml:space="preserve"> thông qua các vấn đề sau</w:t>
      </w:r>
      <w:r w:rsidRPr="00FF108D">
        <w:rPr>
          <w:rFonts w:ascii="Times New Roman" w:hAnsi="Times New Roman"/>
          <w:color w:val="000000"/>
          <w:sz w:val="26"/>
          <w:szCs w:val="26"/>
        </w:rPr>
        <w:t>:</w:t>
      </w:r>
    </w:p>
    <w:p w:rsidR="008768D1" w:rsidRPr="00FF108D" w:rsidRDefault="008768D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Miễn nhiệm chức vụ thành viên Hội đồng quản trị và chức vụ Phó Chủ tịch Hội đồng quản trị đối với ông </w:t>
      </w:r>
      <w:r w:rsidRPr="00FF108D">
        <w:rPr>
          <w:rFonts w:ascii="Times New Roman" w:hAnsi="Times New Roman"/>
          <w:b/>
          <w:color w:val="000000"/>
          <w:sz w:val="26"/>
          <w:szCs w:val="26"/>
        </w:rPr>
        <w:t xml:space="preserve">Ngô Viết Sơn </w:t>
      </w:r>
      <w:r w:rsidRPr="00FF108D">
        <w:rPr>
          <w:rFonts w:ascii="Times New Roman" w:hAnsi="Times New Roman"/>
          <w:color w:val="000000"/>
          <w:sz w:val="26"/>
          <w:szCs w:val="26"/>
        </w:rPr>
        <w:t>là cán bộ của Tổng Công ty Đầu tư và Kinh doanh vốn Nhà nước.</w:t>
      </w:r>
    </w:p>
    <w:p w:rsidR="008768D1" w:rsidRPr="00FF108D" w:rsidRDefault="008768D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Bầu bổ sung ông </w:t>
      </w:r>
      <w:r w:rsidRPr="00FF108D">
        <w:rPr>
          <w:rFonts w:ascii="Times New Roman" w:hAnsi="Times New Roman"/>
          <w:b/>
          <w:color w:val="000000"/>
          <w:sz w:val="26"/>
          <w:szCs w:val="26"/>
        </w:rPr>
        <w:t>Nguyễn Chí Thành</w:t>
      </w:r>
      <w:r w:rsidRPr="00FF108D">
        <w:rPr>
          <w:rFonts w:ascii="Times New Roman" w:hAnsi="Times New Roman"/>
          <w:color w:val="000000"/>
          <w:sz w:val="26"/>
          <w:szCs w:val="26"/>
        </w:rPr>
        <w:t xml:space="preserve"> - Trưởng Ban Đầu tư 3, Tổng Công ty Đầu tư và Kinh doanh vốn Nhà nước làm thành viên và giữ chức vụ Phó Chủ tịch Hội đồng quản trị Công ty.</w:t>
      </w:r>
    </w:p>
    <w:p w:rsidR="00034D8B" w:rsidRPr="00FF108D" w:rsidRDefault="00034D8B" w:rsidP="00FF108D">
      <w:pPr>
        <w:spacing w:after="60" w:line="340" w:lineRule="exact"/>
        <w:jc w:val="both"/>
        <w:rPr>
          <w:rFonts w:ascii="Times New Roman" w:hAnsi="Times New Roman"/>
          <w:b/>
          <w:color w:val="000000"/>
          <w:sz w:val="26"/>
          <w:szCs w:val="26"/>
        </w:rPr>
      </w:pPr>
      <w:r w:rsidRPr="00FF108D">
        <w:rPr>
          <w:rFonts w:ascii="Times New Roman" w:hAnsi="Times New Roman"/>
          <w:b/>
          <w:color w:val="000000"/>
          <w:sz w:val="26"/>
          <w:szCs w:val="26"/>
        </w:rPr>
        <w:t>1.2. Đánh giá về tình hình tăng vốn điều lệ</w:t>
      </w:r>
      <w:r w:rsidR="00295F2B" w:rsidRPr="00FF108D">
        <w:rPr>
          <w:rFonts w:ascii="Times New Roman" w:hAnsi="Times New Roman"/>
          <w:b/>
          <w:color w:val="000000"/>
          <w:sz w:val="26"/>
          <w:szCs w:val="26"/>
        </w:rPr>
        <w:t xml:space="preserve">, </w:t>
      </w:r>
      <w:r w:rsidRPr="00FF108D">
        <w:rPr>
          <w:rFonts w:ascii="Times New Roman" w:hAnsi="Times New Roman"/>
          <w:b/>
          <w:color w:val="000000"/>
          <w:sz w:val="26"/>
          <w:szCs w:val="26"/>
        </w:rPr>
        <w:t>trả cổ tức</w:t>
      </w:r>
      <w:r w:rsidR="000A56FE" w:rsidRPr="00FF108D">
        <w:rPr>
          <w:rFonts w:ascii="Times New Roman" w:hAnsi="Times New Roman"/>
          <w:b/>
          <w:color w:val="000000"/>
          <w:sz w:val="26"/>
          <w:szCs w:val="26"/>
        </w:rPr>
        <w:t xml:space="preserve"> bằng tiền</w:t>
      </w:r>
      <w:r w:rsidR="00295F2B" w:rsidRPr="00FF108D">
        <w:rPr>
          <w:rFonts w:ascii="Times New Roman" w:hAnsi="Times New Roman"/>
          <w:b/>
          <w:color w:val="000000"/>
          <w:sz w:val="26"/>
          <w:szCs w:val="26"/>
        </w:rPr>
        <w:t>, và công tác quản trị</w:t>
      </w:r>
      <w:r w:rsidRPr="00FF108D">
        <w:rPr>
          <w:rFonts w:ascii="Times New Roman" w:hAnsi="Times New Roman"/>
          <w:b/>
          <w:color w:val="000000"/>
          <w:sz w:val="26"/>
          <w:szCs w:val="26"/>
        </w:rPr>
        <w:t>:</w:t>
      </w:r>
    </w:p>
    <w:p w:rsidR="00034D8B" w:rsidRPr="00FF108D" w:rsidRDefault="00034D8B" w:rsidP="00FF108D">
      <w:pPr>
        <w:spacing w:after="60" w:line="340" w:lineRule="exact"/>
        <w:ind w:firstLine="284"/>
        <w:jc w:val="both"/>
        <w:rPr>
          <w:rFonts w:ascii="Times New Roman" w:hAnsi="Times New Roman"/>
          <w:b/>
          <w:color w:val="000000"/>
          <w:sz w:val="26"/>
          <w:szCs w:val="26"/>
        </w:rPr>
      </w:pPr>
      <w:r w:rsidRPr="00FF108D">
        <w:rPr>
          <w:rFonts w:ascii="Times New Roman" w:hAnsi="Times New Roman"/>
          <w:b/>
          <w:color w:val="000000"/>
          <w:sz w:val="26"/>
          <w:szCs w:val="26"/>
        </w:rPr>
        <w:t>* Về tình hình tăng vốn Điều lệ:</w:t>
      </w:r>
    </w:p>
    <w:p w:rsidR="00034D8B" w:rsidRPr="00FF108D" w:rsidRDefault="00034D8B"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Phương châm hoạt động của Hội đồng quản trị Công ty là luôn bảo toàn và phát triển vốn, cũng như đảm bảo quyền lợi của các nhà đầu tư. Trong nhiệm kỳ 2010 - 2015 Hội đồng quản trị đã đề xuất và Đại hội đồng cổ đông đã thông qua các đợt tăng vốn điều lệ và đưa số cổ phiếu mới vào niêm yết</w:t>
      </w:r>
      <w:r w:rsidR="00C47AA7">
        <w:rPr>
          <w:rFonts w:ascii="Times New Roman" w:hAnsi="Times New Roman"/>
          <w:color w:val="000000"/>
          <w:sz w:val="26"/>
          <w:szCs w:val="26"/>
        </w:rPr>
        <w:t>,</w:t>
      </w:r>
      <w:r w:rsidRPr="00FF108D">
        <w:rPr>
          <w:rFonts w:ascii="Times New Roman" w:hAnsi="Times New Roman"/>
          <w:color w:val="000000"/>
          <w:sz w:val="26"/>
          <w:szCs w:val="26"/>
        </w:rPr>
        <w:t xml:space="preserve"> và giao dịch trên thị trường chứng khoán như sau:</w:t>
      </w:r>
    </w:p>
    <w:p w:rsidR="00034D8B" w:rsidRPr="00FF108D" w:rsidRDefault="00034D8B"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Tăng vốn điều lệ Công ty theo Nghị quyết Đại hội đồng cổ đông ngày 04/01/2011 (thông qua hình thức lấy ý kiến cổ đông bằng văn bản) với tỷ lệ 100% (cổ đông sở hữu 01 cổ phiếu được hưởng 01 cổ phiếu mới) để tăng vốn điều lệ Công ty từ mức </w:t>
      </w:r>
      <w:r w:rsidRPr="00FF108D">
        <w:rPr>
          <w:rFonts w:ascii="Times New Roman" w:hAnsi="Times New Roman"/>
          <w:b/>
          <w:color w:val="000000"/>
          <w:sz w:val="26"/>
          <w:szCs w:val="26"/>
        </w:rPr>
        <w:t>216.689.980.000</w:t>
      </w:r>
      <w:r w:rsidRPr="00FF108D">
        <w:rPr>
          <w:rFonts w:ascii="Times New Roman" w:hAnsi="Times New Roman"/>
          <w:color w:val="000000"/>
          <w:sz w:val="26"/>
          <w:szCs w:val="26"/>
        </w:rPr>
        <w:t xml:space="preserve"> đồng lên mức </w:t>
      </w:r>
      <w:r w:rsidRPr="00FF108D">
        <w:rPr>
          <w:rFonts w:ascii="Times New Roman" w:hAnsi="Times New Roman"/>
          <w:b/>
          <w:color w:val="000000"/>
          <w:sz w:val="26"/>
          <w:szCs w:val="26"/>
        </w:rPr>
        <w:t>433.379.960.000</w:t>
      </w:r>
      <w:r w:rsidRPr="00FF108D">
        <w:rPr>
          <w:rFonts w:ascii="Times New Roman" w:hAnsi="Times New Roman"/>
          <w:color w:val="000000"/>
          <w:sz w:val="26"/>
          <w:szCs w:val="26"/>
        </w:rPr>
        <w:t xml:space="preserve"> đồng.</w:t>
      </w:r>
    </w:p>
    <w:p w:rsidR="00034D8B" w:rsidRPr="00FF108D" w:rsidRDefault="000A56F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00034D8B" w:rsidRPr="00FF108D">
        <w:rPr>
          <w:rFonts w:ascii="Times New Roman" w:hAnsi="Times New Roman"/>
          <w:color w:val="000000"/>
          <w:sz w:val="26"/>
          <w:szCs w:val="26"/>
        </w:rPr>
        <w:t>Tăng vốn điều lệ Công ty theo Nghị quyết Đại hội đồng cổ đông thường niên năm 2014 (tổ chức ngày 19/04/2014) với tỷ lệ 30% (cổ đông sở hữu 10 cổ phiếu được hưởng 03 cổ phiếu mới) đ</w:t>
      </w:r>
      <w:r w:rsidR="00C63AF0">
        <w:rPr>
          <w:rFonts w:ascii="Times New Roman" w:hAnsi="Times New Roman"/>
          <w:color w:val="000000"/>
          <w:sz w:val="26"/>
          <w:szCs w:val="26"/>
        </w:rPr>
        <w:t>ể</w:t>
      </w:r>
      <w:r w:rsidR="00034D8B" w:rsidRPr="00FF108D">
        <w:rPr>
          <w:rFonts w:ascii="Times New Roman" w:hAnsi="Times New Roman"/>
          <w:color w:val="000000"/>
          <w:sz w:val="26"/>
          <w:szCs w:val="26"/>
        </w:rPr>
        <w:t xml:space="preserve"> tăng vốn điều lệ Công ty từ mức </w:t>
      </w:r>
      <w:r w:rsidR="00034D8B" w:rsidRPr="00C63AF0">
        <w:rPr>
          <w:rFonts w:ascii="Times New Roman" w:hAnsi="Times New Roman"/>
          <w:b/>
          <w:color w:val="000000"/>
          <w:sz w:val="26"/>
          <w:szCs w:val="26"/>
        </w:rPr>
        <w:t>433.379.960.000</w:t>
      </w:r>
      <w:r w:rsidR="00034D8B" w:rsidRPr="00FF108D">
        <w:rPr>
          <w:rFonts w:ascii="Times New Roman" w:hAnsi="Times New Roman"/>
          <w:color w:val="000000"/>
          <w:sz w:val="26"/>
          <w:szCs w:val="26"/>
        </w:rPr>
        <w:t xml:space="preserve"> đồng lên mức </w:t>
      </w:r>
      <w:r w:rsidR="00034D8B" w:rsidRPr="00C63AF0">
        <w:rPr>
          <w:rFonts w:ascii="Times New Roman" w:hAnsi="Times New Roman"/>
          <w:b/>
          <w:color w:val="000000"/>
          <w:sz w:val="26"/>
          <w:szCs w:val="26"/>
        </w:rPr>
        <w:t>563.392.900.000</w:t>
      </w:r>
      <w:r w:rsidR="00034D8B" w:rsidRPr="00FF108D">
        <w:rPr>
          <w:rFonts w:ascii="Times New Roman" w:hAnsi="Times New Roman"/>
          <w:color w:val="000000"/>
          <w:sz w:val="26"/>
          <w:szCs w:val="26"/>
        </w:rPr>
        <w:t xml:space="preserve"> đồng.</w:t>
      </w:r>
    </w:p>
    <w:p w:rsidR="00034D8B" w:rsidRPr="00FF108D" w:rsidRDefault="000A56F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Và tại Đại hội đồng cổ đông thường niên ngày hôm nay, Hội đồng quản trị Công ty đề xuất tăng vốn điều lệ với tỷ lệ </w:t>
      </w:r>
      <w:r w:rsidRPr="00C63AF0">
        <w:rPr>
          <w:rFonts w:ascii="Times New Roman" w:hAnsi="Times New Roman"/>
          <w:b/>
          <w:color w:val="000000"/>
          <w:sz w:val="26"/>
          <w:szCs w:val="26"/>
        </w:rPr>
        <w:t>10%</w:t>
      </w:r>
      <w:r w:rsidRPr="00FF108D">
        <w:rPr>
          <w:rFonts w:ascii="Times New Roman" w:hAnsi="Times New Roman"/>
          <w:color w:val="000000"/>
          <w:sz w:val="26"/>
          <w:szCs w:val="26"/>
        </w:rPr>
        <w:t xml:space="preserve"> (cổ đông sở hữu 10 cổ phiếu được hưởng 01 cổ phiếu mới). Nếu được Đại hội thông qua, Hội đồng quản trị sẽ tổ chức thực hiện các thủ tục tăng vốn ngay sau Đại hội.</w:t>
      </w:r>
    </w:p>
    <w:p w:rsidR="000A56FE" w:rsidRPr="00FF108D" w:rsidRDefault="000A56FE" w:rsidP="00FF108D">
      <w:pPr>
        <w:spacing w:after="60" w:line="340" w:lineRule="exact"/>
        <w:ind w:firstLine="284"/>
        <w:jc w:val="both"/>
        <w:rPr>
          <w:rFonts w:ascii="Times New Roman" w:hAnsi="Times New Roman"/>
          <w:b/>
          <w:color w:val="000000"/>
          <w:sz w:val="26"/>
          <w:szCs w:val="26"/>
        </w:rPr>
      </w:pPr>
      <w:r w:rsidRPr="00FF108D">
        <w:rPr>
          <w:rFonts w:ascii="Times New Roman" w:hAnsi="Times New Roman"/>
          <w:b/>
          <w:color w:val="000000"/>
          <w:sz w:val="26"/>
          <w:szCs w:val="26"/>
        </w:rPr>
        <w:t>* Về tình hình trả cổ tức bằng tiền:</w:t>
      </w:r>
    </w:p>
    <w:p w:rsidR="000A56FE" w:rsidRPr="00FF108D" w:rsidRDefault="000A56F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lastRenderedPageBreak/>
        <w:t xml:space="preserve">Cùng với việc đề xuất tăng vốn điều lệ Công ty, Hội đồng quản trị Công ty cũng luôn chú trọng đến việc đảm bảo quyền lợi cho các nhà đầu tư thông qua việc trả cổ tức bằng tiền cho các cổ đông, mức trả cổ tức bằng tiền đã được Đại hội đồng cổ đông </w:t>
      </w:r>
      <w:r w:rsidR="00C63AF0">
        <w:rPr>
          <w:rFonts w:ascii="Times New Roman" w:hAnsi="Times New Roman"/>
          <w:color w:val="000000"/>
          <w:sz w:val="26"/>
          <w:szCs w:val="26"/>
        </w:rPr>
        <w:t xml:space="preserve">thường niên các năm </w:t>
      </w:r>
      <w:r w:rsidRPr="00FF108D">
        <w:rPr>
          <w:rFonts w:ascii="Times New Roman" w:hAnsi="Times New Roman"/>
          <w:color w:val="000000"/>
          <w:sz w:val="26"/>
          <w:szCs w:val="26"/>
        </w:rPr>
        <w:t xml:space="preserve">thông qua với </w:t>
      </w:r>
      <w:r w:rsidR="00C63AF0">
        <w:rPr>
          <w:rFonts w:ascii="Times New Roman" w:hAnsi="Times New Roman"/>
          <w:color w:val="000000"/>
          <w:sz w:val="26"/>
          <w:szCs w:val="26"/>
        </w:rPr>
        <w:t xml:space="preserve">các </w:t>
      </w:r>
      <w:r w:rsidRPr="00FF108D">
        <w:rPr>
          <w:rFonts w:ascii="Times New Roman" w:hAnsi="Times New Roman"/>
          <w:color w:val="000000"/>
          <w:sz w:val="26"/>
          <w:szCs w:val="26"/>
        </w:rPr>
        <w:t>mức như sau:</w:t>
      </w:r>
    </w:p>
    <w:p w:rsidR="000A56FE" w:rsidRPr="00FF108D" w:rsidRDefault="000A56FE" w:rsidP="00FF108D">
      <w:pPr>
        <w:spacing w:after="60" w:line="340" w:lineRule="exact"/>
        <w:ind w:left="426"/>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 xml:space="preserve">Năm </w:t>
      </w:r>
      <w:r w:rsidR="007777D4" w:rsidRPr="00FF108D">
        <w:rPr>
          <w:rFonts w:ascii="Times New Roman" w:hAnsi="Times New Roman"/>
          <w:b/>
          <w:color w:val="000000"/>
          <w:sz w:val="26"/>
          <w:szCs w:val="26"/>
        </w:rPr>
        <w:t>2010</w:t>
      </w:r>
      <w:r w:rsidR="007777D4" w:rsidRPr="00FF108D">
        <w:rPr>
          <w:rFonts w:ascii="Times New Roman" w:hAnsi="Times New Roman"/>
          <w:color w:val="000000"/>
          <w:sz w:val="26"/>
          <w:szCs w:val="26"/>
        </w:rPr>
        <w:t xml:space="preserve">: mức trả cổ tức bằng tiền mặt là </w:t>
      </w:r>
      <w:r w:rsidR="007777D4" w:rsidRPr="00FF108D">
        <w:rPr>
          <w:rFonts w:ascii="Times New Roman" w:hAnsi="Times New Roman"/>
          <w:b/>
          <w:color w:val="000000"/>
          <w:sz w:val="26"/>
          <w:szCs w:val="26"/>
        </w:rPr>
        <w:t>30%</w:t>
      </w:r>
      <w:r w:rsidR="007777D4" w:rsidRPr="00FF108D">
        <w:rPr>
          <w:rFonts w:ascii="Times New Roman" w:hAnsi="Times New Roman"/>
          <w:color w:val="000000"/>
          <w:sz w:val="26"/>
          <w:szCs w:val="26"/>
        </w:rPr>
        <w:t xml:space="preserve"> vốn điều lệ với số tiền chi trả là </w:t>
      </w:r>
      <w:r w:rsidR="007777D4" w:rsidRPr="00FF108D">
        <w:rPr>
          <w:rFonts w:ascii="Times New Roman" w:hAnsi="Times New Roman"/>
          <w:b/>
          <w:color w:val="000000"/>
          <w:sz w:val="26"/>
          <w:szCs w:val="26"/>
        </w:rPr>
        <w:t>86.674.000.000</w:t>
      </w:r>
      <w:r w:rsidR="007777D4" w:rsidRPr="00FF108D">
        <w:rPr>
          <w:rFonts w:ascii="Times New Roman" w:hAnsi="Times New Roman"/>
          <w:color w:val="000000"/>
          <w:sz w:val="26"/>
          <w:szCs w:val="26"/>
        </w:rPr>
        <w:t xml:space="preserve"> đồng.</w:t>
      </w:r>
    </w:p>
    <w:p w:rsidR="007777D4" w:rsidRPr="00FF108D" w:rsidRDefault="007777D4" w:rsidP="00FF108D">
      <w:pPr>
        <w:spacing w:after="60" w:line="340" w:lineRule="exact"/>
        <w:ind w:left="426"/>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Năm 2011</w:t>
      </w:r>
      <w:r w:rsidRPr="00FF108D">
        <w:rPr>
          <w:rFonts w:ascii="Times New Roman" w:hAnsi="Times New Roman"/>
          <w:color w:val="000000"/>
          <w:sz w:val="26"/>
          <w:szCs w:val="26"/>
        </w:rPr>
        <w:t xml:space="preserve">: mức trả cổ tức bằng tiền mặt là </w:t>
      </w:r>
      <w:r w:rsidRPr="00FF108D">
        <w:rPr>
          <w:rFonts w:ascii="Times New Roman" w:hAnsi="Times New Roman"/>
          <w:b/>
          <w:color w:val="000000"/>
          <w:sz w:val="26"/>
          <w:szCs w:val="26"/>
        </w:rPr>
        <w:t>20%</w:t>
      </w:r>
      <w:r w:rsidRPr="00FF108D">
        <w:rPr>
          <w:rFonts w:ascii="Times New Roman" w:hAnsi="Times New Roman"/>
          <w:color w:val="000000"/>
          <w:sz w:val="26"/>
          <w:szCs w:val="26"/>
        </w:rPr>
        <w:t xml:space="preserve"> vốn điều lệ với số tiền chi trả là </w:t>
      </w:r>
      <w:r w:rsidRPr="00FF108D">
        <w:rPr>
          <w:rFonts w:ascii="Times New Roman" w:hAnsi="Times New Roman"/>
          <w:b/>
          <w:color w:val="000000"/>
          <w:sz w:val="26"/>
          <w:szCs w:val="26"/>
        </w:rPr>
        <w:t>86.675.992.000</w:t>
      </w:r>
      <w:r w:rsidRPr="00FF108D">
        <w:rPr>
          <w:rFonts w:ascii="Times New Roman" w:hAnsi="Times New Roman"/>
          <w:color w:val="000000"/>
          <w:sz w:val="26"/>
          <w:szCs w:val="26"/>
        </w:rPr>
        <w:t xml:space="preserve"> đồng.</w:t>
      </w:r>
    </w:p>
    <w:p w:rsidR="007777D4" w:rsidRPr="00FF108D" w:rsidRDefault="007777D4" w:rsidP="00FF108D">
      <w:pPr>
        <w:spacing w:after="60" w:line="340" w:lineRule="exact"/>
        <w:ind w:left="426"/>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Năm 2012</w:t>
      </w:r>
      <w:r w:rsidRPr="00FF108D">
        <w:rPr>
          <w:rFonts w:ascii="Times New Roman" w:hAnsi="Times New Roman"/>
          <w:color w:val="000000"/>
          <w:sz w:val="26"/>
          <w:szCs w:val="26"/>
        </w:rPr>
        <w:t xml:space="preserve">: mức trả cổ tức bằng tiền mặt là </w:t>
      </w:r>
      <w:r w:rsidRPr="00FF108D">
        <w:rPr>
          <w:rFonts w:ascii="Times New Roman" w:hAnsi="Times New Roman"/>
          <w:b/>
          <w:color w:val="000000"/>
          <w:sz w:val="26"/>
          <w:szCs w:val="26"/>
        </w:rPr>
        <w:t>30%</w:t>
      </w:r>
      <w:r w:rsidRPr="00FF108D">
        <w:rPr>
          <w:rFonts w:ascii="Times New Roman" w:hAnsi="Times New Roman"/>
          <w:color w:val="000000"/>
          <w:sz w:val="26"/>
          <w:szCs w:val="26"/>
        </w:rPr>
        <w:t xml:space="preserve"> vốn điều lệ với số tiền chi trả là </w:t>
      </w:r>
      <w:r w:rsidRPr="00FF108D">
        <w:rPr>
          <w:rFonts w:ascii="Times New Roman" w:hAnsi="Times New Roman"/>
          <w:b/>
          <w:color w:val="000000"/>
          <w:sz w:val="26"/>
          <w:szCs w:val="26"/>
        </w:rPr>
        <w:t>130.013.988.000</w:t>
      </w:r>
      <w:r w:rsidRPr="00FF108D">
        <w:rPr>
          <w:rFonts w:ascii="Times New Roman" w:hAnsi="Times New Roman"/>
          <w:color w:val="000000"/>
          <w:sz w:val="26"/>
          <w:szCs w:val="26"/>
        </w:rPr>
        <w:t xml:space="preserve"> đồng.</w:t>
      </w:r>
    </w:p>
    <w:p w:rsidR="007777D4" w:rsidRPr="00FF108D" w:rsidRDefault="007777D4" w:rsidP="00FF108D">
      <w:pPr>
        <w:spacing w:after="60" w:line="340" w:lineRule="exact"/>
        <w:ind w:left="426"/>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Năm 201</w:t>
      </w:r>
      <w:r w:rsidR="00C47AA7">
        <w:rPr>
          <w:rFonts w:ascii="Times New Roman" w:hAnsi="Times New Roman"/>
          <w:b/>
          <w:color w:val="000000"/>
          <w:sz w:val="26"/>
          <w:szCs w:val="26"/>
        </w:rPr>
        <w:t>3</w:t>
      </w:r>
      <w:r w:rsidRPr="00FF108D">
        <w:rPr>
          <w:rFonts w:ascii="Times New Roman" w:hAnsi="Times New Roman"/>
          <w:color w:val="000000"/>
          <w:sz w:val="26"/>
          <w:szCs w:val="26"/>
        </w:rPr>
        <w:t xml:space="preserve">: mức trả cổ tức bằng tiền mặt là </w:t>
      </w:r>
      <w:r w:rsidRPr="00FF108D">
        <w:rPr>
          <w:rFonts w:ascii="Times New Roman" w:hAnsi="Times New Roman"/>
          <w:b/>
          <w:color w:val="000000"/>
          <w:sz w:val="26"/>
          <w:szCs w:val="26"/>
        </w:rPr>
        <w:t>30%</w:t>
      </w:r>
      <w:r w:rsidRPr="00FF108D">
        <w:rPr>
          <w:rFonts w:ascii="Times New Roman" w:hAnsi="Times New Roman"/>
          <w:color w:val="000000"/>
          <w:sz w:val="26"/>
          <w:szCs w:val="26"/>
        </w:rPr>
        <w:t xml:space="preserve"> vốn điều lệ với số tiền chi trả là </w:t>
      </w:r>
      <w:r w:rsidRPr="00FF108D">
        <w:rPr>
          <w:rFonts w:ascii="Times New Roman" w:hAnsi="Times New Roman"/>
          <w:b/>
          <w:color w:val="000000"/>
          <w:sz w:val="26"/>
          <w:szCs w:val="26"/>
        </w:rPr>
        <w:t>130.013.988.000</w:t>
      </w:r>
      <w:r w:rsidRPr="00FF108D">
        <w:rPr>
          <w:rFonts w:ascii="Times New Roman" w:hAnsi="Times New Roman"/>
          <w:color w:val="000000"/>
          <w:sz w:val="26"/>
          <w:szCs w:val="26"/>
        </w:rPr>
        <w:t xml:space="preserve"> đồng.</w:t>
      </w:r>
    </w:p>
    <w:p w:rsidR="00034D8B" w:rsidRPr="00FF108D" w:rsidRDefault="007777D4" w:rsidP="00FF108D">
      <w:pPr>
        <w:spacing w:after="60" w:line="340" w:lineRule="exact"/>
        <w:ind w:left="426"/>
        <w:jc w:val="both"/>
        <w:rPr>
          <w:rFonts w:ascii="Times New Roman" w:hAnsi="Times New Roman"/>
          <w:color w:val="000000"/>
          <w:sz w:val="26"/>
          <w:szCs w:val="26"/>
        </w:rPr>
      </w:pPr>
      <w:r w:rsidRPr="00FF108D">
        <w:rPr>
          <w:rFonts w:ascii="Times New Roman" w:hAnsi="Times New Roman"/>
          <w:color w:val="000000"/>
          <w:sz w:val="26"/>
          <w:szCs w:val="26"/>
        </w:rPr>
        <w:t>- Và tại Đại hội đồng cổ đông thường niên ngày hôm nay, Hội đồng quản trị Công ty đề nghị Đại hội thông qua mức chi trả cổ tức bằng tiền</w:t>
      </w:r>
      <w:r w:rsidR="00C47AA7">
        <w:rPr>
          <w:rFonts w:ascii="Times New Roman" w:hAnsi="Times New Roman"/>
          <w:color w:val="000000"/>
          <w:sz w:val="26"/>
          <w:szCs w:val="26"/>
        </w:rPr>
        <w:t xml:space="preserve"> năm 2014</w:t>
      </w:r>
      <w:r w:rsidRPr="00FF108D">
        <w:rPr>
          <w:rFonts w:ascii="Times New Roman" w:hAnsi="Times New Roman"/>
          <w:color w:val="000000"/>
          <w:sz w:val="26"/>
          <w:szCs w:val="26"/>
        </w:rPr>
        <w:t xml:space="preserve"> là </w:t>
      </w:r>
      <w:r w:rsidRPr="00FF108D">
        <w:rPr>
          <w:rFonts w:ascii="Times New Roman" w:hAnsi="Times New Roman"/>
          <w:b/>
          <w:color w:val="000000"/>
          <w:sz w:val="26"/>
          <w:szCs w:val="26"/>
        </w:rPr>
        <w:t>15%</w:t>
      </w:r>
      <w:r w:rsidRPr="00FF108D">
        <w:rPr>
          <w:rFonts w:ascii="Times New Roman" w:hAnsi="Times New Roman"/>
          <w:color w:val="000000"/>
          <w:sz w:val="26"/>
          <w:szCs w:val="26"/>
        </w:rPr>
        <w:t xml:space="preserve"> vốn điều lệ với số tiền chi trả là </w:t>
      </w:r>
      <w:r w:rsidRPr="00FF108D">
        <w:rPr>
          <w:rFonts w:ascii="Times New Roman" w:hAnsi="Times New Roman"/>
          <w:b/>
          <w:color w:val="000000"/>
          <w:sz w:val="26"/>
          <w:szCs w:val="26"/>
        </w:rPr>
        <w:t>84.508.935.000</w:t>
      </w:r>
      <w:r w:rsidRPr="00FF108D">
        <w:rPr>
          <w:rFonts w:ascii="Times New Roman" w:hAnsi="Times New Roman"/>
          <w:color w:val="000000"/>
          <w:sz w:val="26"/>
          <w:szCs w:val="26"/>
        </w:rPr>
        <w:t xml:space="preserve"> đồng, cùng với </w:t>
      </w:r>
      <w:r w:rsidR="00182F1A" w:rsidRPr="00FF108D">
        <w:rPr>
          <w:rFonts w:ascii="Times New Roman" w:hAnsi="Times New Roman"/>
          <w:color w:val="000000"/>
          <w:sz w:val="26"/>
          <w:szCs w:val="26"/>
        </w:rPr>
        <w:t xml:space="preserve">việc chi trả </w:t>
      </w:r>
      <w:r w:rsidRPr="00C63AF0">
        <w:rPr>
          <w:rFonts w:ascii="Times New Roman" w:hAnsi="Times New Roman"/>
          <w:b/>
          <w:color w:val="000000"/>
          <w:sz w:val="26"/>
          <w:szCs w:val="26"/>
        </w:rPr>
        <w:t>10%</w:t>
      </w:r>
      <w:r w:rsidRPr="00FF108D">
        <w:rPr>
          <w:rFonts w:ascii="Times New Roman" w:hAnsi="Times New Roman"/>
          <w:color w:val="000000"/>
          <w:sz w:val="26"/>
          <w:szCs w:val="26"/>
        </w:rPr>
        <w:t xml:space="preserve"> bằng cổ phiếu để tăng vốn điều lệ.</w:t>
      </w:r>
    </w:p>
    <w:p w:rsidR="00295F2B" w:rsidRPr="00FF108D" w:rsidRDefault="00295F2B" w:rsidP="00FF108D">
      <w:pPr>
        <w:spacing w:after="60" w:line="340" w:lineRule="exact"/>
        <w:ind w:firstLine="284"/>
        <w:jc w:val="both"/>
        <w:rPr>
          <w:rFonts w:ascii="Times New Roman" w:hAnsi="Times New Roman"/>
          <w:b/>
          <w:color w:val="000000"/>
          <w:sz w:val="26"/>
          <w:szCs w:val="26"/>
        </w:rPr>
      </w:pPr>
      <w:r w:rsidRPr="00FF108D">
        <w:rPr>
          <w:rFonts w:ascii="Times New Roman" w:hAnsi="Times New Roman"/>
          <w:b/>
          <w:color w:val="000000"/>
          <w:sz w:val="26"/>
          <w:szCs w:val="26"/>
        </w:rPr>
        <w:t>* Về công tác quản trị:</w:t>
      </w:r>
    </w:p>
    <w:p w:rsidR="00295F2B" w:rsidRPr="00FF108D" w:rsidRDefault="00295F2B"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Để đáp ứng yêu cầu của thị trường đối với Công ty đại chúng niêm yết trên thị trường chứng khoán, Hội đồng quản trị Công ty đã chú trọng công tác đào tạo, bồi dưỡng các kiến thức quản trị hiện đại cho các cán bộ quản lý</w:t>
      </w:r>
      <w:r w:rsidR="00C47AA7">
        <w:rPr>
          <w:rFonts w:ascii="Times New Roman" w:hAnsi="Times New Roman"/>
          <w:color w:val="000000"/>
          <w:sz w:val="26"/>
          <w:szCs w:val="26"/>
        </w:rPr>
        <w:t>.</w:t>
      </w:r>
      <w:r w:rsidRPr="00FF108D">
        <w:rPr>
          <w:rFonts w:ascii="Times New Roman" w:hAnsi="Times New Roman"/>
          <w:color w:val="000000"/>
          <w:sz w:val="26"/>
          <w:szCs w:val="26"/>
        </w:rPr>
        <w:t xml:space="preserve"> Công ty đã tham gia đầy đủ các khóa học do Ủy ban Chứng khoán Nhà nước, Sở Giao dịch chứng khoán Hà Nội mở; cũng như tham gia các đoàn công tác tham quan, học hỏi kinh nghiệm tại thị trường Thái lan, Đài Loan</w:t>
      </w:r>
      <w:r w:rsidR="00C63AF0">
        <w:rPr>
          <w:rFonts w:ascii="Times New Roman" w:hAnsi="Times New Roman"/>
          <w:color w:val="000000"/>
          <w:sz w:val="26"/>
          <w:szCs w:val="26"/>
        </w:rPr>
        <w:t>, Singapore</w:t>
      </w:r>
      <w:r w:rsidRPr="00FF108D">
        <w:rPr>
          <w:rFonts w:ascii="Times New Roman" w:hAnsi="Times New Roman"/>
          <w:color w:val="000000"/>
          <w:sz w:val="26"/>
          <w:szCs w:val="26"/>
        </w:rPr>
        <w:t>.</w:t>
      </w:r>
    </w:p>
    <w:p w:rsidR="00295F2B" w:rsidRPr="00FF108D" w:rsidRDefault="00C954CD"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Công ty đã xây dựng Quy chế Quản trị Công ty, Quy chế công bố thông tin để đăng ký với cơ quan quản lý và tổ chức thực hiện. Trong quản lý nội bộ, Công ty đã xây dựng quy chế phối hợp hoạt động công tác giữa Hội đồng quản trị với Ban điều hành, Ban kiểm soát Công ty.</w:t>
      </w:r>
    </w:p>
    <w:p w:rsidR="00C954CD" w:rsidRPr="00FF108D" w:rsidRDefault="00C954CD"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Tại Đại hội đồng cổ đông thường niên năm 2014 (tổ chức ngày 19/04/2014) Hội đồng quản trị đã trình Đại hội đồng cổ đông thông qua toàn văn sửa đổi Điều lệ Công ty theo Điều lệ mẫu ban hành kèm theo Thông tư 121 của Bộ Tài chính.</w:t>
      </w:r>
    </w:p>
    <w:p w:rsidR="00C954CD" w:rsidRPr="00FF108D" w:rsidRDefault="00C954CD"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Với tiêu chí “Công khai - Minh bạch”, Công ty luôn chú trọng đến công tác công bố thông tin và quan hệ cổ đông, nhằm đưa đến cho n</w:t>
      </w:r>
      <w:r w:rsidR="00273216" w:rsidRPr="00FF108D">
        <w:rPr>
          <w:rFonts w:ascii="Times New Roman" w:hAnsi="Times New Roman"/>
          <w:color w:val="000000"/>
          <w:sz w:val="26"/>
          <w:szCs w:val="26"/>
        </w:rPr>
        <w:t>hà</w:t>
      </w:r>
      <w:r w:rsidRPr="00FF108D">
        <w:rPr>
          <w:rFonts w:ascii="Times New Roman" w:hAnsi="Times New Roman"/>
          <w:color w:val="000000"/>
          <w:sz w:val="26"/>
          <w:szCs w:val="26"/>
        </w:rPr>
        <w:t xml:space="preserve"> đầu tư những thông tin rõ ràng về hoạt động của doanh nghiệp</w:t>
      </w:r>
      <w:r w:rsidR="00273216" w:rsidRPr="00FF108D">
        <w:rPr>
          <w:rFonts w:ascii="Times New Roman" w:hAnsi="Times New Roman"/>
          <w:color w:val="000000"/>
          <w:sz w:val="26"/>
          <w:szCs w:val="26"/>
        </w:rPr>
        <w:t xml:space="preserve"> thông qua nhiều phương tiện như: báo cáo thông tin với Ủy ban Chứng khoán Nhà nước, Sở Giao dịch Chứng khoán Hà Nội, website Công ty, Hội nghị tiếp xúc cổ đông, gặp gỡ trao đổi với các nhà đầu tư…Trong hai </w:t>
      </w:r>
      <w:r w:rsidR="00273216" w:rsidRPr="00FF108D">
        <w:rPr>
          <w:rFonts w:ascii="Times New Roman" w:hAnsi="Times New Roman"/>
          <w:color w:val="000000"/>
          <w:sz w:val="26"/>
          <w:szCs w:val="26"/>
        </w:rPr>
        <w:lastRenderedPageBreak/>
        <w:t xml:space="preserve">năm liên tiếp 2013, 2014 </w:t>
      </w:r>
      <w:r w:rsidR="00C63AF0">
        <w:rPr>
          <w:rFonts w:ascii="Times New Roman" w:hAnsi="Times New Roman"/>
          <w:color w:val="000000"/>
          <w:sz w:val="26"/>
          <w:szCs w:val="26"/>
        </w:rPr>
        <w:t>Nhựa Tiền phong</w:t>
      </w:r>
      <w:r w:rsidR="00273216" w:rsidRPr="00FF108D">
        <w:rPr>
          <w:rFonts w:ascii="Times New Roman" w:hAnsi="Times New Roman"/>
          <w:color w:val="000000"/>
          <w:sz w:val="26"/>
          <w:szCs w:val="26"/>
        </w:rPr>
        <w:t xml:space="preserve"> đều lọt vào </w:t>
      </w:r>
      <w:r w:rsidR="00273216" w:rsidRPr="00C63AF0">
        <w:rPr>
          <w:rFonts w:ascii="Times New Roman" w:hAnsi="Times New Roman"/>
          <w:b/>
          <w:color w:val="000000"/>
          <w:sz w:val="26"/>
          <w:szCs w:val="26"/>
        </w:rPr>
        <w:t>Top 30</w:t>
      </w:r>
      <w:r w:rsidR="00273216" w:rsidRPr="00FF108D">
        <w:rPr>
          <w:rFonts w:ascii="Times New Roman" w:hAnsi="Times New Roman"/>
          <w:color w:val="000000"/>
          <w:sz w:val="26"/>
          <w:szCs w:val="26"/>
        </w:rPr>
        <w:t xml:space="preserve"> Công ty niêm yết minh bạch nhất trên sàn chứng khoán Hà Nội (HNX), và </w:t>
      </w:r>
      <w:r w:rsidR="00273216" w:rsidRPr="00C63AF0">
        <w:rPr>
          <w:rFonts w:ascii="Times New Roman" w:hAnsi="Times New Roman"/>
          <w:b/>
          <w:color w:val="000000"/>
          <w:sz w:val="26"/>
          <w:szCs w:val="26"/>
        </w:rPr>
        <w:t>Top 50</w:t>
      </w:r>
      <w:r w:rsidR="00273216" w:rsidRPr="00FF108D">
        <w:rPr>
          <w:rFonts w:ascii="Times New Roman" w:hAnsi="Times New Roman"/>
          <w:color w:val="000000"/>
          <w:sz w:val="26"/>
          <w:szCs w:val="26"/>
        </w:rPr>
        <w:t xml:space="preserve"> Báo cáo thường niên tốt nhất trên cả hai sàn Hà Nội (HNX) và </w:t>
      </w:r>
      <w:r w:rsidR="00C63AF0">
        <w:rPr>
          <w:rFonts w:ascii="Times New Roman" w:hAnsi="Times New Roman"/>
          <w:color w:val="000000"/>
          <w:sz w:val="26"/>
          <w:szCs w:val="26"/>
        </w:rPr>
        <w:t xml:space="preserve">sàn </w:t>
      </w:r>
      <w:r w:rsidR="00273216" w:rsidRPr="00FF108D">
        <w:rPr>
          <w:rFonts w:ascii="Times New Roman" w:hAnsi="Times New Roman"/>
          <w:color w:val="000000"/>
          <w:sz w:val="26"/>
          <w:szCs w:val="26"/>
        </w:rPr>
        <w:t>Thành phố Hồ Chí Minh (HSX).</w:t>
      </w:r>
    </w:p>
    <w:p w:rsidR="008768D1" w:rsidRPr="00FF108D" w:rsidRDefault="00034D8B" w:rsidP="00FF108D">
      <w:pPr>
        <w:spacing w:after="60" w:line="340" w:lineRule="exact"/>
        <w:jc w:val="both"/>
        <w:rPr>
          <w:rFonts w:ascii="Times New Roman" w:hAnsi="Times New Roman"/>
          <w:b/>
          <w:color w:val="000000"/>
          <w:sz w:val="26"/>
          <w:szCs w:val="26"/>
        </w:rPr>
      </w:pPr>
      <w:r w:rsidRPr="00FF108D">
        <w:rPr>
          <w:rFonts w:ascii="Times New Roman" w:hAnsi="Times New Roman"/>
          <w:b/>
          <w:color w:val="000000"/>
          <w:sz w:val="26"/>
          <w:szCs w:val="26"/>
        </w:rPr>
        <w:t>1.3</w:t>
      </w:r>
      <w:r w:rsidR="00A37B75" w:rsidRPr="00FF108D">
        <w:rPr>
          <w:rFonts w:ascii="Times New Roman" w:hAnsi="Times New Roman"/>
          <w:b/>
          <w:color w:val="000000"/>
          <w:sz w:val="26"/>
          <w:szCs w:val="26"/>
        </w:rPr>
        <w:t xml:space="preserve">. Đánh giá về kết quả sản xuất </w:t>
      </w:r>
      <w:r w:rsidR="00A0607E" w:rsidRPr="00FF108D">
        <w:rPr>
          <w:rFonts w:ascii="Times New Roman" w:hAnsi="Times New Roman"/>
          <w:b/>
          <w:color w:val="000000"/>
          <w:sz w:val="26"/>
          <w:szCs w:val="26"/>
        </w:rPr>
        <w:t xml:space="preserve">- </w:t>
      </w:r>
      <w:r w:rsidR="00A37B75" w:rsidRPr="00FF108D">
        <w:rPr>
          <w:rFonts w:ascii="Times New Roman" w:hAnsi="Times New Roman"/>
          <w:b/>
          <w:color w:val="000000"/>
          <w:sz w:val="26"/>
          <w:szCs w:val="26"/>
        </w:rPr>
        <w:t>kinh doanh</w:t>
      </w:r>
      <w:r w:rsidR="001F2634" w:rsidRPr="00FF108D">
        <w:rPr>
          <w:rFonts w:ascii="Times New Roman" w:hAnsi="Times New Roman"/>
          <w:b/>
          <w:color w:val="000000"/>
          <w:sz w:val="26"/>
          <w:szCs w:val="26"/>
        </w:rPr>
        <w:t xml:space="preserve"> và </w:t>
      </w:r>
      <w:r w:rsidR="00182F1A" w:rsidRPr="00FF108D">
        <w:rPr>
          <w:rFonts w:ascii="Times New Roman" w:hAnsi="Times New Roman"/>
          <w:b/>
          <w:color w:val="000000"/>
          <w:sz w:val="26"/>
          <w:szCs w:val="26"/>
        </w:rPr>
        <w:t>các giải pháp</w:t>
      </w:r>
      <w:r w:rsidR="001F2634" w:rsidRPr="00FF108D">
        <w:rPr>
          <w:rFonts w:ascii="Times New Roman" w:hAnsi="Times New Roman"/>
          <w:b/>
          <w:color w:val="000000"/>
          <w:sz w:val="26"/>
          <w:szCs w:val="26"/>
        </w:rPr>
        <w:t xml:space="preserve"> điều hành</w:t>
      </w:r>
      <w:r w:rsidR="00A37B75" w:rsidRPr="00FF108D">
        <w:rPr>
          <w:rFonts w:ascii="Times New Roman" w:hAnsi="Times New Roman"/>
          <w:b/>
          <w:color w:val="000000"/>
          <w:sz w:val="26"/>
          <w:szCs w:val="26"/>
        </w:rPr>
        <w:t>:</w:t>
      </w:r>
    </w:p>
    <w:p w:rsidR="00A0607E" w:rsidRPr="00FF108D" w:rsidRDefault="00A0607E" w:rsidP="009C644C">
      <w:pPr>
        <w:spacing w:after="120" w:line="340" w:lineRule="exact"/>
        <w:ind w:firstLine="425"/>
        <w:jc w:val="both"/>
        <w:rPr>
          <w:rFonts w:ascii="Times New Roman" w:hAnsi="Times New Roman"/>
          <w:color w:val="000000"/>
          <w:sz w:val="26"/>
          <w:szCs w:val="26"/>
        </w:rPr>
      </w:pPr>
      <w:r w:rsidRPr="00FF108D">
        <w:rPr>
          <w:rFonts w:ascii="Times New Roman" w:hAnsi="Times New Roman"/>
          <w:color w:val="000000"/>
          <w:sz w:val="26"/>
          <w:szCs w:val="26"/>
        </w:rPr>
        <w:t>Trong nhiệm kỳ 2010 - 2015, mặc dù có nhiều tác động tiêu cực của việc suy giảm kinh tế; sự cạnh tranh ngày càng gay gắt của thị trường, không chỉ đối với các đối thủ truyền thống trong ngành mà còn có cả các đối thủ mới tham gia thị trường, tuy vậy với sự năng động, bám sát thực tế</w:t>
      </w:r>
      <w:r w:rsidR="000422C9" w:rsidRPr="00FF108D">
        <w:rPr>
          <w:rFonts w:ascii="Times New Roman" w:hAnsi="Times New Roman"/>
          <w:color w:val="000000"/>
          <w:sz w:val="26"/>
          <w:szCs w:val="26"/>
        </w:rPr>
        <w:t xml:space="preserve"> Hội đồng quản trị, Ban điều hành đã có những chính sách kinh doanh phù hợp, mang lại hiệu quả cao, thể hiện qua bảng số liệu sau đây:</w:t>
      </w:r>
    </w:p>
    <w:tbl>
      <w:tblPr>
        <w:tblStyle w:val="TableGrid"/>
        <w:tblW w:w="0" w:type="auto"/>
        <w:tblLook w:val="04A0" w:firstRow="1" w:lastRow="0" w:firstColumn="1" w:lastColumn="0" w:noHBand="0" w:noVBand="1"/>
      </w:tblPr>
      <w:tblGrid>
        <w:gridCol w:w="537"/>
        <w:gridCol w:w="2406"/>
        <w:gridCol w:w="851"/>
        <w:gridCol w:w="1134"/>
        <w:gridCol w:w="992"/>
        <w:gridCol w:w="961"/>
        <w:gridCol w:w="1147"/>
        <w:gridCol w:w="1147"/>
      </w:tblGrid>
      <w:tr w:rsidR="000422C9" w:rsidRPr="00C47AA7" w:rsidTr="009F7DCE">
        <w:tc>
          <w:tcPr>
            <w:tcW w:w="534"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TT</w:t>
            </w:r>
          </w:p>
        </w:tc>
        <w:tc>
          <w:tcPr>
            <w:tcW w:w="2409"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Chỉ tiêu</w:t>
            </w:r>
          </w:p>
        </w:tc>
        <w:tc>
          <w:tcPr>
            <w:tcW w:w="851"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ĐVT</w:t>
            </w:r>
          </w:p>
        </w:tc>
        <w:tc>
          <w:tcPr>
            <w:tcW w:w="1134"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2010</w:t>
            </w:r>
          </w:p>
        </w:tc>
        <w:tc>
          <w:tcPr>
            <w:tcW w:w="992"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2011</w:t>
            </w:r>
          </w:p>
        </w:tc>
        <w:tc>
          <w:tcPr>
            <w:tcW w:w="961"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2012</w:t>
            </w:r>
          </w:p>
        </w:tc>
        <w:tc>
          <w:tcPr>
            <w:tcW w:w="1147"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2013</w:t>
            </w:r>
          </w:p>
        </w:tc>
        <w:tc>
          <w:tcPr>
            <w:tcW w:w="1147" w:type="dxa"/>
          </w:tcPr>
          <w:p w:rsidR="000422C9" w:rsidRPr="00C47AA7" w:rsidRDefault="000422C9" w:rsidP="00FF108D">
            <w:pPr>
              <w:spacing w:after="60" w:line="340" w:lineRule="exact"/>
              <w:jc w:val="center"/>
              <w:rPr>
                <w:rFonts w:ascii="Times New Roman" w:hAnsi="Times New Roman"/>
                <w:b/>
                <w:color w:val="000000"/>
                <w:sz w:val="24"/>
              </w:rPr>
            </w:pPr>
            <w:r w:rsidRPr="00C47AA7">
              <w:rPr>
                <w:rFonts w:ascii="Times New Roman" w:hAnsi="Times New Roman"/>
                <w:b/>
                <w:color w:val="000000"/>
                <w:sz w:val="24"/>
              </w:rPr>
              <w:t>2014</w:t>
            </w:r>
          </w:p>
        </w:tc>
      </w:tr>
      <w:tr w:rsidR="000422C9" w:rsidRPr="00FF108D" w:rsidTr="009F7DCE">
        <w:tc>
          <w:tcPr>
            <w:tcW w:w="534"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1</w:t>
            </w:r>
          </w:p>
        </w:tc>
        <w:tc>
          <w:tcPr>
            <w:tcW w:w="2409"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Doanh thu bán hàng</w:t>
            </w:r>
          </w:p>
        </w:tc>
        <w:tc>
          <w:tcPr>
            <w:tcW w:w="851" w:type="dxa"/>
          </w:tcPr>
          <w:p w:rsidR="000422C9" w:rsidRPr="00FF108D" w:rsidRDefault="000422C9" w:rsidP="00FF108D">
            <w:pPr>
              <w:spacing w:after="60" w:line="340" w:lineRule="exact"/>
              <w:jc w:val="center"/>
              <w:rPr>
                <w:rFonts w:ascii="Times New Roman" w:hAnsi="Times New Roman"/>
                <w:color w:val="000000"/>
                <w:sz w:val="24"/>
              </w:rPr>
            </w:pPr>
            <w:r w:rsidRPr="00FF108D">
              <w:rPr>
                <w:rFonts w:ascii="Times New Roman" w:hAnsi="Times New Roman"/>
                <w:color w:val="000000"/>
                <w:sz w:val="24"/>
              </w:rPr>
              <w:t>Tỷ đ</w:t>
            </w:r>
          </w:p>
        </w:tc>
        <w:tc>
          <w:tcPr>
            <w:tcW w:w="1134"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1.954</w:t>
            </w:r>
          </w:p>
        </w:tc>
        <w:tc>
          <w:tcPr>
            <w:tcW w:w="992"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2.265</w:t>
            </w:r>
          </w:p>
        </w:tc>
        <w:tc>
          <w:tcPr>
            <w:tcW w:w="961"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2.322</w:t>
            </w:r>
          </w:p>
        </w:tc>
        <w:tc>
          <w:tcPr>
            <w:tcW w:w="1147"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2.456</w:t>
            </w:r>
          </w:p>
        </w:tc>
        <w:tc>
          <w:tcPr>
            <w:tcW w:w="1147"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2.923</w:t>
            </w:r>
          </w:p>
        </w:tc>
      </w:tr>
      <w:tr w:rsidR="000422C9" w:rsidRPr="00FF108D" w:rsidTr="009F7DCE">
        <w:tc>
          <w:tcPr>
            <w:tcW w:w="534"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2</w:t>
            </w:r>
          </w:p>
        </w:tc>
        <w:tc>
          <w:tcPr>
            <w:tcW w:w="2409"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Sản lượng bán hàng</w:t>
            </w:r>
          </w:p>
        </w:tc>
        <w:tc>
          <w:tcPr>
            <w:tcW w:w="851" w:type="dxa"/>
          </w:tcPr>
          <w:p w:rsidR="000422C9" w:rsidRPr="00FF108D" w:rsidRDefault="000422C9" w:rsidP="00FF108D">
            <w:pPr>
              <w:spacing w:after="60" w:line="340" w:lineRule="exact"/>
              <w:jc w:val="center"/>
              <w:rPr>
                <w:rFonts w:ascii="Times New Roman" w:hAnsi="Times New Roman"/>
                <w:color w:val="000000"/>
                <w:sz w:val="24"/>
              </w:rPr>
            </w:pPr>
            <w:r w:rsidRPr="00FF108D">
              <w:rPr>
                <w:rFonts w:ascii="Times New Roman" w:hAnsi="Times New Roman"/>
                <w:color w:val="000000"/>
                <w:sz w:val="24"/>
              </w:rPr>
              <w:t>Tấn</w:t>
            </w:r>
          </w:p>
        </w:tc>
        <w:tc>
          <w:tcPr>
            <w:tcW w:w="1134"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54.400</w:t>
            </w:r>
          </w:p>
        </w:tc>
        <w:tc>
          <w:tcPr>
            <w:tcW w:w="992"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54.400</w:t>
            </w:r>
          </w:p>
        </w:tc>
        <w:tc>
          <w:tcPr>
            <w:tcW w:w="961"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47.766</w:t>
            </w:r>
          </w:p>
        </w:tc>
        <w:tc>
          <w:tcPr>
            <w:tcW w:w="1147"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48.643</w:t>
            </w:r>
          </w:p>
        </w:tc>
        <w:tc>
          <w:tcPr>
            <w:tcW w:w="1147" w:type="dxa"/>
          </w:tcPr>
          <w:p w:rsidR="000422C9" w:rsidRPr="00FF108D" w:rsidRDefault="000422C9"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58.988</w:t>
            </w:r>
          </w:p>
        </w:tc>
      </w:tr>
      <w:tr w:rsidR="000422C9" w:rsidRPr="00FF108D" w:rsidTr="009F7DCE">
        <w:tc>
          <w:tcPr>
            <w:tcW w:w="534"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3</w:t>
            </w:r>
          </w:p>
        </w:tc>
        <w:tc>
          <w:tcPr>
            <w:tcW w:w="2409" w:type="dxa"/>
          </w:tcPr>
          <w:p w:rsidR="000422C9" w:rsidRPr="00FF108D" w:rsidRDefault="000422C9"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Lợi nhuận trước thuế</w:t>
            </w:r>
          </w:p>
        </w:tc>
        <w:tc>
          <w:tcPr>
            <w:tcW w:w="851" w:type="dxa"/>
          </w:tcPr>
          <w:p w:rsidR="000422C9" w:rsidRPr="00FF108D" w:rsidRDefault="000422C9" w:rsidP="00FF108D">
            <w:pPr>
              <w:spacing w:after="60" w:line="340" w:lineRule="exact"/>
              <w:jc w:val="center"/>
              <w:rPr>
                <w:rFonts w:ascii="Times New Roman" w:hAnsi="Times New Roman"/>
                <w:color w:val="000000"/>
                <w:sz w:val="24"/>
              </w:rPr>
            </w:pPr>
            <w:r w:rsidRPr="00FF108D">
              <w:rPr>
                <w:rFonts w:ascii="Times New Roman" w:hAnsi="Times New Roman"/>
                <w:color w:val="000000"/>
                <w:sz w:val="24"/>
              </w:rPr>
              <w:t>Tỷ đ</w:t>
            </w:r>
          </w:p>
        </w:tc>
        <w:tc>
          <w:tcPr>
            <w:tcW w:w="1134" w:type="dxa"/>
          </w:tcPr>
          <w:p w:rsidR="000422C9"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367</w:t>
            </w:r>
          </w:p>
        </w:tc>
        <w:tc>
          <w:tcPr>
            <w:tcW w:w="992" w:type="dxa"/>
          </w:tcPr>
          <w:p w:rsidR="000422C9"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347</w:t>
            </w:r>
          </w:p>
        </w:tc>
        <w:tc>
          <w:tcPr>
            <w:tcW w:w="961" w:type="dxa"/>
          </w:tcPr>
          <w:p w:rsidR="000422C9"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385</w:t>
            </w:r>
          </w:p>
        </w:tc>
        <w:tc>
          <w:tcPr>
            <w:tcW w:w="1147" w:type="dxa"/>
          </w:tcPr>
          <w:p w:rsidR="000422C9"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376</w:t>
            </w:r>
          </w:p>
        </w:tc>
        <w:tc>
          <w:tcPr>
            <w:tcW w:w="1147" w:type="dxa"/>
          </w:tcPr>
          <w:p w:rsidR="000422C9"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363</w:t>
            </w:r>
          </w:p>
        </w:tc>
      </w:tr>
      <w:tr w:rsidR="009F7DCE" w:rsidRPr="00FF108D" w:rsidTr="009F7DCE">
        <w:tc>
          <w:tcPr>
            <w:tcW w:w="534" w:type="dxa"/>
          </w:tcPr>
          <w:p w:rsidR="009F7DCE" w:rsidRPr="00FF108D" w:rsidRDefault="009F7DCE" w:rsidP="00FF108D">
            <w:pPr>
              <w:spacing w:after="60" w:line="340" w:lineRule="exact"/>
              <w:jc w:val="both"/>
              <w:rPr>
                <w:rFonts w:ascii="Times New Roman" w:hAnsi="Times New Roman"/>
                <w:color w:val="000000"/>
                <w:sz w:val="24"/>
              </w:rPr>
            </w:pPr>
            <w:r w:rsidRPr="00FF108D">
              <w:rPr>
                <w:rFonts w:ascii="Times New Roman" w:hAnsi="Times New Roman"/>
                <w:color w:val="000000"/>
                <w:sz w:val="24"/>
              </w:rPr>
              <w:t>4</w:t>
            </w:r>
          </w:p>
        </w:tc>
        <w:tc>
          <w:tcPr>
            <w:tcW w:w="2409" w:type="dxa"/>
          </w:tcPr>
          <w:p w:rsidR="009F7DCE" w:rsidRPr="00FF108D" w:rsidRDefault="009F7DCE" w:rsidP="00FF108D">
            <w:pPr>
              <w:spacing w:after="60" w:line="340" w:lineRule="exact"/>
              <w:jc w:val="both"/>
              <w:rPr>
                <w:rFonts w:ascii="Times New Roman" w:hAnsi="Times New Roman"/>
                <w:color w:val="000000"/>
                <w:sz w:val="22"/>
                <w:szCs w:val="22"/>
              </w:rPr>
            </w:pPr>
            <w:r w:rsidRPr="00FF108D">
              <w:rPr>
                <w:rFonts w:ascii="Times New Roman" w:hAnsi="Times New Roman"/>
                <w:color w:val="000000"/>
                <w:sz w:val="22"/>
                <w:szCs w:val="22"/>
              </w:rPr>
              <w:t>Lãi cơ bản trên cổ phiếu</w:t>
            </w:r>
          </w:p>
        </w:tc>
        <w:tc>
          <w:tcPr>
            <w:tcW w:w="851" w:type="dxa"/>
          </w:tcPr>
          <w:p w:rsidR="009F7DCE" w:rsidRPr="00FF108D" w:rsidRDefault="00C63AF0" w:rsidP="00FF108D">
            <w:pPr>
              <w:spacing w:after="60" w:line="340" w:lineRule="exact"/>
              <w:jc w:val="center"/>
              <w:rPr>
                <w:rFonts w:ascii="Times New Roman" w:hAnsi="Times New Roman"/>
                <w:color w:val="000000"/>
                <w:sz w:val="24"/>
              </w:rPr>
            </w:pPr>
            <w:r>
              <w:rPr>
                <w:rFonts w:ascii="Times New Roman" w:hAnsi="Times New Roman"/>
                <w:color w:val="000000"/>
                <w:sz w:val="24"/>
              </w:rPr>
              <w:t>đ/cp</w:t>
            </w:r>
          </w:p>
        </w:tc>
        <w:tc>
          <w:tcPr>
            <w:tcW w:w="1134" w:type="dxa"/>
          </w:tcPr>
          <w:p w:rsidR="009F7DCE"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7.209</w:t>
            </w:r>
          </w:p>
        </w:tc>
        <w:tc>
          <w:tcPr>
            <w:tcW w:w="992" w:type="dxa"/>
          </w:tcPr>
          <w:p w:rsidR="009F7DCE"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6.206</w:t>
            </w:r>
          </w:p>
        </w:tc>
        <w:tc>
          <w:tcPr>
            <w:tcW w:w="961" w:type="dxa"/>
          </w:tcPr>
          <w:p w:rsidR="009F7DCE"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6.721</w:t>
            </w:r>
          </w:p>
        </w:tc>
        <w:tc>
          <w:tcPr>
            <w:tcW w:w="1147" w:type="dxa"/>
          </w:tcPr>
          <w:p w:rsidR="009F7DCE"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6.681</w:t>
            </w:r>
          </w:p>
        </w:tc>
        <w:tc>
          <w:tcPr>
            <w:tcW w:w="1147" w:type="dxa"/>
          </w:tcPr>
          <w:p w:rsidR="009F7DCE" w:rsidRPr="00FF108D" w:rsidRDefault="009F7DCE" w:rsidP="00FF108D">
            <w:pPr>
              <w:spacing w:after="60" w:line="340" w:lineRule="exact"/>
              <w:jc w:val="right"/>
              <w:rPr>
                <w:rFonts w:ascii="Times New Roman" w:hAnsi="Times New Roman"/>
                <w:color w:val="000000"/>
                <w:sz w:val="24"/>
              </w:rPr>
            </w:pPr>
            <w:r w:rsidRPr="00FF108D">
              <w:rPr>
                <w:rFonts w:ascii="Times New Roman" w:hAnsi="Times New Roman"/>
                <w:color w:val="000000"/>
                <w:sz w:val="24"/>
              </w:rPr>
              <w:t>5.769</w:t>
            </w:r>
          </w:p>
        </w:tc>
      </w:tr>
    </w:tbl>
    <w:p w:rsidR="001F2634" w:rsidRPr="00FF108D" w:rsidRDefault="001F2634" w:rsidP="009C644C">
      <w:pPr>
        <w:spacing w:before="120"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Để đạt được kết quả sản xuất </w:t>
      </w:r>
      <w:r w:rsidR="00182F1A" w:rsidRPr="00FF108D">
        <w:rPr>
          <w:rFonts w:ascii="Times New Roman" w:hAnsi="Times New Roman"/>
          <w:color w:val="000000"/>
          <w:sz w:val="26"/>
          <w:szCs w:val="26"/>
        </w:rPr>
        <w:t xml:space="preserve">kinh doanh </w:t>
      </w:r>
      <w:r w:rsidRPr="00FF108D">
        <w:rPr>
          <w:rFonts w:ascii="Times New Roman" w:hAnsi="Times New Roman"/>
          <w:color w:val="000000"/>
          <w:sz w:val="26"/>
          <w:szCs w:val="26"/>
        </w:rPr>
        <w:t>trên đây</w:t>
      </w:r>
      <w:r w:rsidR="00182F1A" w:rsidRPr="00FF108D">
        <w:rPr>
          <w:rFonts w:ascii="Times New Roman" w:hAnsi="Times New Roman"/>
          <w:color w:val="000000"/>
          <w:sz w:val="26"/>
          <w:szCs w:val="26"/>
        </w:rPr>
        <w:t>, tập thể Ban lãnh đạo đã luôn đoàn kết, năng động, bám sát thực tiễn từ đó có những giải pháp kinh doanh mang lại hiệu quả cao. Trong nhiệm kỳ 2010 - 2015, Hội đồng quản trị Công ty đánh giá:</w:t>
      </w:r>
    </w:p>
    <w:p w:rsidR="00651E41" w:rsidRPr="00FF108D" w:rsidRDefault="00651E4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00182F1A" w:rsidRPr="00FF108D">
        <w:rPr>
          <w:rFonts w:ascii="Times New Roman" w:hAnsi="Times New Roman"/>
          <w:color w:val="000000"/>
          <w:sz w:val="26"/>
          <w:szCs w:val="26"/>
        </w:rPr>
        <w:t>Ban điều hành đã l</w:t>
      </w:r>
      <w:r w:rsidRPr="00FF108D">
        <w:rPr>
          <w:rFonts w:ascii="Times New Roman" w:hAnsi="Times New Roman"/>
          <w:color w:val="000000"/>
          <w:sz w:val="26"/>
          <w:szCs w:val="26"/>
        </w:rPr>
        <w:t xml:space="preserve">uôn tuân thủ các chủ trương, nghị quyết của Hội đồng quản trị trong việc thực hiện chiến lược phát triển </w:t>
      </w:r>
      <w:r w:rsidR="00182F1A" w:rsidRPr="00FF108D">
        <w:rPr>
          <w:rFonts w:ascii="Times New Roman" w:hAnsi="Times New Roman"/>
          <w:color w:val="000000"/>
          <w:sz w:val="26"/>
          <w:szCs w:val="26"/>
        </w:rPr>
        <w:t xml:space="preserve">Nhựa Tiền phong một cách </w:t>
      </w:r>
      <w:r w:rsidRPr="00FF108D">
        <w:rPr>
          <w:rFonts w:ascii="Times New Roman" w:hAnsi="Times New Roman"/>
          <w:color w:val="000000"/>
          <w:sz w:val="26"/>
          <w:szCs w:val="26"/>
        </w:rPr>
        <w:t xml:space="preserve">bền vững, </w:t>
      </w:r>
      <w:r w:rsidR="00182F1A" w:rsidRPr="00FF108D">
        <w:rPr>
          <w:rFonts w:ascii="Times New Roman" w:hAnsi="Times New Roman"/>
          <w:color w:val="000000"/>
          <w:sz w:val="26"/>
          <w:szCs w:val="26"/>
        </w:rPr>
        <w:t>với mục tiêu trong tương lai không xa</w:t>
      </w:r>
      <w:r w:rsidRPr="00FF108D">
        <w:rPr>
          <w:rFonts w:ascii="Times New Roman" w:hAnsi="Times New Roman"/>
          <w:color w:val="000000"/>
          <w:sz w:val="26"/>
          <w:szCs w:val="26"/>
        </w:rPr>
        <w:t xml:space="preserve"> Nhựa Tiền phong</w:t>
      </w:r>
      <w:r w:rsidR="00182F1A" w:rsidRPr="00FF108D">
        <w:rPr>
          <w:rFonts w:ascii="Times New Roman" w:hAnsi="Times New Roman"/>
          <w:color w:val="000000"/>
          <w:sz w:val="26"/>
          <w:szCs w:val="26"/>
        </w:rPr>
        <w:t xml:space="preserve"> sẽ trở </w:t>
      </w:r>
      <w:r w:rsidRPr="00FF108D">
        <w:rPr>
          <w:rFonts w:ascii="Times New Roman" w:hAnsi="Times New Roman"/>
          <w:color w:val="000000"/>
          <w:sz w:val="26"/>
          <w:szCs w:val="26"/>
        </w:rPr>
        <w:t xml:space="preserve">thành </w:t>
      </w:r>
      <w:r w:rsidR="00182F1A" w:rsidRPr="00FF108D">
        <w:rPr>
          <w:rFonts w:ascii="Times New Roman" w:hAnsi="Times New Roman"/>
          <w:color w:val="000000"/>
          <w:sz w:val="26"/>
          <w:szCs w:val="26"/>
        </w:rPr>
        <w:t xml:space="preserve">một </w:t>
      </w:r>
      <w:r w:rsidRPr="00FF108D">
        <w:rPr>
          <w:rFonts w:ascii="Times New Roman" w:hAnsi="Times New Roman"/>
          <w:color w:val="000000"/>
          <w:sz w:val="26"/>
          <w:szCs w:val="26"/>
        </w:rPr>
        <w:t>Trung tâm công nghiệp Nhựa hiện đại và lớn nhất cả nước.</w:t>
      </w:r>
    </w:p>
    <w:p w:rsidR="00651E41" w:rsidRPr="00FF108D" w:rsidRDefault="00651E4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00182F1A" w:rsidRPr="00FF108D">
        <w:rPr>
          <w:rFonts w:ascii="Times New Roman" w:hAnsi="Times New Roman"/>
          <w:color w:val="000000"/>
          <w:sz w:val="26"/>
          <w:szCs w:val="26"/>
        </w:rPr>
        <w:t>Về kết quả sản xuất kinh doanh qua các năm, Công ty luôn phấn đấu h</w:t>
      </w:r>
      <w:r w:rsidRPr="00FF108D">
        <w:rPr>
          <w:rFonts w:ascii="Times New Roman" w:hAnsi="Times New Roman"/>
          <w:color w:val="000000"/>
          <w:sz w:val="26"/>
          <w:szCs w:val="26"/>
        </w:rPr>
        <w:t>oàn thành các chỉ tiêu kế hoạch đã được Đại hội đồng cổ đông thông qua hàng năm.</w:t>
      </w:r>
    </w:p>
    <w:p w:rsidR="00651E41" w:rsidRPr="00FF108D" w:rsidRDefault="00651E4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00182F1A" w:rsidRPr="00FF108D">
        <w:rPr>
          <w:rFonts w:ascii="Times New Roman" w:hAnsi="Times New Roman"/>
          <w:color w:val="000000"/>
          <w:sz w:val="26"/>
          <w:szCs w:val="26"/>
        </w:rPr>
        <w:t>Ban điều hành cũng đã t</w:t>
      </w:r>
      <w:r w:rsidRPr="00FF108D">
        <w:rPr>
          <w:rFonts w:ascii="Times New Roman" w:hAnsi="Times New Roman"/>
          <w:color w:val="000000"/>
          <w:sz w:val="26"/>
          <w:szCs w:val="26"/>
        </w:rPr>
        <w:t xml:space="preserve">hực hiện những giải pháp quản lý nâng cao hiệu quả hoạt động của các đơn vị trong Công ty, </w:t>
      </w:r>
      <w:r w:rsidR="00182F1A" w:rsidRPr="00FF108D">
        <w:rPr>
          <w:rFonts w:ascii="Times New Roman" w:hAnsi="Times New Roman"/>
          <w:color w:val="000000"/>
          <w:sz w:val="26"/>
          <w:szCs w:val="26"/>
        </w:rPr>
        <w:t xml:space="preserve">tạo ra sự </w:t>
      </w:r>
      <w:r w:rsidRPr="00FF108D">
        <w:rPr>
          <w:rFonts w:ascii="Times New Roman" w:hAnsi="Times New Roman"/>
          <w:color w:val="000000"/>
          <w:sz w:val="26"/>
          <w:szCs w:val="26"/>
        </w:rPr>
        <w:t xml:space="preserve">gắn kết và hỗ trợ </w:t>
      </w:r>
      <w:r w:rsidR="00182F1A" w:rsidRPr="00FF108D">
        <w:rPr>
          <w:rFonts w:ascii="Times New Roman" w:hAnsi="Times New Roman"/>
          <w:color w:val="000000"/>
          <w:sz w:val="26"/>
          <w:szCs w:val="26"/>
        </w:rPr>
        <w:t xml:space="preserve">tích cực </w:t>
      </w:r>
      <w:r w:rsidRPr="00FF108D">
        <w:rPr>
          <w:rFonts w:ascii="Times New Roman" w:hAnsi="Times New Roman"/>
          <w:color w:val="000000"/>
          <w:sz w:val="26"/>
          <w:szCs w:val="26"/>
        </w:rPr>
        <w:t>từ các đơn vị chức năng đối với các đơn vị sản xuất.</w:t>
      </w:r>
    </w:p>
    <w:p w:rsidR="00651E41" w:rsidRPr="00FF108D" w:rsidRDefault="00651E4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00182F1A" w:rsidRPr="00FF108D">
        <w:rPr>
          <w:rFonts w:ascii="Times New Roman" w:hAnsi="Times New Roman"/>
          <w:color w:val="000000"/>
          <w:sz w:val="26"/>
          <w:szCs w:val="26"/>
        </w:rPr>
        <w:t>Ban điều hành đã có những giải pháp tổng thể triển khai t</w:t>
      </w:r>
      <w:r w:rsidRPr="00FF108D">
        <w:rPr>
          <w:rFonts w:ascii="Times New Roman" w:hAnsi="Times New Roman"/>
          <w:color w:val="000000"/>
          <w:sz w:val="26"/>
          <w:szCs w:val="26"/>
        </w:rPr>
        <w:t xml:space="preserve">hực hiện chính sách tiết kiệm </w:t>
      </w:r>
      <w:r w:rsidR="00182F1A" w:rsidRPr="00FF108D">
        <w:rPr>
          <w:rFonts w:ascii="Times New Roman" w:hAnsi="Times New Roman"/>
          <w:color w:val="000000"/>
          <w:sz w:val="26"/>
          <w:szCs w:val="26"/>
        </w:rPr>
        <w:t xml:space="preserve">chi phí, chú trọng đến các các yếu tố có mức ảnh hưởng lớn đến hiệu quả sản xuất kinh doanh của Công ty như: </w:t>
      </w:r>
      <w:r w:rsidRPr="00FF108D">
        <w:rPr>
          <w:rFonts w:ascii="Times New Roman" w:hAnsi="Times New Roman"/>
          <w:color w:val="000000"/>
          <w:sz w:val="26"/>
          <w:szCs w:val="26"/>
        </w:rPr>
        <w:t>nguyên liệu, điện</w:t>
      </w:r>
      <w:r w:rsidR="00182F1A" w:rsidRPr="00FF108D">
        <w:rPr>
          <w:rFonts w:ascii="Times New Roman" w:hAnsi="Times New Roman"/>
          <w:color w:val="000000"/>
          <w:sz w:val="26"/>
          <w:szCs w:val="26"/>
        </w:rPr>
        <w:t>,</w:t>
      </w:r>
      <w:r w:rsidRPr="00FF108D">
        <w:rPr>
          <w:rFonts w:ascii="Times New Roman" w:hAnsi="Times New Roman"/>
          <w:color w:val="000000"/>
          <w:sz w:val="26"/>
          <w:szCs w:val="26"/>
        </w:rPr>
        <w:t xml:space="preserve"> nước.</w:t>
      </w:r>
    </w:p>
    <w:p w:rsidR="00182F1A" w:rsidRPr="00FF108D" w:rsidRDefault="00182F1A"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Ban điều hành đã luôn xác định việc đảm bảo chất lượng sản phẩm là yếu tố sống còn của Công ty, tuân thủ tuyệt đối chính sách chất lượng của Công ty với phương châm “</w:t>
      </w:r>
      <w:r w:rsidRPr="00FF108D">
        <w:rPr>
          <w:rFonts w:ascii="Times New Roman" w:hAnsi="Times New Roman"/>
          <w:b/>
          <w:color w:val="000000"/>
          <w:sz w:val="26"/>
          <w:szCs w:val="26"/>
        </w:rPr>
        <w:t>Chất lượng là trên hết, đảm bảo quyền lợi chính đáng cho người tiêu dùng</w:t>
      </w:r>
      <w:r w:rsidRPr="00FF108D">
        <w:rPr>
          <w:rFonts w:ascii="Times New Roman" w:hAnsi="Times New Roman"/>
          <w:color w:val="000000"/>
          <w:sz w:val="26"/>
          <w:szCs w:val="26"/>
        </w:rPr>
        <w:t>”.</w:t>
      </w:r>
    </w:p>
    <w:p w:rsidR="00AF39F6" w:rsidRPr="00FF108D" w:rsidRDefault="00AF39F6"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lastRenderedPageBreak/>
        <w:t>- Từ đòi hỏi thực tiễn của thị trường, cũng như đáp ứng yêu cầu ngày càng nâng cao những tiện ích của sản phẩm, Công ty đã xây dựng và triển khai thực hiện việc đồng bộ hóa tiêu chuẩn sản phẩm, đảm bảo cho sản phẩm Nhựa Tiền phong không chỉ đáp ứng được yêu cầu của người tiêu dùng trong nước mà còn đủ tiêu chuẩn xuất khẩu vào những thị trường khó tính như thị trường Niu-di-lân, Nhật Bản.</w:t>
      </w:r>
    </w:p>
    <w:p w:rsidR="00D84512" w:rsidRPr="00FF108D" w:rsidRDefault="00D84512"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Công ty đã thực hiện chiến lược sản phẩm một cách đúng đắn, trong đó xác định rõ vai trò, xu thế của những dòng sản phẩm. Bên cạnh dòng sản phẩm truyền thống, chủ lực </w:t>
      </w:r>
      <w:r w:rsidR="00C47AA7">
        <w:rPr>
          <w:rFonts w:ascii="Times New Roman" w:hAnsi="Times New Roman"/>
          <w:color w:val="000000"/>
          <w:sz w:val="26"/>
          <w:szCs w:val="26"/>
        </w:rPr>
        <w:t xml:space="preserve">là </w:t>
      </w:r>
      <w:r w:rsidRPr="00FF108D">
        <w:rPr>
          <w:rFonts w:ascii="Times New Roman" w:hAnsi="Times New Roman"/>
          <w:color w:val="000000"/>
          <w:sz w:val="26"/>
          <w:szCs w:val="26"/>
        </w:rPr>
        <w:t>u.PVC, Công ty đã có những biện pháp linh hoạt trong việc đưa sản phẩm PEHD, PPR chiếm lĩnh thị trường. Những chính sách này đã phát huy tác dụng</w:t>
      </w:r>
      <w:r w:rsidR="00C47AA7">
        <w:rPr>
          <w:rFonts w:ascii="Times New Roman" w:hAnsi="Times New Roman"/>
          <w:color w:val="000000"/>
          <w:sz w:val="26"/>
          <w:szCs w:val="26"/>
        </w:rPr>
        <w:t>,</w:t>
      </w:r>
      <w:r w:rsidRPr="00FF108D">
        <w:rPr>
          <w:rFonts w:ascii="Times New Roman" w:hAnsi="Times New Roman"/>
          <w:color w:val="000000"/>
          <w:sz w:val="26"/>
          <w:szCs w:val="26"/>
        </w:rPr>
        <w:t xml:space="preserve"> thể hiện ở mức tăng trưởng ấn tượng dòng sản phẩm PEHD, PPR trong các năm 2013, 2014. Bên cạnh đó, Công ty cũng đã triển khai đưa ra thị trường dòng sản phẩm không chịu áp (ống KAL) nhằm hỗ trợ thị trường</w:t>
      </w:r>
      <w:r w:rsidR="009B0F70" w:rsidRPr="00FF108D">
        <w:rPr>
          <w:rFonts w:ascii="Times New Roman" w:hAnsi="Times New Roman"/>
          <w:color w:val="000000"/>
          <w:sz w:val="26"/>
          <w:szCs w:val="26"/>
        </w:rPr>
        <w:t>. Đồng thời Công ty cũng tập trung nghiên cứu và trong thời gian tới sẽ đưa ra thị trường dòng sản phẩm chịu áp cao như PVC-M.</w:t>
      </w:r>
    </w:p>
    <w:p w:rsidR="001F2634" w:rsidRPr="00FF108D" w:rsidRDefault="009B0F70"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w:t>
      </w:r>
      <w:r w:rsidR="001F2634" w:rsidRPr="00FF108D">
        <w:rPr>
          <w:rFonts w:ascii="Times New Roman" w:hAnsi="Times New Roman"/>
          <w:color w:val="000000"/>
          <w:sz w:val="26"/>
          <w:szCs w:val="26"/>
        </w:rPr>
        <w:t xml:space="preserve"> </w:t>
      </w:r>
      <w:r w:rsidRPr="00FF108D">
        <w:rPr>
          <w:rFonts w:ascii="Times New Roman" w:hAnsi="Times New Roman"/>
          <w:color w:val="000000"/>
          <w:sz w:val="26"/>
          <w:szCs w:val="26"/>
        </w:rPr>
        <w:t>Để phát triển và mở rộng thị phần cho sản phẩm Nhựa Tiền phong, Công ty đã t</w:t>
      </w:r>
      <w:r w:rsidR="00651E41" w:rsidRPr="00FF108D">
        <w:rPr>
          <w:rFonts w:ascii="Times New Roman" w:hAnsi="Times New Roman"/>
          <w:color w:val="000000"/>
          <w:sz w:val="26"/>
          <w:szCs w:val="26"/>
        </w:rPr>
        <w:t>hực hiện c</w:t>
      </w:r>
      <w:r w:rsidR="001F2634" w:rsidRPr="00FF108D">
        <w:rPr>
          <w:rFonts w:ascii="Times New Roman" w:hAnsi="Times New Roman"/>
          <w:color w:val="000000"/>
          <w:sz w:val="26"/>
          <w:szCs w:val="26"/>
        </w:rPr>
        <w:t>hính sách thị trường</w:t>
      </w:r>
      <w:r w:rsidR="00651E41" w:rsidRPr="00FF108D">
        <w:rPr>
          <w:rFonts w:ascii="Times New Roman" w:hAnsi="Times New Roman"/>
          <w:color w:val="000000"/>
          <w:sz w:val="26"/>
          <w:szCs w:val="26"/>
        </w:rPr>
        <w:t xml:space="preserve"> quyết liệt và linh động</w:t>
      </w:r>
      <w:r w:rsidR="001F2634" w:rsidRPr="00FF108D">
        <w:rPr>
          <w:rFonts w:ascii="Times New Roman" w:hAnsi="Times New Roman"/>
          <w:color w:val="000000"/>
          <w:sz w:val="26"/>
          <w:szCs w:val="26"/>
        </w:rPr>
        <w:t xml:space="preserve">, </w:t>
      </w:r>
      <w:r w:rsidRPr="00FF108D">
        <w:rPr>
          <w:rFonts w:ascii="Times New Roman" w:hAnsi="Times New Roman"/>
          <w:color w:val="000000"/>
          <w:sz w:val="26"/>
          <w:szCs w:val="26"/>
        </w:rPr>
        <w:t xml:space="preserve">từ tháng 10/2013 Công ty đã triển khai </w:t>
      </w:r>
      <w:r w:rsidR="001F2634" w:rsidRPr="00FF108D">
        <w:rPr>
          <w:rFonts w:ascii="Times New Roman" w:hAnsi="Times New Roman"/>
          <w:color w:val="000000"/>
          <w:sz w:val="26"/>
          <w:szCs w:val="26"/>
        </w:rPr>
        <w:t>chính sách tăng chiết khấu 3%</w:t>
      </w:r>
      <w:r w:rsidRPr="00FF108D">
        <w:rPr>
          <w:rFonts w:ascii="Times New Roman" w:hAnsi="Times New Roman"/>
          <w:color w:val="000000"/>
          <w:sz w:val="26"/>
          <w:szCs w:val="26"/>
        </w:rPr>
        <w:t xml:space="preserve"> cho những đơn vị bán hàng cam kết chỉ bán sản phẩm Nhựa Tiền phong; Công ty cũng kết hợp với các Trung tâm phân phối sản phẩm thực hiện việc</w:t>
      </w:r>
      <w:r w:rsidR="001F2634" w:rsidRPr="00FF108D">
        <w:rPr>
          <w:rFonts w:ascii="Times New Roman" w:hAnsi="Times New Roman"/>
          <w:color w:val="000000"/>
          <w:sz w:val="26"/>
          <w:szCs w:val="26"/>
        </w:rPr>
        <w:t xml:space="preserve"> phân vùng thị trường một cách hợp lý</w:t>
      </w:r>
      <w:r w:rsidR="00651E41" w:rsidRPr="00FF108D">
        <w:rPr>
          <w:rFonts w:ascii="Times New Roman" w:hAnsi="Times New Roman"/>
          <w:color w:val="000000"/>
          <w:sz w:val="26"/>
          <w:szCs w:val="26"/>
        </w:rPr>
        <w:t>,</w:t>
      </w:r>
      <w:r w:rsidRPr="00FF108D">
        <w:rPr>
          <w:rFonts w:ascii="Times New Roman" w:hAnsi="Times New Roman"/>
          <w:color w:val="000000"/>
          <w:sz w:val="26"/>
          <w:szCs w:val="26"/>
        </w:rPr>
        <w:t xml:space="preserve"> tránh sự cạnh tranh không cần thiết từ chính các đơn vị bán hàng trong hệ thống phân phối của Nhựa Tiền phong.</w:t>
      </w:r>
    </w:p>
    <w:p w:rsidR="001F2634" w:rsidRPr="00FF108D" w:rsidRDefault="001F2634" w:rsidP="00FF108D">
      <w:pPr>
        <w:spacing w:after="60" w:line="340" w:lineRule="exact"/>
        <w:jc w:val="both"/>
        <w:rPr>
          <w:rFonts w:ascii="Times New Roman" w:hAnsi="Times New Roman"/>
          <w:b/>
          <w:color w:val="000000"/>
          <w:sz w:val="26"/>
          <w:szCs w:val="26"/>
        </w:rPr>
      </w:pPr>
      <w:r w:rsidRPr="00FF108D">
        <w:rPr>
          <w:rFonts w:ascii="Times New Roman" w:hAnsi="Times New Roman"/>
          <w:b/>
          <w:color w:val="000000"/>
          <w:sz w:val="26"/>
          <w:szCs w:val="26"/>
        </w:rPr>
        <w:t>1.4. Đánh giá về Công tác Đầu tư</w:t>
      </w:r>
      <w:r w:rsidR="009B0F70" w:rsidRPr="00FF108D">
        <w:rPr>
          <w:rFonts w:ascii="Times New Roman" w:hAnsi="Times New Roman"/>
          <w:b/>
          <w:color w:val="000000"/>
          <w:sz w:val="26"/>
          <w:szCs w:val="26"/>
        </w:rPr>
        <w:t>, phát triển</w:t>
      </w:r>
      <w:r w:rsidRPr="00FF108D">
        <w:rPr>
          <w:rFonts w:ascii="Times New Roman" w:hAnsi="Times New Roman"/>
          <w:b/>
          <w:color w:val="000000"/>
          <w:sz w:val="26"/>
          <w:szCs w:val="26"/>
        </w:rPr>
        <w:t>:</w:t>
      </w:r>
    </w:p>
    <w:p w:rsidR="001F2634" w:rsidRDefault="001F2634"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Trong nhiệm kỳ 2010 - 2015, </w:t>
      </w:r>
      <w:r w:rsidR="009B0F70" w:rsidRPr="00FF108D">
        <w:rPr>
          <w:rFonts w:ascii="Times New Roman" w:hAnsi="Times New Roman"/>
          <w:color w:val="000000"/>
          <w:sz w:val="26"/>
          <w:szCs w:val="26"/>
        </w:rPr>
        <w:t xml:space="preserve">Công ty đã huy động một nguồn lực lớn </w:t>
      </w:r>
      <w:r w:rsidR="00D17354" w:rsidRPr="00FF108D">
        <w:rPr>
          <w:rFonts w:ascii="Times New Roman" w:hAnsi="Times New Roman"/>
          <w:color w:val="000000"/>
          <w:sz w:val="26"/>
          <w:szCs w:val="26"/>
        </w:rPr>
        <w:t xml:space="preserve">từ vốn chủ sở hữu </w:t>
      </w:r>
      <w:r w:rsidR="009B0F70" w:rsidRPr="00FF108D">
        <w:rPr>
          <w:rFonts w:ascii="Times New Roman" w:hAnsi="Times New Roman"/>
          <w:color w:val="000000"/>
          <w:sz w:val="26"/>
          <w:szCs w:val="26"/>
        </w:rPr>
        <w:t>để</w:t>
      </w:r>
      <w:r w:rsidRPr="00FF108D">
        <w:rPr>
          <w:rFonts w:ascii="Times New Roman" w:hAnsi="Times New Roman"/>
          <w:color w:val="000000"/>
          <w:sz w:val="26"/>
          <w:szCs w:val="26"/>
        </w:rPr>
        <w:t xml:space="preserve"> </w:t>
      </w:r>
      <w:r w:rsidR="00D17354" w:rsidRPr="00FF108D">
        <w:rPr>
          <w:rFonts w:ascii="Times New Roman" w:hAnsi="Times New Roman"/>
          <w:color w:val="000000"/>
          <w:sz w:val="26"/>
          <w:szCs w:val="26"/>
        </w:rPr>
        <w:t>thực hiện công tác đầu tư phát triển. Hàng năm Hội đồng quản trị đều trình Đại hội đồng cổ đông thông qua Kế hoạch đầu tư thường xuyên cũng như Kế hoạch đầu tư theo dự án khả thi, đây là những căn cứ quan trọng</w:t>
      </w:r>
      <w:r w:rsidR="00734BFE" w:rsidRPr="00FF108D">
        <w:rPr>
          <w:rFonts w:ascii="Times New Roman" w:hAnsi="Times New Roman"/>
          <w:color w:val="000000"/>
          <w:sz w:val="26"/>
          <w:szCs w:val="26"/>
        </w:rPr>
        <w:t xml:space="preserve"> để Công ty triển khai thực hiện việc đầu tư thiết bị, xây dựng cơ bả</w:t>
      </w:r>
      <w:r w:rsidR="00C12FE0" w:rsidRPr="00FF108D">
        <w:rPr>
          <w:rFonts w:ascii="Times New Roman" w:hAnsi="Times New Roman"/>
          <w:color w:val="000000"/>
          <w:sz w:val="26"/>
          <w:szCs w:val="26"/>
        </w:rPr>
        <w:t>n, cũng như các dự án lớn</w:t>
      </w:r>
      <w:r w:rsidR="009C644C">
        <w:rPr>
          <w:rFonts w:ascii="Times New Roman" w:hAnsi="Times New Roman"/>
          <w:color w:val="000000"/>
          <w:sz w:val="26"/>
          <w:szCs w:val="26"/>
        </w:rPr>
        <w:t>.</w:t>
      </w:r>
    </w:p>
    <w:p w:rsidR="009C644C" w:rsidRPr="00C47AA7" w:rsidRDefault="009C644C" w:rsidP="00C47AA7">
      <w:pPr>
        <w:spacing w:after="120" w:line="340" w:lineRule="exact"/>
        <w:ind w:firstLine="284"/>
        <w:jc w:val="both"/>
        <w:rPr>
          <w:rFonts w:ascii="Times New Roman" w:hAnsi="Times New Roman"/>
          <w:b/>
          <w:color w:val="000000"/>
          <w:sz w:val="26"/>
          <w:szCs w:val="26"/>
        </w:rPr>
      </w:pPr>
      <w:r w:rsidRPr="00C47AA7">
        <w:rPr>
          <w:rFonts w:ascii="Times New Roman" w:hAnsi="Times New Roman"/>
          <w:b/>
          <w:color w:val="000000"/>
          <w:sz w:val="26"/>
          <w:szCs w:val="26"/>
        </w:rPr>
        <w:t>Mức đầu tư thường xuyên qua các năm như sau:</w:t>
      </w:r>
    </w:p>
    <w:tbl>
      <w:tblPr>
        <w:tblW w:w="8835"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402"/>
        <w:gridCol w:w="992"/>
        <w:gridCol w:w="851"/>
        <w:gridCol w:w="992"/>
        <w:gridCol w:w="992"/>
        <w:gridCol w:w="959"/>
      </w:tblGrid>
      <w:tr w:rsidR="009C644C" w:rsidRPr="00FF108D" w:rsidTr="009C644C">
        <w:trPr>
          <w:jc w:val="center"/>
        </w:trPr>
        <w:tc>
          <w:tcPr>
            <w:tcW w:w="647" w:type="dxa"/>
            <w:shd w:val="clear" w:color="auto" w:fill="auto"/>
          </w:tcPr>
          <w:p w:rsidR="009C644C" w:rsidRPr="00FF108D" w:rsidRDefault="009C644C" w:rsidP="000B651F">
            <w:pPr>
              <w:spacing w:line="340" w:lineRule="exact"/>
              <w:jc w:val="center"/>
              <w:rPr>
                <w:rFonts w:ascii="Times New Roman" w:hAnsi="Times New Roman"/>
                <w:b/>
                <w:sz w:val="24"/>
              </w:rPr>
            </w:pPr>
            <w:r w:rsidRPr="00FF108D">
              <w:rPr>
                <w:rFonts w:ascii="Times New Roman" w:hAnsi="Times New Roman"/>
                <w:b/>
                <w:sz w:val="24"/>
              </w:rPr>
              <w:t>TT</w:t>
            </w:r>
          </w:p>
        </w:tc>
        <w:tc>
          <w:tcPr>
            <w:tcW w:w="3402" w:type="dxa"/>
            <w:shd w:val="clear" w:color="auto" w:fill="auto"/>
          </w:tcPr>
          <w:p w:rsidR="009C644C" w:rsidRPr="00FF108D" w:rsidRDefault="009C644C" w:rsidP="000B651F">
            <w:pPr>
              <w:spacing w:line="340" w:lineRule="exact"/>
              <w:jc w:val="center"/>
              <w:rPr>
                <w:rFonts w:ascii="Times New Roman" w:hAnsi="Times New Roman"/>
                <w:b/>
                <w:sz w:val="24"/>
              </w:rPr>
            </w:pPr>
            <w:r w:rsidRPr="00FF108D">
              <w:rPr>
                <w:rFonts w:ascii="Times New Roman" w:hAnsi="Times New Roman"/>
                <w:b/>
                <w:sz w:val="24"/>
              </w:rPr>
              <w:t>Chỉ tiêu</w:t>
            </w:r>
          </w:p>
        </w:tc>
        <w:tc>
          <w:tcPr>
            <w:tcW w:w="992" w:type="dxa"/>
            <w:shd w:val="clear" w:color="auto" w:fill="auto"/>
          </w:tcPr>
          <w:p w:rsidR="009C644C" w:rsidRPr="00FF108D" w:rsidRDefault="009C644C" w:rsidP="009C644C">
            <w:pPr>
              <w:spacing w:line="340" w:lineRule="exact"/>
              <w:jc w:val="center"/>
              <w:rPr>
                <w:rFonts w:ascii="Times New Roman" w:hAnsi="Times New Roman"/>
                <w:b/>
                <w:sz w:val="24"/>
              </w:rPr>
            </w:pPr>
            <w:r w:rsidRPr="00FF108D">
              <w:rPr>
                <w:rFonts w:ascii="Times New Roman" w:hAnsi="Times New Roman"/>
                <w:b/>
                <w:sz w:val="24"/>
              </w:rPr>
              <w:t>201</w:t>
            </w:r>
            <w:r>
              <w:rPr>
                <w:rFonts w:ascii="Times New Roman" w:hAnsi="Times New Roman"/>
                <w:b/>
                <w:sz w:val="24"/>
              </w:rPr>
              <w:t>0</w:t>
            </w:r>
          </w:p>
        </w:tc>
        <w:tc>
          <w:tcPr>
            <w:tcW w:w="851" w:type="dxa"/>
            <w:shd w:val="clear" w:color="auto" w:fill="auto"/>
          </w:tcPr>
          <w:p w:rsidR="009C644C" w:rsidRPr="00FF108D" w:rsidRDefault="009C644C" w:rsidP="009C644C">
            <w:pPr>
              <w:spacing w:line="340" w:lineRule="exact"/>
              <w:jc w:val="center"/>
              <w:rPr>
                <w:rFonts w:ascii="Times New Roman" w:hAnsi="Times New Roman"/>
                <w:b/>
                <w:sz w:val="24"/>
              </w:rPr>
            </w:pPr>
            <w:r w:rsidRPr="00FF108D">
              <w:rPr>
                <w:rFonts w:ascii="Times New Roman" w:hAnsi="Times New Roman"/>
                <w:b/>
                <w:sz w:val="24"/>
              </w:rPr>
              <w:t>201</w:t>
            </w:r>
            <w:r>
              <w:rPr>
                <w:rFonts w:ascii="Times New Roman" w:hAnsi="Times New Roman"/>
                <w:b/>
                <w:sz w:val="24"/>
              </w:rPr>
              <w:t>1</w:t>
            </w:r>
          </w:p>
        </w:tc>
        <w:tc>
          <w:tcPr>
            <w:tcW w:w="992" w:type="dxa"/>
            <w:shd w:val="clear" w:color="auto" w:fill="auto"/>
          </w:tcPr>
          <w:p w:rsidR="009C644C" w:rsidRPr="00FF108D" w:rsidRDefault="009C644C" w:rsidP="009C644C">
            <w:pPr>
              <w:spacing w:line="340" w:lineRule="exact"/>
              <w:jc w:val="center"/>
              <w:rPr>
                <w:rFonts w:ascii="Times New Roman" w:hAnsi="Times New Roman"/>
                <w:b/>
                <w:sz w:val="24"/>
              </w:rPr>
            </w:pPr>
            <w:r w:rsidRPr="00FF108D">
              <w:rPr>
                <w:rFonts w:ascii="Times New Roman" w:hAnsi="Times New Roman"/>
                <w:b/>
                <w:sz w:val="24"/>
              </w:rPr>
              <w:t>201</w:t>
            </w:r>
            <w:r>
              <w:rPr>
                <w:rFonts w:ascii="Times New Roman" w:hAnsi="Times New Roman"/>
                <w:b/>
                <w:sz w:val="24"/>
              </w:rPr>
              <w:t>2</w:t>
            </w:r>
          </w:p>
        </w:tc>
        <w:tc>
          <w:tcPr>
            <w:tcW w:w="992" w:type="dxa"/>
            <w:shd w:val="clear" w:color="auto" w:fill="auto"/>
          </w:tcPr>
          <w:p w:rsidR="009C644C" w:rsidRPr="00FF108D" w:rsidRDefault="009C644C" w:rsidP="009C644C">
            <w:pPr>
              <w:spacing w:line="340" w:lineRule="exact"/>
              <w:jc w:val="center"/>
              <w:rPr>
                <w:rFonts w:ascii="Times New Roman" w:hAnsi="Times New Roman"/>
                <w:b/>
                <w:sz w:val="24"/>
              </w:rPr>
            </w:pPr>
            <w:r w:rsidRPr="00FF108D">
              <w:rPr>
                <w:rFonts w:ascii="Times New Roman" w:hAnsi="Times New Roman"/>
                <w:b/>
                <w:sz w:val="24"/>
              </w:rPr>
              <w:t>201</w:t>
            </w:r>
            <w:r>
              <w:rPr>
                <w:rFonts w:ascii="Times New Roman" w:hAnsi="Times New Roman"/>
                <w:b/>
                <w:sz w:val="24"/>
              </w:rPr>
              <w:t>3</w:t>
            </w:r>
          </w:p>
        </w:tc>
        <w:tc>
          <w:tcPr>
            <w:tcW w:w="959" w:type="dxa"/>
            <w:shd w:val="clear" w:color="auto" w:fill="auto"/>
          </w:tcPr>
          <w:p w:rsidR="009C644C" w:rsidRPr="00FF108D" w:rsidRDefault="009C644C" w:rsidP="009C644C">
            <w:pPr>
              <w:spacing w:line="340" w:lineRule="exact"/>
              <w:jc w:val="center"/>
              <w:rPr>
                <w:rFonts w:ascii="Times New Roman" w:hAnsi="Times New Roman"/>
                <w:b/>
                <w:sz w:val="24"/>
              </w:rPr>
            </w:pPr>
            <w:r w:rsidRPr="00FF108D">
              <w:rPr>
                <w:rFonts w:ascii="Times New Roman" w:hAnsi="Times New Roman"/>
                <w:b/>
                <w:sz w:val="24"/>
              </w:rPr>
              <w:t>201</w:t>
            </w:r>
            <w:r>
              <w:rPr>
                <w:rFonts w:ascii="Times New Roman" w:hAnsi="Times New Roman"/>
                <w:b/>
                <w:sz w:val="24"/>
              </w:rPr>
              <w:t>4</w:t>
            </w:r>
          </w:p>
        </w:tc>
      </w:tr>
      <w:tr w:rsidR="009C644C" w:rsidRPr="00FF108D" w:rsidTr="009C644C">
        <w:trPr>
          <w:jc w:val="center"/>
        </w:trPr>
        <w:tc>
          <w:tcPr>
            <w:tcW w:w="647" w:type="dxa"/>
            <w:shd w:val="clear" w:color="auto" w:fill="auto"/>
          </w:tcPr>
          <w:p w:rsidR="009C644C" w:rsidRPr="00FF108D" w:rsidRDefault="009C644C" w:rsidP="000B651F">
            <w:pPr>
              <w:spacing w:line="340" w:lineRule="exact"/>
              <w:rPr>
                <w:rFonts w:ascii="Times New Roman" w:hAnsi="Times New Roman"/>
                <w:sz w:val="24"/>
              </w:rPr>
            </w:pPr>
            <w:r w:rsidRPr="00FF108D">
              <w:rPr>
                <w:rFonts w:ascii="Times New Roman" w:hAnsi="Times New Roman"/>
                <w:sz w:val="24"/>
              </w:rPr>
              <w:t>1</w:t>
            </w:r>
          </w:p>
        </w:tc>
        <w:tc>
          <w:tcPr>
            <w:tcW w:w="3402" w:type="dxa"/>
            <w:shd w:val="clear" w:color="auto" w:fill="auto"/>
          </w:tcPr>
          <w:p w:rsidR="009C644C" w:rsidRPr="00FF108D" w:rsidRDefault="009C644C" w:rsidP="009C644C">
            <w:pPr>
              <w:spacing w:line="340" w:lineRule="exact"/>
              <w:rPr>
                <w:rFonts w:ascii="Times New Roman" w:hAnsi="Times New Roman"/>
                <w:sz w:val="24"/>
              </w:rPr>
            </w:pPr>
            <w:r>
              <w:rPr>
                <w:rFonts w:ascii="Times New Roman" w:hAnsi="Times New Roman"/>
                <w:sz w:val="24"/>
              </w:rPr>
              <w:t>Mức đầu tư thường xuyên</w:t>
            </w:r>
            <w:r w:rsidRPr="00FF108D">
              <w:rPr>
                <w:rFonts w:ascii="Times New Roman" w:hAnsi="Times New Roman"/>
                <w:sz w:val="24"/>
              </w:rPr>
              <w:t xml:space="preserve"> (tỷ đ)</w:t>
            </w:r>
          </w:p>
        </w:tc>
        <w:tc>
          <w:tcPr>
            <w:tcW w:w="992" w:type="dxa"/>
            <w:shd w:val="clear" w:color="auto" w:fill="auto"/>
            <w:vAlign w:val="bottom"/>
          </w:tcPr>
          <w:p w:rsidR="009C644C" w:rsidRPr="00FF108D" w:rsidRDefault="009C644C" w:rsidP="000B651F">
            <w:pPr>
              <w:spacing w:line="340" w:lineRule="exact"/>
              <w:jc w:val="right"/>
              <w:rPr>
                <w:rFonts w:ascii="Times New Roman" w:hAnsi="Times New Roman"/>
                <w:b/>
                <w:bCs/>
                <w:sz w:val="24"/>
              </w:rPr>
            </w:pPr>
            <w:r>
              <w:rPr>
                <w:rFonts w:ascii="Times New Roman" w:hAnsi="Times New Roman"/>
                <w:b/>
                <w:bCs/>
                <w:sz w:val="24"/>
              </w:rPr>
              <w:t>236</w:t>
            </w:r>
          </w:p>
        </w:tc>
        <w:tc>
          <w:tcPr>
            <w:tcW w:w="851" w:type="dxa"/>
            <w:shd w:val="clear" w:color="auto" w:fill="auto"/>
            <w:vAlign w:val="bottom"/>
          </w:tcPr>
          <w:p w:rsidR="009C644C" w:rsidRPr="00FF108D" w:rsidRDefault="009C644C" w:rsidP="000B651F">
            <w:pPr>
              <w:spacing w:line="340" w:lineRule="exact"/>
              <w:jc w:val="right"/>
              <w:rPr>
                <w:rFonts w:ascii="Times New Roman" w:hAnsi="Times New Roman"/>
                <w:b/>
                <w:bCs/>
                <w:sz w:val="24"/>
              </w:rPr>
            </w:pPr>
            <w:r>
              <w:rPr>
                <w:rFonts w:ascii="Times New Roman" w:hAnsi="Times New Roman"/>
                <w:b/>
                <w:bCs/>
                <w:sz w:val="24"/>
              </w:rPr>
              <w:t>124</w:t>
            </w:r>
          </w:p>
        </w:tc>
        <w:tc>
          <w:tcPr>
            <w:tcW w:w="992" w:type="dxa"/>
            <w:shd w:val="clear" w:color="auto" w:fill="auto"/>
            <w:vAlign w:val="bottom"/>
          </w:tcPr>
          <w:p w:rsidR="009C644C" w:rsidRPr="00FF108D" w:rsidRDefault="009C644C" w:rsidP="000B651F">
            <w:pPr>
              <w:spacing w:line="340" w:lineRule="exact"/>
              <w:jc w:val="right"/>
              <w:rPr>
                <w:rFonts w:ascii="Times New Roman" w:hAnsi="Times New Roman"/>
                <w:b/>
                <w:bCs/>
                <w:sz w:val="24"/>
              </w:rPr>
            </w:pPr>
            <w:r>
              <w:rPr>
                <w:rFonts w:ascii="Times New Roman" w:hAnsi="Times New Roman"/>
                <w:b/>
                <w:bCs/>
                <w:sz w:val="24"/>
              </w:rPr>
              <w:t>152</w:t>
            </w:r>
          </w:p>
        </w:tc>
        <w:tc>
          <w:tcPr>
            <w:tcW w:w="992" w:type="dxa"/>
            <w:shd w:val="clear" w:color="auto" w:fill="auto"/>
            <w:vAlign w:val="bottom"/>
          </w:tcPr>
          <w:p w:rsidR="009C644C" w:rsidRPr="00FF108D" w:rsidRDefault="009C644C" w:rsidP="000B651F">
            <w:pPr>
              <w:spacing w:line="340" w:lineRule="exact"/>
              <w:jc w:val="right"/>
              <w:rPr>
                <w:rFonts w:ascii="Times New Roman" w:hAnsi="Times New Roman"/>
                <w:b/>
                <w:bCs/>
                <w:sz w:val="24"/>
              </w:rPr>
            </w:pPr>
            <w:r>
              <w:rPr>
                <w:rFonts w:ascii="Times New Roman" w:hAnsi="Times New Roman"/>
                <w:b/>
                <w:bCs/>
                <w:sz w:val="24"/>
              </w:rPr>
              <w:t>225</w:t>
            </w:r>
          </w:p>
        </w:tc>
        <w:tc>
          <w:tcPr>
            <w:tcW w:w="959" w:type="dxa"/>
            <w:shd w:val="clear" w:color="auto" w:fill="auto"/>
            <w:vAlign w:val="bottom"/>
          </w:tcPr>
          <w:p w:rsidR="009C644C" w:rsidRPr="00FF108D" w:rsidRDefault="009C644C" w:rsidP="000B651F">
            <w:pPr>
              <w:spacing w:line="340" w:lineRule="exact"/>
              <w:jc w:val="right"/>
              <w:rPr>
                <w:rFonts w:ascii="Times New Roman" w:hAnsi="Times New Roman"/>
                <w:b/>
                <w:bCs/>
                <w:sz w:val="24"/>
              </w:rPr>
            </w:pPr>
            <w:r>
              <w:rPr>
                <w:rFonts w:ascii="Times New Roman" w:hAnsi="Times New Roman"/>
                <w:b/>
                <w:bCs/>
                <w:sz w:val="24"/>
              </w:rPr>
              <w:t>252</w:t>
            </w:r>
          </w:p>
        </w:tc>
      </w:tr>
    </w:tbl>
    <w:p w:rsidR="00C12FE0" w:rsidRPr="00FF108D" w:rsidRDefault="00C12FE0" w:rsidP="00C47AA7">
      <w:pPr>
        <w:spacing w:before="120"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Triển khai thực hiện việc di chuyển nhà máy sang mặt bằng mới t</w:t>
      </w:r>
      <w:r w:rsidR="00C47AA7">
        <w:rPr>
          <w:rFonts w:ascii="Times New Roman" w:hAnsi="Times New Roman"/>
          <w:color w:val="000000"/>
          <w:sz w:val="26"/>
          <w:szCs w:val="26"/>
        </w:rPr>
        <w:t>ại phường Hưng Đạo, quận Dương K</w:t>
      </w:r>
      <w:r w:rsidRPr="00FF108D">
        <w:rPr>
          <w:rFonts w:ascii="Times New Roman" w:hAnsi="Times New Roman"/>
          <w:color w:val="000000"/>
          <w:sz w:val="26"/>
          <w:szCs w:val="26"/>
        </w:rPr>
        <w:t>inh với diện tích ban đầu là 13,5 ha. Công ty tiếp tục đề nghị và đã được Ủy ban Nhân dân thành phố Hải Phòng chấp thuận cho phép mở rộng mặt bằng dự án thêm 4,5 ha (tổng diện tích 18 ha). Cho đến nay Công ty đã xây dựng đồng bộ, và tiến hành di chuyển được các đơn vị: Phân xưởng 2, Phân xưởng 3, Phân xưởng 4, Phân xưởng 5, Phân xưởng Cơ điện, Phòng Quản lý chất lượng.</w:t>
      </w:r>
    </w:p>
    <w:p w:rsidR="00C12FE0" w:rsidRPr="00FF108D" w:rsidRDefault="00C12FE0"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lastRenderedPageBreak/>
        <w:t xml:space="preserve">- Công ty </w:t>
      </w:r>
      <w:r w:rsidR="00506AFD" w:rsidRPr="00FF108D">
        <w:rPr>
          <w:rFonts w:ascii="Times New Roman" w:hAnsi="Times New Roman"/>
          <w:color w:val="000000"/>
          <w:sz w:val="26"/>
          <w:szCs w:val="26"/>
        </w:rPr>
        <w:t>đang triển khai công trình trọng điểm Nhà điều hành 5 tầng tại mặt bằng Dương Kinh, phấn đấu đến tháng 6/2015 sẽ hoàn thiện và đưa vào sử dụng, đồng thời di chuyển toàn bộ khối văn phòng sang làm việc tại Nhà điều hành mới.</w:t>
      </w:r>
    </w:p>
    <w:p w:rsidR="007D6372" w:rsidRPr="00FF108D" w:rsidRDefault="007D6372"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Cũng tại mặt bằng Dương Kinh, để hoàn toàn chủ động nguồn điện cho </w:t>
      </w:r>
      <w:r w:rsidR="00C47AA7">
        <w:rPr>
          <w:rFonts w:ascii="Times New Roman" w:hAnsi="Times New Roman"/>
          <w:color w:val="000000"/>
          <w:sz w:val="26"/>
          <w:szCs w:val="26"/>
        </w:rPr>
        <w:t>sản xuất</w:t>
      </w:r>
      <w:r w:rsidRPr="00FF108D">
        <w:rPr>
          <w:rFonts w:ascii="Times New Roman" w:hAnsi="Times New Roman"/>
          <w:color w:val="000000"/>
          <w:sz w:val="26"/>
          <w:szCs w:val="26"/>
        </w:rPr>
        <w:t>, Công ty đã đề nghị và được Điện lực Hải Phòng chấp thuận thực hiện dự án xây dựng đường điện cao thế 22KV từ Trạm biến áp Kiến An cung cấp riêng cho Nhựa Tiền phong. Với nguồn điện cung cấp ổn định này sẽ đặt nền tảng cho những bước phát triển chiến lược. Đồng thời nó cũng mang lại những lợi ích to lớn góp phần nâng cao hiệu quả sản xuất kinh doanh của Công ty trong những năm tiếp theo.</w:t>
      </w:r>
    </w:p>
    <w:p w:rsidR="00506AFD" w:rsidRPr="00FF108D" w:rsidRDefault="00506AFD"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 Nghị quyết Đại hội đồng cổ đông thường niên năm 2012, Công ty đã triển khai dự án thành lập Công ty TNHH Một thành viên Nhựa Thiếu niên Tiền phong miền Trung tại Khu công nghiệp Nam Cấm, thuộc Khu Kinh tế Đông Nam tại tỉnh Nghệ An với số vốn ban đầu là 120 tỷ đồng. Sau một năm xây dựng, đến tháng 9/2013 dự án đã chính thức khánh thành và đi vào hoạt động, đóng góp một phần không nhỏ vào kết quả sản xuất kinh doanh của Nhựa Tiền phong (riêng năm 2014, Công ty TNHH Một thành viên Nhựa Thiếu niên Tiền phong miền Trung đạt mức doanh thu 450 tỷ đồng, lợi nhuận 110 tỷ đồng</w:t>
      </w:r>
      <w:r w:rsidR="007D6372" w:rsidRPr="00FF108D">
        <w:rPr>
          <w:rFonts w:ascii="Times New Roman" w:hAnsi="Times New Roman"/>
          <w:color w:val="000000"/>
          <w:sz w:val="26"/>
          <w:szCs w:val="26"/>
        </w:rPr>
        <w:t>, đồng thời Công ty còn được hưởng các ưu đãi về chính sách thuế</w:t>
      </w:r>
      <w:r w:rsidRPr="00FF108D">
        <w:rPr>
          <w:rFonts w:ascii="Times New Roman" w:hAnsi="Times New Roman"/>
          <w:color w:val="000000"/>
          <w:sz w:val="26"/>
          <w:szCs w:val="26"/>
        </w:rPr>
        <w:t>).</w:t>
      </w:r>
    </w:p>
    <w:p w:rsidR="00C12FE0" w:rsidRPr="00FF108D" w:rsidRDefault="00EE7DA4"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 chiến lược phát triển sản phẩm, tại Đại hội đồng cổ đông thường niên năm 2014, Hội đồng quản trị đã trình Đại hội thông qua dự án khả thi đầu tư thiết bị sản xuất ống PEHD cỡ lớn (đến phi 2.000</w:t>
      </w:r>
      <w:r w:rsidR="00C47AA7">
        <w:rPr>
          <w:rFonts w:ascii="Times New Roman" w:hAnsi="Times New Roman"/>
          <w:color w:val="000000"/>
          <w:sz w:val="26"/>
          <w:szCs w:val="26"/>
        </w:rPr>
        <w:t xml:space="preserve"> </w:t>
      </w:r>
      <w:r w:rsidRPr="00FF108D">
        <w:rPr>
          <w:rFonts w:ascii="Times New Roman" w:hAnsi="Times New Roman"/>
          <w:color w:val="000000"/>
          <w:sz w:val="26"/>
          <w:szCs w:val="26"/>
        </w:rPr>
        <w:t xml:space="preserve">mm - cỡ ống lớn nhất Việt Nam hiện nay), và ống PEHD 2 vách với tổng kinh phí dự án là 150 tỷ đồng. Dự kiến những sản phẩm này của Nhựa Thiếu niên Tiền phong sẽ đi vào các công trình dự án trọng điểm của </w:t>
      </w:r>
      <w:r w:rsidR="00C47AA7">
        <w:rPr>
          <w:rFonts w:ascii="Times New Roman" w:hAnsi="Times New Roman"/>
          <w:color w:val="000000"/>
          <w:sz w:val="26"/>
          <w:szCs w:val="26"/>
        </w:rPr>
        <w:t>Q</w:t>
      </w:r>
      <w:r w:rsidRPr="00FF108D">
        <w:rPr>
          <w:rFonts w:ascii="Times New Roman" w:hAnsi="Times New Roman"/>
          <w:color w:val="000000"/>
          <w:sz w:val="26"/>
          <w:szCs w:val="26"/>
        </w:rPr>
        <w:t>uốc gia, cũng như đáp ứng xu thế tất yếu trong tương lai về việc hạ ngầm cáp điện, cáp thông tin, cũng như xây dựng hệ thống thoát nước cho hệ thống đường giao thông.</w:t>
      </w:r>
    </w:p>
    <w:p w:rsidR="00734DAB" w:rsidRPr="00FF108D" w:rsidRDefault="00734DAB"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Cùng với việc đầu tư thiết bị hiện đại, Công ty cũng mở rộng mối quan hệ, hợp tác với các đối tác có uy tín</w:t>
      </w:r>
      <w:r w:rsidR="00295F2B" w:rsidRPr="00FF108D">
        <w:rPr>
          <w:rFonts w:ascii="Times New Roman" w:hAnsi="Times New Roman"/>
          <w:color w:val="000000"/>
          <w:sz w:val="26"/>
          <w:szCs w:val="26"/>
        </w:rPr>
        <w:t xml:space="preserve"> của các nước công nghiệp phát triển như Nhật Bản, Australia. Cụ thể Công ty đã hợp tác với đối tác Iplex, Sekisui trong việc sản xuất sản phẩm phụ tùng để xuất khẩu sang thị trường có yêu cầu cao về tiêu chuẩn sản phẩm.</w:t>
      </w:r>
    </w:p>
    <w:p w:rsidR="00EE7DA4" w:rsidRPr="00FF108D" w:rsidRDefault="00EE7DA4" w:rsidP="00C47AA7">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Về dự án số 2 An Đà, đây là một dự án chiến lược trong việc phát triển thương hiệu Nhựa Tiền phong, đồng thời nó cũng là dự án mang tầm vóc của thành phố Cảng Hải Phòng. Dự án đã được</w:t>
      </w:r>
      <w:r w:rsidR="009546A1" w:rsidRPr="00FF108D">
        <w:rPr>
          <w:rFonts w:ascii="Times New Roman" w:hAnsi="Times New Roman"/>
          <w:color w:val="000000"/>
          <w:sz w:val="26"/>
          <w:szCs w:val="26"/>
        </w:rPr>
        <w:t xml:space="preserve"> </w:t>
      </w:r>
      <w:r w:rsidR="00273216" w:rsidRPr="00FF108D">
        <w:rPr>
          <w:rFonts w:ascii="Times New Roman" w:hAnsi="Times New Roman"/>
          <w:color w:val="000000"/>
          <w:sz w:val="26"/>
          <w:szCs w:val="26"/>
        </w:rPr>
        <w:t xml:space="preserve">Ủy ban Nhân dân thành phố Hải Phòng phê duyệt </w:t>
      </w:r>
      <w:r w:rsidR="00273216" w:rsidRPr="00FF108D">
        <w:rPr>
          <w:rFonts w:ascii="Times New Roman" w:hAnsi="Times New Roman"/>
          <w:sz w:val="26"/>
          <w:szCs w:val="26"/>
        </w:rPr>
        <w:t xml:space="preserve">theo Quyết định số 1018/QĐ-UBND ngày 22/05/2014; đồng thời </w:t>
      </w:r>
      <w:r w:rsidR="009546A1" w:rsidRPr="00FF108D">
        <w:rPr>
          <w:rFonts w:ascii="Times New Roman" w:hAnsi="Times New Roman"/>
          <w:color w:val="000000"/>
          <w:sz w:val="26"/>
          <w:szCs w:val="26"/>
        </w:rPr>
        <w:t xml:space="preserve">Ủy ban nhân dân quận Ngô Quyền phối hợp với Chủ đầu tư là Công ty cổ phần Nhựa Thiếu niên Tiền phong tổ chức Lễ công bố quy hoạch vào ngày 23/06/2014. Đây là dự án lớn, đòi hỏi phải có </w:t>
      </w:r>
      <w:r w:rsidR="009546A1" w:rsidRPr="00FF108D">
        <w:rPr>
          <w:rFonts w:ascii="Times New Roman" w:hAnsi="Times New Roman"/>
          <w:color w:val="000000"/>
          <w:sz w:val="26"/>
          <w:szCs w:val="26"/>
        </w:rPr>
        <w:lastRenderedPageBreak/>
        <w:t>nguồn lực cũng như những bước đi thích hợp. Quan điểm nhất quán của Hội đồng quản trị Công ty là tách bạch hoạt động của Dự án với hoạt động sản xuất kinh doanh của Công ty cổ phần Nhựa Thiếu niên Tiền phong. Hội đồng quản trị Công ty sẽ xây dựng lộ trình và báo cáo hoạt động của dự án trong những Đại hội tiếp theo.</w:t>
      </w:r>
    </w:p>
    <w:p w:rsidR="001F2634" w:rsidRPr="00FF108D" w:rsidRDefault="001F2634" w:rsidP="00FF108D">
      <w:pPr>
        <w:spacing w:after="60" w:line="340" w:lineRule="exact"/>
        <w:jc w:val="both"/>
        <w:rPr>
          <w:rFonts w:ascii="Times New Roman" w:hAnsi="Times New Roman"/>
          <w:b/>
          <w:color w:val="000000"/>
          <w:sz w:val="26"/>
          <w:szCs w:val="26"/>
        </w:rPr>
      </w:pPr>
      <w:r w:rsidRPr="00FF108D">
        <w:rPr>
          <w:rFonts w:ascii="Times New Roman" w:hAnsi="Times New Roman"/>
          <w:b/>
          <w:color w:val="000000"/>
          <w:sz w:val="26"/>
          <w:szCs w:val="26"/>
        </w:rPr>
        <w:t xml:space="preserve">1.5. Đánh giá về Công tác </w:t>
      </w:r>
      <w:r w:rsidR="00490080" w:rsidRPr="00FF108D">
        <w:rPr>
          <w:rFonts w:ascii="Times New Roman" w:hAnsi="Times New Roman"/>
          <w:b/>
          <w:color w:val="000000"/>
          <w:sz w:val="26"/>
          <w:szCs w:val="26"/>
        </w:rPr>
        <w:t xml:space="preserve">tổ chức - </w:t>
      </w:r>
      <w:r w:rsidRPr="00FF108D">
        <w:rPr>
          <w:rFonts w:ascii="Times New Roman" w:hAnsi="Times New Roman"/>
          <w:b/>
          <w:color w:val="000000"/>
          <w:sz w:val="26"/>
          <w:szCs w:val="26"/>
        </w:rPr>
        <w:t>nhân sự:</w:t>
      </w:r>
    </w:p>
    <w:p w:rsidR="001F2634" w:rsidRPr="00FF108D" w:rsidRDefault="009546A1"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Có thể nói t</w:t>
      </w:r>
      <w:r w:rsidR="001F2634" w:rsidRPr="00FF108D">
        <w:rPr>
          <w:rFonts w:ascii="Times New Roman" w:hAnsi="Times New Roman"/>
          <w:color w:val="000000"/>
          <w:sz w:val="26"/>
          <w:szCs w:val="26"/>
        </w:rPr>
        <w:t xml:space="preserve">rong nhiệm kỳ 2010 - 2015, </w:t>
      </w:r>
      <w:r w:rsidRPr="00FF108D">
        <w:rPr>
          <w:rFonts w:ascii="Times New Roman" w:hAnsi="Times New Roman"/>
          <w:color w:val="000000"/>
          <w:sz w:val="26"/>
          <w:szCs w:val="26"/>
        </w:rPr>
        <w:t xml:space="preserve">Công tác </w:t>
      </w:r>
      <w:r w:rsidR="00490080" w:rsidRPr="00FF108D">
        <w:rPr>
          <w:rFonts w:ascii="Times New Roman" w:hAnsi="Times New Roman"/>
          <w:color w:val="000000"/>
          <w:sz w:val="26"/>
          <w:szCs w:val="26"/>
        </w:rPr>
        <w:t xml:space="preserve">tổ chức - </w:t>
      </w:r>
      <w:r w:rsidRPr="00FF108D">
        <w:rPr>
          <w:rFonts w:ascii="Times New Roman" w:hAnsi="Times New Roman"/>
          <w:color w:val="000000"/>
          <w:sz w:val="26"/>
          <w:szCs w:val="26"/>
        </w:rPr>
        <w:t xml:space="preserve">nhân sự là yếu tố quyết định thắng lợi đối với hoạt động sản xuất kinh doanh của Công ty. Tập thể Hội đồng quản trị đều </w:t>
      </w:r>
      <w:r w:rsidR="00C47AA7">
        <w:rPr>
          <w:rFonts w:ascii="Times New Roman" w:hAnsi="Times New Roman"/>
          <w:color w:val="000000"/>
          <w:sz w:val="26"/>
          <w:szCs w:val="26"/>
        </w:rPr>
        <w:t xml:space="preserve">là </w:t>
      </w:r>
      <w:r w:rsidRPr="00FF108D">
        <w:rPr>
          <w:rFonts w:ascii="Times New Roman" w:hAnsi="Times New Roman"/>
          <w:color w:val="000000"/>
          <w:sz w:val="26"/>
          <w:szCs w:val="26"/>
        </w:rPr>
        <w:t xml:space="preserve">những cán bộ dày dạn kinh nghiệm trong công tác chuyên môn, công tác thị trường, công tác tài chính, cũng như công tác quản lý điều hành doanh nghiệp. Vì vậy những chủ trương, chính sách của Hội đồng quản trị trong công tác chỉ đạo, quản lý đều bám sát thực tiễn thị trường cũng </w:t>
      </w:r>
      <w:r w:rsidR="00490080" w:rsidRPr="00FF108D">
        <w:rPr>
          <w:rFonts w:ascii="Times New Roman" w:hAnsi="Times New Roman"/>
          <w:color w:val="000000"/>
          <w:sz w:val="26"/>
          <w:szCs w:val="26"/>
        </w:rPr>
        <w:t>như điều kiện của doanh nghiệp.</w:t>
      </w:r>
    </w:p>
    <w:p w:rsidR="00490080" w:rsidRPr="00FF108D" w:rsidRDefault="00476EBC" w:rsidP="00FF108D">
      <w:pPr>
        <w:spacing w:after="60" w:line="340" w:lineRule="exact"/>
        <w:ind w:firstLine="284"/>
        <w:jc w:val="both"/>
        <w:rPr>
          <w:rFonts w:ascii="Times New Roman" w:hAnsi="Times New Roman"/>
          <w:color w:val="000000"/>
          <w:sz w:val="26"/>
          <w:szCs w:val="26"/>
        </w:rPr>
      </w:pPr>
      <w:r>
        <w:rPr>
          <w:rFonts w:ascii="Times New Roman" w:hAnsi="Times New Roman"/>
          <w:color w:val="000000"/>
          <w:sz w:val="26"/>
          <w:szCs w:val="26"/>
        </w:rPr>
        <w:t>Hội đồng quả</w:t>
      </w:r>
      <w:r w:rsidR="00490080" w:rsidRPr="00FF108D">
        <w:rPr>
          <w:rFonts w:ascii="Times New Roman" w:hAnsi="Times New Roman"/>
          <w:color w:val="000000"/>
          <w:sz w:val="26"/>
          <w:szCs w:val="26"/>
        </w:rPr>
        <w:t>n trị cũng luôn chú trọng đến công tác đào tạo, xây dựng chăm lo cho đội ngũ cán bộ kế cận</w:t>
      </w:r>
      <w:r w:rsidR="00382238" w:rsidRPr="00FF108D">
        <w:rPr>
          <w:rFonts w:ascii="Times New Roman" w:hAnsi="Times New Roman"/>
          <w:color w:val="000000"/>
          <w:sz w:val="26"/>
          <w:szCs w:val="26"/>
        </w:rPr>
        <w:t>, nhất là những cán bộ trẻ</w:t>
      </w:r>
      <w:r w:rsidR="00490080" w:rsidRPr="00FF108D">
        <w:rPr>
          <w:rFonts w:ascii="Times New Roman" w:hAnsi="Times New Roman"/>
          <w:color w:val="000000"/>
          <w:sz w:val="26"/>
          <w:szCs w:val="26"/>
        </w:rPr>
        <w:t xml:space="preserve"> từ cấp quản lý các đơn vị trong Công ty cho đến đội ngũ cán bộ quản lý cấp cao. Trong nhiệm kỳ, Hội đồng quản trị đã quyết định bổ nhiệm:</w:t>
      </w:r>
    </w:p>
    <w:p w:rsidR="00490080" w:rsidRPr="00FF108D" w:rsidRDefault="00490080"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Cán bộ cấp trưởng các đơn vị: Phòng Kỹ thuật sản xuất, phòng Nghiên cứu thiết kế, </w:t>
      </w:r>
      <w:r w:rsidR="00382238" w:rsidRPr="00FF108D">
        <w:rPr>
          <w:rFonts w:ascii="Times New Roman" w:hAnsi="Times New Roman"/>
          <w:color w:val="000000"/>
          <w:sz w:val="26"/>
          <w:szCs w:val="26"/>
        </w:rPr>
        <w:t xml:space="preserve">Phòng Hành chính quản trị, </w:t>
      </w:r>
      <w:r w:rsidRPr="00FF108D">
        <w:rPr>
          <w:rFonts w:ascii="Times New Roman" w:hAnsi="Times New Roman"/>
          <w:color w:val="000000"/>
          <w:sz w:val="26"/>
          <w:szCs w:val="26"/>
        </w:rPr>
        <w:t>Phòng Quản lý chất lượng, Phòng Thị trường, Phòng Kế hoạch Vật tư, Phòng Chăm sóc khách hàng, Phân xưởng 2, Phân xưởng 3, Phân xưởng 4, Phân xưởng 5, Phân xưởng Cơ điện.</w:t>
      </w:r>
    </w:p>
    <w:p w:rsidR="00490080" w:rsidRPr="00FF108D" w:rsidRDefault="00490080"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Hội đồng quản trị đã bổ nhiệm các chức vụ </w:t>
      </w:r>
      <w:r w:rsidR="00382238" w:rsidRPr="00FF108D">
        <w:rPr>
          <w:rFonts w:ascii="Times New Roman" w:hAnsi="Times New Roman"/>
          <w:color w:val="000000"/>
          <w:sz w:val="26"/>
          <w:szCs w:val="26"/>
        </w:rPr>
        <w:t xml:space="preserve">cán bộ quản lý cấp cao gồm các chức vụ: </w:t>
      </w:r>
      <w:r w:rsidRPr="00FF108D">
        <w:rPr>
          <w:rFonts w:ascii="Times New Roman" w:hAnsi="Times New Roman"/>
          <w:color w:val="000000"/>
          <w:sz w:val="26"/>
          <w:szCs w:val="26"/>
        </w:rPr>
        <w:t>Tổng Giám đốc Công ty cổ phần Nhựa Thiếu niên Tiền phong, Tổng giám đốc Công ty TNHH Nhựa TNTP miền Trung; Phó Tổng giám đốc Tài chính, Phó Tổng giám đốc Kinh doanh, Phó Tổng giám đốc Kỹ thuật, Phó Tổng giám đốc sản xuất.</w:t>
      </w:r>
    </w:p>
    <w:p w:rsidR="00382238" w:rsidRPr="00FF108D" w:rsidRDefault="00382238"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Qua thực tiễn điều hành, những cán bộ được Hội đồng quản trị bổ nhiệm đã phát huy được khả năng, sự năng động, sáng tạo, cũng như những kỹ năng quản lý hiện đại.</w:t>
      </w:r>
    </w:p>
    <w:p w:rsidR="00382238" w:rsidRPr="00FF108D" w:rsidRDefault="00382238"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Bên cạnh việc xây dựng đội ngũ cán bộ quản lý, Hội đồng quản trị cũng chỉ đạo sát sao Ban điều hành chú trọng phát triển đội ngũ cán bộ thị trường, cán bộ chuyên môn, kỹ thuật chất lượng cao.</w:t>
      </w:r>
    </w:p>
    <w:p w:rsidR="001F2634" w:rsidRPr="00FF108D" w:rsidRDefault="00382238"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Từ </w:t>
      </w:r>
      <w:r w:rsidR="00734DAB" w:rsidRPr="00FF108D">
        <w:rPr>
          <w:rFonts w:ascii="Times New Roman" w:hAnsi="Times New Roman"/>
          <w:color w:val="000000"/>
          <w:sz w:val="26"/>
          <w:szCs w:val="26"/>
        </w:rPr>
        <w:t xml:space="preserve">yêu cầu </w:t>
      </w:r>
      <w:r w:rsidRPr="00FF108D">
        <w:rPr>
          <w:rFonts w:ascii="Times New Roman" w:hAnsi="Times New Roman"/>
          <w:color w:val="000000"/>
          <w:sz w:val="26"/>
          <w:szCs w:val="26"/>
        </w:rPr>
        <w:t>công tác quản lý, cũng như đáp ứng ngày càng cao của thị trường, đòi hỏi công tác tổ chức cũng phải thay đổi mô hình cho phù hợp</w:t>
      </w:r>
      <w:r w:rsidR="00734DAB" w:rsidRPr="00FF108D">
        <w:rPr>
          <w:rFonts w:ascii="Times New Roman" w:hAnsi="Times New Roman"/>
          <w:color w:val="000000"/>
          <w:sz w:val="26"/>
          <w:szCs w:val="26"/>
        </w:rPr>
        <w:t xml:space="preserve">. Trong nhiệm kỳ vừa qua, Hội đồng quản trị đã chú trọng đến khối kinh doanh, tập trung nâng cao chất lượng đối với công tác chăm sóc khách hàng, công tác marketing, công tác xây dựng và bảo vệ thương hiệu…từ thực tế đó, Hội đồng quản trị đã quyết định thành lập 3 đơn vị chức năng riêng biệt trong khối Kinh doanh là: Phòng Thị trường, Phòng </w:t>
      </w:r>
      <w:r w:rsidR="00734DAB" w:rsidRPr="00FF108D">
        <w:rPr>
          <w:rFonts w:ascii="Times New Roman" w:hAnsi="Times New Roman"/>
          <w:color w:val="000000"/>
          <w:sz w:val="26"/>
          <w:szCs w:val="26"/>
        </w:rPr>
        <w:lastRenderedPageBreak/>
        <w:t>Chăm sóc khách hàng, Phòng Kế hoạch vật tư từ tháng 12/2013. Qua thực tiễn quản lý đã chứng minh tính đúng đắn chủ trương phát triển của Hội đồng quản trị.</w:t>
      </w:r>
    </w:p>
    <w:p w:rsidR="001F2634" w:rsidRPr="00FF108D" w:rsidRDefault="001F2634" w:rsidP="00C47AA7">
      <w:pPr>
        <w:spacing w:before="120" w:after="120" w:line="340" w:lineRule="exact"/>
        <w:jc w:val="both"/>
        <w:rPr>
          <w:rFonts w:ascii="Times New Roman" w:hAnsi="Times New Roman"/>
          <w:b/>
          <w:bCs/>
          <w:color w:val="000000"/>
          <w:sz w:val="26"/>
          <w:szCs w:val="26"/>
        </w:rPr>
      </w:pPr>
      <w:r w:rsidRPr="00FF108D">
        <w:rPr>
          <w:rFonts w:ascii="Times New Roman" w:hAnsi="Times New Roman"/>
          <w:b/>
          <w:bCs/>
          <w:color w:val="000000"/>
          <w:sz w:val="26"/>
          <w:szCs w:val="26"/>
        </w:rPr>
        <w:t>II. PHƯƠNG HƯỚNG HOẠT ĐỘNG CỦA HĐQT NHIỆM KỲ 2015 - 2020:</w:t>
      </w:r>
    </w:p>
    <w:p w:rsidR="007535CA" w:rsidRPr="00FF108D" w:rsidRDefault="007535CA" w:rsidP="009C644C">
      <w:pPr>
        <w:spacing w:after="120" w:line="340" w:lineRule="exact"/>
        <w:ind w:firstLine="284"/>
        <w:jc w:val="both"/>
        <w:rPr>
          <w:rFonts w:ascii="Times New Roman" w:hAnsi="Times New Roman"/>
          <w:color w:val="000000"/>
          <w:szCs w:val="28"/>
        </w:rPr>
      </w:pPr>
      <w:r w:rsidRPr="00FF108D">
        <w:rPr>
          <w:rFonts w:ascii="Times New Roman" w:hAnsi="Times New Roman"/>
          <w:color w:val="000000"/>
          <w:sz w:val="26"/>
          <w:szCs w:val="26"/>
        </w:rPr>
        <w:t>Căn cứ tình hình thực tế thị trường, xu hướng phát triển, cũng như những yếu tố ảnh hưởng đến sản xuất kinh doanh của Công ty, Hội đồn</w:t>
      </w:r>
      <w:bookmarkStart w:id="0" w:name="_GoBack"/>
      <w:bookmarkEnd w:id="0"/>
      <w:r w:rsidRPr="00FF108D">
        <w:rPr>
          <w:rFonts w:ascii="Times New Roman" w:hAnsi="Times New Roman"/>
          <w:color w:val="000000"/>
          <w:sz w:val="26"/>
          <w:szCs w:val="26"/>
        </w:rPr>
        <w:t>g quản trị Công ty định hướng về công tác sản xuất kinh doanh cho nhiệm kỳ tới với những tiêu chí cơ bản như sau:</w:t>
      </w:r>
    </w:p>
    <w:tbl>
      <w:tblPr>
        <w:tblW w:w="10763"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44"/>
        <w:gridCol w:w="850"/>
        <w:gridCol w:w="851"/>
        <w:gridCol w:w="850"/>
        <w:gridCol w:w="851"/>
        <w:gridCol w:w="850"/>
        <w:gridCol w:w="851"/>
        <w:gridCol w:w="850"/>
        <w:gridCol w:w="851"/>
        <w:gridCol w:w="796"/>
        <w:gridCol w:w="851"/>
      </w:tblGrid>
      <w:tr w:rsidR="00461CB8" w:rsidRPr="001B64A8" w:rsidTr="007F0535">
        <w:trPr>
          <w:jc w:val="center"/>
        </w:trPr>
        <w:tc>
          <w:tcPr>
            <w:tcW w:w="468" w:type="dxa"/>
            <w:tcBorders>
              <w:bottom w:val="nil"/>
            </w:tcBorders>
            <w:shd w:val="clear" w:color="auto" w:fill="auto"/>
          </w:tcPr>
          <w:p w:rsidR="00461CB8" w:rsidRPr="001B64A8" w:rsidRDefault="00461CB8" w:rsidP="00461CB8">
            <w:pPr>
              <w:spacing w:line="300" w:lineRule="exact"/>
              <w:jc w:val="center"/>
              <w:rPr>
                <w:rFonts w:ascii="Times New Roman" w:hAnsi="Times New Roman"/>
                <w:b/>
                <w:sz w:val="18"/>
                <w:szCs w:val="18"/>
              </w:rPr>
            </w:pPr>
            <w:r w:rsidRPr="001B64A8">
              <w:rPr>
                <w:rFonts w:ascii="Times New Roman" w:hAnsi="Times New Roman"/>
                <w:b/>
                <w:sz w:val="18"/>
                <w:szCs w:val="18"/>
              </w:rPr>
              <w:t>TT</w:t>
            </w:r>
          </w:p>
        </w:tc>
        <w:tc>
          <w:tcPr>
            <w:tcW w:w="1844" w:type="dxa"/>
            <w:tcBorders>
              <w:bottom w:val="nil"/>
            </w:tcBorders>
            <w:shd w:val="clear" w:color="auto" w:fill="auto"/>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Chỉ tiêu</w:t>
            </w:r>
          </w:p>
        </w:tc>
        <w:tc>
          <w:tcPr>
            <w:tcW w:w="1701" w:type="dxa"/>
            <w:gridSpan w:val="2"/>
            <w:shd w:val="clear" w:color="auto" w:fill="auto"/>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2015</w:t>
            </w:r>
          </w:p>
        </w:tc>
        <w:tc>
          <w:tcPr>
            <w:tcW w:w="1701" w:type="dxa"/>
            <w:gridSpan w:val="2"/>
            <w:shd w:val="clear" w:color="auto" w:fill="auto"/>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2016</w:t>
            </w:r>
          </w:p>
        </w:tc>
        <w:tc>
          <w:tcPr>
            <w:tcW w:w="1701" w:type="dxa"/>
            <w:gridSpan w:val="2"/>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2017</w:t>
            </w:r>
          </w:p>
        </w:tc>
        <w:tc>
          <w:tcPr>
            <w:tcW w:w="1701" w:type="dxa"/>
            <w:gridSpan w:val="2"/>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2018</w:t>
            </w:r>
          </w:p>
        </w:tc>
        <w:tc>
          <w:tcPr>
            <w:tcW w:w="1647" w:type="dxa"/>
            <w:gridSpan w:val="2"/>
            <w:shd w:val="clear" w:color="auto" w:fill="auto"/>
          </w:tcPr>
          <w:p w:rsidR="00461CB8" w:rsidRPr="001B64A8" w:rsidRDefault="00461CB8" w:rsidP="00461CB8">
            <w:pPr>
              <w:spacing w:line="300" w:lineRule="exact"/>
              <w:jc w:val="center"/>
              <w:rPr>
                <w:rFonts w:ascii="Times New Roman" w:hAnsi="Times New Roman"/>
                <w:b/>
                <w:sz w:val="20"/>
                <w:szCs w:val="20"/>
              </w:rPr>
            </w:pPr>
            <w:r w:rsidRPr="001B64A8">
              <w:rPr>
                <w:rFonts w:ascii="Times New Roman" w:hAnsi="Times New Roman"/>
                <w:b/>
                <w:sz w:val="20"/>
                <w:szCs w:val="20"/>
              </w:rPr>
              <w:t>2019</w:t>
            </w:r>
          </w:p>
        </w:tc>
      </w:tr>
      <w:tr w:rsidR="00461CB8" w:rsidRPr="001B64A8" w:rsidTr="00461CB8">
        <w:trPr>
          <w:jc w:val="center"/>
        </w:trPr>
        <w:tc>
          <w:tcPr>
            <w:tcW w:w="468" w:type="dxa"/>
            <w:tcBorders>
              <w:top w:val="nil"/>
            </w:tcBorders>
            <w:shd w:val="clear" w:color="auto" w:fill="auto"/>
          </w:tcPr>
          <w:p w:rsidR="00461CB8" w:rsidRPr="001B64A8" w:rsidRDefault="00461CB8" w:rsidP="00461CB8">
            <w:pPr>
              <w:spacing w:line="300" w:lineRule="exact"/>
              <w:jc w:val="center"/>
              <w:rPr>
                <w:rFonts w:ascii="Times New Roman" w:hAnsi="Times New Roman"/>
                <w:b/>
                <w:sz w:val="18"/>
                <w:szCs w:val="18"/>
              </w:rPr>
            </w:pPr>
          </w:p>
        </w:tc>
        <w:tc>
          <w:tcPr>
            <w:tcW w:w="1844" w:type="dxa"/>
            <w:tcBorders>
              <w:top w:val="nil"/>
            </w:tcBorders>
            <w:shd w:val="clear" w:color="auto" w:fill="auto"/>
          </w:tcPr>
          <w:p w:rsidR="00461CB8" w:rsidRPr="001B64A8" w:rsidRDefault="00461CB8" w:rsidP="00461CB8">
            <w:pPr>
              <w:spacing w:line="300" w:lineRule="exact"/>
              <w:jc w:val="center"/>
              <w:rPr>
                <w:rFonts w:ascii="Times New Roman" w:hAnsi="Times New Roman"/>
                <w:b/>
                <w:sz w:val="20"/>
                <w:szCs w:val="20"/>
              </w:rPr>
            </w:pPr>
          </w:p>
        </w:tc>
        <w:tc>
          <w:tcPr>
            <w:tcW w:w="850" w:type="dxa"/>
            <w:shd w:val="clear" w:color="auto" w:fill="auto"/>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Mức</w:t>
            </w:r>
          </w:p>
        </w:tc>
        <w:tc>
          <w:tcPr>
            <w:tcW w:w="851" w:type="dxa"/>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 tăng</w:t>
            </w:r>
          </w:p>
        </w:tc>
        <w:tc>
          <w:tcPr>
            <w:tcW w:w="850" w:type="dxa"/>
            <w:shd w:val="clear" w:color="auto" w:fill="auto"/>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Mức</w:t>
            </w:r>
          </w:p>
        </w:tc>
        <w:tc>
          <w:tcPr>
            <w:tcW w:w="851" w:type="dxa"/>
            <w:shd w:val="clear" w:color="auto" w:fill="auto"/>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 tăng</w:t>
            </w:r>
          </w:p>
        </w:tc>
        <w:tc>
          <w:tcPr>
            <w:tcW w:w="850" w:type="dxa"/>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Mức</w:t>
            </w:r>
          </w:p>
        </w:tc>
        <w:tc>
          <w:tcPr>
            <w:tcW w:w="851" w:type="dxa"/>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 tăng</w:t>
            </w:r>
          </w:p>
        </w:tc>
        <w:tc>
          <w:tcPr>
            <w:tcW w:w="850" w:type="dxa"/>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Mức</w:t>
            </w:r>
          </w:p>
        </w:tc>
        <w:tc>
          <w:tcPr>
            <w:tcW w:w="851" w:type="dxa"/>
            <w:shd w:val="clear" w:color="auto" w:fill="auto"/>
          </w:tcPr>
          <w:p w:rsidR="00461CB8" w:rsidRPr="001B64A8" w:rsidRDefault="00461CB8" w:rsidP="00461CB8">
            <w:pPr>
              <w:spacing w:line="300" w:lineRule="exact"/>
              <w:jc w:val="center"/>
              <w:rPr>
                <w:rFonts w:ascii="Times New Roman" w:hAnsi="Times New Roman"/>
                <w:b/>
                <w:sz w:val="18"/>
                <w:szCs w:val="18"/>
              </w:rPr>
            </w:pPr>
            <w:r w:rsidRPr="001B64A8">
              <w:rPr>
                <w:rFonts w:ascii="Times New Roman" w:hAnsi="Times New Roman"/>
                <w:b/>
                <w:sz w:val="18"/>
                <w:szCs w:val="18"/>
              </w:rPr>
              <w:t>% tăng</w:t>
            </w:r>
          </w:p>
        </w:tc>
        <w:tc>
          <w:tcPr>
            <w:tcW w:w="796" w:type="dxa"/>
            <w:shd w:val="clear" w:color="auto" w:fill="auto"/>
          </w:tcPr>
          <w:p w:rsidR="00461CB8" w:rsidRPr="001B64A8" w:rsidRDefault="00461CB8" w:rsidP="00461CB8">
            <w:pPr>
              <w:spacing w:line="300" w:lineRule="exact"/>
              <w:jc w:val="center"/>
              <w:rPr>
                <w:rFonts w:ascii="Times New Roman" w:hAnsi="Times New Roman"/>
                <w:b/>
                <w:sz w:val="20"/>
                <w:szCs w:val="20"/>
              </w:rPr>
            </w:pPr>
            <w:r>
              <w:rPr>
                <w:rFonts w:ascii="Times New Roman" w:hAnsi="Times New Roman"/>
                <w:b/>
                <w:sz w:val="20"/>
                <w:szCs w:val="20"/>
              </w:rPr>
              <w:t>Mức</w:t>
            </w:r>
          </w:p>
        </w:tc>
        <w:tc>
          <w:tcPr>
            <w:tcW w:w="851" w:type="dxa"/>
          </w:tcPr>
          <w:p w:rsidR="00461CB8" w:rsidRPr="001B64A8" w:rsidRDefault="00461CB8" w:rsidP="00461CB8">
            <w:pPr>
              <w:spacing w:line="300" w:lineRule="exact"/>
              <w:jc w:val="center"/>
              <w:rPr>
                <w:rFonts w:ascii="Times New Roman" w:hAnsi="Times New Roman"/>
                <w:b/>
                <w:sz w:val="18"/>
                <w:szCs w:val="18"/>
              </w:rPr>
            </w:pPr>
            <w:r w:rsidRPr="001B64A8">
              <w:rPr>
                <w:rFonts w:ascii="Times New Roman" w:hAnsi="Times New Roman"/>
                <w:b/>
                <w:sz w:val="18"/>
                <w:szCs w:val="18"/>
              </w:rPr>
              <w:t>% tăng</w:t>
            </w:r>
          </w:p>
        </w:tc>
      </w:tr>
      <w:tr w:rsidR="00461CB8" w:rsidRPr="001B64A8" w:rsidTr="00461CB8">
        <w:trPr>
          <w:jc w:val="center"/>
        </w:trPr>
        <w:tc>
          <w:tcPr>
            <w:tcW w:w="468"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1</w:t>
            </w:r>
          </w:p>
        </w:tc>
        <w:tc>
          <w:tcPr>
            <w:tcW w:w="1844"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Doanh thu (tỷ đồng)</w:t>
            </w:r>
          </w:p>
        </w:tc>
        <w:tc>
          <w:tcPr>
            <w:tcW w:w="850" w:type="dxa"/>
            <w:shd w:val="clear" w:color="auto" w:fill="auto"/>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3,210</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5900D3" w:rsidP="00461CB8">
            <w:pPr>
              <w:spacing w:line="300" w:lineRule="exact"/>
              <w:jc w:val="right"/>
              <w:rPr>
                <w:rFonts w:ascii="Times New Roman" w:hAnsi="Times New Roman"/>
                <w:bCs/>
                <w:sz w:val="22"/>
                <w:szCs w:val="22"/>
              </w:rPr>
            </w:pPr>
            <w:r>
              <w:rPr>
                <w:rFonts w:ascii="Times New Roman" w:hAnsi="Times New Roman"/>
                <w:bCs/>
                <w:sz w:val="22"/>
                <w:szCs w:val="22"/>
              </w:rPr>
              <w:t>10</w:t>
            </w:r>
            <w:r w:rsidR="00461CB8">
              <w:rPr>
                <w:rFonts w:ascii="Times New Roman" w:hAnsi="Times New Roman"/>
                <w:bCs/>
                <w:sz w:val="22"/>
                <w:szCs w:val="22"/>
              </w:rPr>
              <w:t>%</w:t>
            </w:r>
          </w:p>
        </w:tc>
        <w:tc>
          <w:tcPr>
            <w:tcW w:w="850" w:type="dxa"/>
            <w:shd w:val="clear" w:color="auto" w:fill="auto"/>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3,757</w:t>
            </w:r>
          </w:p>
        </w:tc>
        <w:tc>
          <w:tcPr>
            <w:tcW w:w="851" w:type="dxa"/>
            <w:shd w:val="clear" w:color="auto" w:fill="auto"/>
            <w:vAlign w:val="bottom"/>
          </w:tcPr>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17%</w:t>
            </w:r>
          </w:p>
        </w:tc>
        <w:tc>
          <w:tcPr>
            <w:tcW w:w="850" w:type="dxa"/>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4,555</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21%</w:t>
            </w:r>
          </w:p>
        </w:tc>
        <w:tc>
          <w:tcPr>
            <w:tcW w:w="850" w:type="dxa"/>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4,940</w:t>
            </w:r>
          </w:p>
        </w:tc>
        <w:tc>
          <w:tcPr>
            <w:tcW w:w="851" w:type="dxa"/>
            <w:shd w:val="clear" w:color="auto" w:fill="auto"/>
            <w:vAlign w:val="bottom"/>
          </w:tcPr>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8%</w:t>
            </w:r>
          </w:p>
        </w:tc>
        <w:tc>
          <w:tcPr>
            <w:tcW w:w="796" w:type="dxa"/>
            <w:shd w:val="clear" w:color="auto" w:fill="auto"/>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5,141</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4%</w:t>
            </w:r>
          </w:p>
        </w:tc>
      </w:tr>
      <w:tr w:rsidR="00461CB8" w:rsidRPr="001B64A8" w:rsidTr="00461CB8">
        <w:trPr>
          <w:jc w:val="center"/>
        </w:trPr>
        <w:tc>
          <w:tcPr>
            <w:tcW w:w="468"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2</w:t>
            </w:r>
          </w:p>
        </w:tc>
        <w:tc>
          <w:tcPr>
            <w:tcW w:w="1844"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Lợi nhuận trước thuế (tỷ đồng)</w:t>
            </w:r>
          </w:p>
        </w:tc>
        <w:tc>
          <w:tcPr>
            <w:tcW w:w="850" w:type="dxa"/>
            <w:shd w:val="clear" w:color="auto" w:fill="auto"/>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385</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6%</w:t>
            </w:r>
          </w:p>
        </w:tc>
        <w:tc>
          <w:tcPr>
            <w:tcW w:w="850" w:type="dxa"/>
            <w:shd w:val="clear" w:color="auto" w:fill="auto"/>
            <w:vAlign w:val="bottom"/>
          </w:tcPr>
          <w:p w:rsidR="00461CB8" w:rsidRPr="00461CB8" w:rsidRDefault="00461CB8" w:rsidP="005900D3">
            <w:pPr>
              <w:spacing w:line="300" w:lineRule="exact"/>
              <w:jc w:val="right"/>
              <w:rPr>
                <w:rFonts w:ascii="Times New Roman" w:hAnsi="Times New Roman"/>
                <w:b/>
                <w:bCs/>
                <w:sz w:val="22"/>
                <w:szCs w:val="22"/>
              </w:rPr>
            </w:pPr>
            <w:r w:rsidRPr="00461CB8">
              <w:rPr>
                <w:rFonts w:ascii="Times New Roman" w:hAnsi="Times New Roman"/>
                <w:b/>
                <w:bCs/>
                <w:sz w:val="22"/>
                <w:szCs w:val="22"/>
              </w:rPr>
              <w:t>4</w:t>
            </w:r>
            <w:r w:rsidR="005900D3">
              <w:rPr>
                <w:rFonts w:ascii="Times New Roman" w:hAnsi="Times New Roman"/>
                <w:b/>
                <w:bCs/>
                <w:sz w:val="22"/>
                <w:szCs w:val="22"/>
              </w:rPr>
              <w:t>12</w:t>
            </w:r>
          </w:p>
        </w:tc>
        <w:tc>
          <w:tcPr>
            <w:tcW w:w="851" w:type="dxa"/>
            <w:shd w:val="clear" w:color="auto" w:fill="auto"/>
            <w:vAlign w:val="bottom"/>
          </w:tcPr>
          <w:p w:rsidR="00461CB8" w:rsidRPr="001B64A8" w:rsidRDefault="005900D3" w:rsidP="00461CB8">
            <w:pPr>
              <w:spacing w:line="300" w:lineRule="exact"/>
              <w:jc w:val="right"/>
              <w:rPr>
                <w:rFonts w:ascii="Times New Roman" w:hAnsi="Times New Roman"/>
                <w:bCs/>
                <w:sz w:val="22"/>
                <w:szCs w:val="22"/>
              </w:rPr>
            </w:pPr>
            <w:r>
              <w:rPr>
                <w:rFonts w:ascii="Times New Roman" w:hAnsi="Times New Roman"/>
                <w:bCs/>
                <w:sz w:val="22"/>
                <w:szCs w:val="22"/>
              </w:rPr>
              <w:t>7</w:t>
            </w:r>
            <w:r w:rsidR="00461CB8">
              <w:rPr>
                <w:rFonts w:ascii="Times New Roman" w:hAnsi="Times New Roman"/>
                <w:bCs/>
                <w:sz w:val="22"/>
                <w:szCs w:val="22"/>
              </w:rPr>
              <w:t>%</w:t>
            </w:r>
          </w:p>
        </w:tc>
        <w:tc>
          <w:tcPr>
            <w:tcW w:w="850" w:type="dxa"/>
            <w:vAlign w:val="bottom"/>
          </w:tcPr>
          <w:p w:rsidR="00461CB8" w:rsidRPr="00461CB8" w:rsidRDefault="00461CB8" w:rsidP="005900D3">
            <w:pPr>
              <w:spacing w:line="300" w:lineRule="exact"/>
              <w:jc w:val="right"/>
              <w:rPr>
                <w:rFonts w:ascii="Times New Roman" w:hAnsi="Times New Roman"/>
                <w:b/>
                <w:bCs/>
                <w:sz w:val="22"/>
                <w:szCs w:val="22"/>
              </w:rPr>
            </w:pPr>
            <w:r w:rsidRPr="00461CB8">
              <w:rPr>
                <w:rFonts w:ascii="Times New Roman" w:hAnsi="Times New Roman"/>
                <w:b/>
                <w:bCs/>
                <w:sz w:val="22"/>
                <w:szCs w:val="22"/>
              </w:rPr>
              <w:t>4</w:t>
            </w:r>
            <w:r w:rsidR="005900D3">
              <w:rPr>
                <w:rFonts w:ascii="Times New Roman" w:hAnsi="Times New Roman"/>
                <w:b/>
                <w:bCs/>
                <w:sz w:val="22"/>
                <w:szCs w:val="22"/>
              </w:rPr>
              <w:t>41</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5900D3" w:rsidP="00461CB8">
            <w:pPr>
              <w:spacing w:line="300" w:lineRule="exact"/>
              <w:jc w:val="right"/>
              <w:rPr>
                <w:rFonts w:ascii="Times New Roman" w:hAnsi="Times New Roman"/>
                <w:bCs/>
                <w:sz w:val="22"/>
                <w:szCs w:val="22"/>
              </w:rPr>
            </w:pPr>
            <w:r>
              <w:rPr>
                <w:rFonts w:ascii="Times New Roman" w:hAnsi="Times New Roman"/>
                <w:bCs/>
                <w:sz w:val="22"/>
                <w:szCs w:val="22"/>
              </w:rPr>
              <w:t>7</w:t>
            </w:r>
            <w:r w:rsidR="00461CB8">
              <w:rPr>
                <w:rFonts w:ascii="Times New Roman" w:hAnsi="Times New Roman"/>
                <w:bCs/>
                <w:sz w:val="22"/>
                <w:szCs w:val="22"/>
              </w:rPr>
              <w:t>%</w:t>
            </w:r>
          </w:p>
        </w:tc>
        <w:tc>
          <w:tcPr>
            <w:tcW w:w="850" w:type="dxa"/>
            <w:vAlign w:val="bottom"/>
          </w:tcPr>
          <w:p w:rsidR="00461CB8" w:rsidRPr="00461CB8" w:rsidRDefault="00461CB8" w:rsidP="00461CB8">
            <w:pPr>
              <w:spacing w:line="300" w:lineRule="exact"/>
              <w:jc w:val="right"/>
              <w:rPr>
                <w:rFonts w:ascii="Times New Roman" w:hAnsi="Times New Roman"/>
                <w:b/>
                <w:bCs/>
                <w:sz w:val="22"/>
                <w:szCs w:val="22"/>
              </w:rPr>
            </w:pPr>
            <w:r w:rsidRPr="00461CB8">
              <w:rPr>
                <w:rFonts w:ascii="Times New Roman" w:hAnsi="Times New Roman"/>
                <w:b/>
                <w:bCs/>
                <w:sz w:val="22"/>
                <w:szCs w:val="22"/>
              </w:rPr>
              <w:t>4</w:t>
            </w:r>
            <w:r w:rsidR="005900D3">
              <w:rPr>
                <w:rFonts w:ascii="Times New Roman" w:hAnsi="Times New Roman"/>
                <w:b/>
                <w:bCs/>
                <w:sz w:val="22"/>
                <w:szCs w:val="22"/>
              </w:rPr>
              <w:t>72</w:t>
            </w:r>
          </w:p>
        </w:tc>
        <w:tc>
          <w:tcPr>
            <w:tcW w:w="851" w:type="dxa"/>
            <w:shd w:val="clear" w:color="auto" w:fill="auto"/>
            <w:vAlign w:val="bottom"/>
          </w:tcPr>
          <w:p w:rsidR="00461CB8" w:rsidRPr="001B64A8" w:rsidRDefault="005900D3" w:rsidP="00461CB8">
            <w:pPr>
              <w:spacing w:line="300" w:lineRule="exact"/>
              <w:jc w:val="right"/>
              <w:rPr>
                <w:rFonts w:ascii="Times New Roman" w:hAnsi="Times New Roman"/>
                <w:bCs/>
                <w:sz w:val="22"/>
                <w:szCs w:val="22"/>
              </w:rPr>
            </w:pPr>
            <w:r>
              <w:rPr>
                <w:rFonts w:ascii="Times New Roman" w:hAnsi="Times New Roman"/>
                <w:bCs/>
                <w:sz w:val="22"/>
                <w:szCs w:val="22"/>
              </w:rPr>
              <w:t>7</w:t>
            </w:r>
            <w:r w:rsidR="00461CB8">
              <w:rPr>
                <w:rFonts w:ascii="Times New Roman" w:hAnsi="Times New Roman"/>
                <w:bCs/>
                <w:sz w:val="22"/>
                <w:szCs w:val="22"/>
              </w:rPr>
              <w:t>%</w:t>
            </w:r>
          </w:p>
        </w:tc>
        <w:tc>
          <w:tcPr>
            <w:tcW w:w="796" w:type="dxa"/>
            <w:shd w:val="clear" w:color="auto" w:fill="auto"/>
            <w:vAlign w:val="bottom"/>
          </w:tcPr>
          <w:p w:rsidR="00461CB8" w:rsidRPr="00461CB8" w:rsidRDefault="005900D3" w:rsidP="00461CB8">
            <w:pPr>
              <w:spacing w:line="300" w:lineRule="exact"/>
              <w:jc w:val="right"/>
              <w:rPr>
                <w:rFonts w:ascii="Times New Roman" w:hAnsi="Times New Roman"/>
                <w:b/>
                <w:bCs/>
                <w:sz w:val="22"/>
                <w:szCs w:val="22"/>
              </w:rPr>
            </w:pPr>
            <w:r>
              <w:rPr>
                <w:rFonts w:ascii="Times New Roman" w:hAnsi="Times New Roman"/>
                <w:b/>
                <w:bCs/>
                <w:sz w:val="22"/>
                <w:szCs w:val="22"/>
              </w:rPr>
              <w:t>5</w:t>
            </w:r>
            <w:r w:rsidR="00461CB8" w:rsidRPr="00461CB8">
              <w:rPr>
                <w:rFonts w:ascii="Times New Roman" w:hAnsi="Times New Roman"/>
                <w:b/>
                <w:bCs/>
                <w:sz w:val="22"/>
                <w:szCs w:val="22"/>
              </w:rPr>
              <w:t>05</w:t>
            </w:r>
          </w:p>
        </w:tc>
        <w:tc>
          <w:tcPr>
            <w:tcW w:w="851" w:type="dxa"/>
          </w:tcPr>
          <w:p w:rsidR="00461CB8" w:rsidRDefault="00461CB8" w:rsidP="00461CB8">
            <w:pPr>
              <w:spacing w:line="300" w:lineRule="exact"/>
              <w:jc w:val="right"/>
              <w:rPr>
                <w:rFonts w:ascii="Times New Roman" w:hAnsi="Times New Roman"/>
                <w:bCs/>
                <w:sz w:val="22"/>
                <w:szCs w:val="22"/>
              </w:rPr>
            </w:pPr>
          </w:p>
          <w:p w:rsidR="00461CB8" w:rsidRPr="001B64A8" w:rsidRDefault="00461CB8" w:rsidP="005900D3">
            <w:pPr>
              <w:spacing w:line="300" w:lineRule="exact"/>
              <w:jc w:val="right"/>
              <w:rPr>
                <w:rFonts w:ascii="Times New Roman" w:hAnsi="Times New Roman"/>
                <w:bCs/>
                <w:sz w:val="22"/>
                <w:szCs w:val="22"/>
              </w:rPr>
            </w:pPr>
            <w:r>
              <w:rPr>
                <w:rFonts w:ascii="Times New Roman" w:hAnsi="Times New Roman"/>
                <w:bCs/>
                <w:sz w:val="22"/>
                <w:szCs w:val="22"/>
              </w:rPr>
              <w:t>7%</w:t>
            </w:r>
          </w:p>
        </w:tc>
      </w:tr>
      <w:tr w:rsidR="00461CB8" w:rsidRPr="001B64A8" w:rsidTr="00461CB8">
        <w:trPr>
          <w:jc w:val="center"/>
        </w:trPr>
        <w:tc>
          <w:tcPr>
            <w:tcW w:w="468"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3</w:t>
            </w:r>
          </w:p>
        </w:tc>
        <w:tc>
          <w:tcPr>
            <w:tcW w:w="1844" w:type="dxa"/>
            <w:shd w:val="clear" w:color="auto" w:fill="auto"/>
          </w:tcPr>
          <w:p w:rsidR="00461CB8" w:rsidRPr="001B64A8" w:rsidRDefault="00461CB8" w:rsidP="00461CB8">
            <w:pPr>
              <w:spacing w:line="300" w:lineRule="exact"/>
              <w:rPr>
                <w:rFonts w:ascii="Times New Roman" w:hAnsi="Times New Roman"/>
                <w:sz w:val="22"/>
                <w:szCs w:val="22"/>
              </w:rPr>
            </w:pPr>
            <w:r w:rsidRPr="001B64A8">
              <w:rPr>
                <w:rFonts w:ascii="Times New Roman" w:hAnsi="Times New Roman"/>
                <w:sz w:val="22"/>
                <w:szCs w:val="22"/>
              </w:rPr>
              <w:t>Tỷ lệ Lợi nhuận/Doanh thu</w:t>
            </w:r>
          </w:p>
        </w:tc>
        <w:tc>
          <w:tcPr>
            <w:tcW w:w="850" w:type="dxa"/>
            <w:shd w:val="clear" w:color="auto" w:fill="auto"/>
            <w:vAlign w:val="bottom"/>
          </w:tcPr>
          <w:p w:rsidR="00461CB8" w:rsidRPr="001B64A8" w:rsidRDefault="00461CB8" w:rsidP="00461CB8">
            <w:pPr>
              <w:spacing w:line="300" w:lineRule="exact"/>
              <w:jc w:val="right"/>
              <w:rPr>
                <w:rFonts w:ascii="Times New Roman" w:hAnsi="Times New Roman"/>
                <w:iCs/>
                <w:sz w:val="22"/>
                <w:szCs w:val="22"/>
              </w:rPr>
            </w:pPr>
            <w:r w:rsidRPr="00461CB8">
              <w:rPr>
                <w:rFonts w:ascii="Times New Roman" w:hAnsi="Times New Roman"/>
                <w:b/>
                <w:iCs/>
                <w:sz w:val="22"/>
                <w:szCs w:val="22"/>
              </w:rPr>
              <w:t>12</w:t>
            </w:r>
            <w:r w:rsidRPr="001B64A8">
              <w:rPr>
                <w:rFonts w:ascii="Times New Roman" w:hAnsi="Times New Roman"/>
                <w:iCs/>
                <w:sz w:val="22"/>
                <w:szCs w:val="22"/>
              </w:rPr>
              <w:t>%</w:t>
            </w:r>
          </w:p>
        </w:tc>
        <w:tc>
          <w:tcPr>
            <w:tcW w:w="851" w:type="dxa"/>
          </w:tcPr>
          <w:p w:rsidR="00461CB8" w:rsidRDefault="00461CB8" w:rsidP="00461CB8">
            <w:pPr>
              <w:spacing w:line="300" w:lineRule="exact"/>
              <w:jc w:val="right"/>
              <w:rPr>
                <w:rFonts w:ascii="Times New Roman" w:hAnsi="Times New Roman"/>
                <w:iCs/>
                <w:sz w:val="22"/>
                <w:szCs w:val="22"/>
              </w:rPr>
            </w:pPr>
          </w:p>
          <w:p w:rsidR="00461CB8" w:rsidRPr="001B64A8" w:rsidRDefault="00461CB8" w:rsidP="00461CB8">
            <w:pPr>
              <w:spacing w:line="300" w:lineRule="exact"/>
              <w:jc w:val="center"/>
              <w:rPr>
                <w:rFonts w:ascii="Times New Roman" w:hAnsi="Times New Roman"/>
                <w:iCs/>
                <w:sz w:val="22"/>
                <w:szCs w:val="22"/>
              </w:rPr>
            </w:pPr>
            <w:r>
              <w:rPr>
                <w:rFonts w:ascii="Times New Roman" w:hAnsi="Times New Roman"/>
                <w:iCs/>
                <w:sz w:val="22"/>
                <w:szCs w:val="22"/>
              </w:rPr>
              <w:t>x</w:t>
            </w:r>
          </w:p>
        </w:tc>
        <w:tc>
          <w:tcPr>
            <w:tcW w:w="850" w:type="dxa"/>
            <w:shd w:val="clear" w:color="auto" w:fill="auto"/>
            <w:vAlign w:val="bottom"/>
          </w:tcPr>
          <w:p w:rsidR="00461CB8" w:rsidRPr="001B64A8" w:rsidRDefault="00461CB8" w:rsidP="00461CB8">
            <w:pPr>
              <w:spacing w:line="300" w:lineRule="exact"/>
              <w:jc w:val="right"/>
              <w:rPr>
                <w:rFonts w:ascii="Times New Roman" w:hAnsi="Times New Roman"/>
                <w:iCs/>
                <w:sz w:val="22"/>
                <w:szCs w:val="22"/>
              </w:rPr>
            </w:pPr>
            <w:r w:rsidRPr="00461CB8">
              <w:rPr>
                <w:rFonts w:ascii="Times New Roman" w:hAnsi="Times New Roman"/>
                <w:b/>
                <w:iCs/>
                <w:sz w:val="22"/>
                <w:szCs w:val="22"/>
              </w:rPr>
              <w:t>11</w:t>
            </w:r>
            <w:r w:rsidRPr="001B64A8">
              <w:rPr>
                <w:rFonts w:ascii="Times New Roman" w:hAnsi="Times New Roman"/>
                <w:iCs/>
                <w:sz w:val="22"/>
                <w:szCs w:val="22"/>
              </w:rPr>
              <w:t>%</w:t>
            </w:r>
          </w:p>
        </w:tc>
        <w:tc>
          <w:tcPr>
            <w:tcW w:w="851" w:type="dxa"/>
            <w:shd w:val="clear" w:color="auto" w:fill="auto"/>
            <w:vAlign w:val="bottom"/>
          </w:tcPr>
          <w:p w:rsidR="00461CB8" w:rsidRPr="001B64A8" w:rsidRDefault="00461CB8" w:rsidP="00461CB8">
            <w:pPr>
              <w:spacing w:line="300" w:lineRule="exact"/>
              <w:jc w:val="center"/>
              <w:rPr>
                <w:rFonts w:ascii="Times New Roman" w:hAnsi="Times New Roman"/>
                <w:iCs/>
                <w:sz w:val="22"/>
                <w:szCs w:val="22"/>
              </w:rPr>
            </w:pPr>
            <w:r>
              <w:rPr>
                <w:rFonts w:ascii="Times New Roman" w:hAnsi="Times New Roman"/>
                <w:iCs/>
                <w:sz w:val="22"/>
                <w:szCs w:val="22"/>
              </w:rPr>
              <w:t>x</w:t>
            </w:r>
          </w:p>
        </w:tc>
        <w:tc>
          <w:tcPr>
            <w:tcW w:w="850" w:type="dxa"/>
            <w:vAlign w:val="bottom"/>
          </w:tcPr>
          <w:p w:rsidR="00461CB8" w:rsidRPr="001B64A8" w:rsidRDefault="00461CB8" w:rsidP="005900D3">
            <w:pPr>
              <w:spacing w:line="300" w:lineRule="exact"/>
              <w:jc w:val="right"/>
              <w:rPr>
                <w:rFonts w:ascii="Times New Roman" w:hAnsi="Times New Roman"/>
                <w:iCs/>
                <w:sz w:val="22"/>
                <w:szCs w:val="22"/>
              </w:rPr>
            </w:pPr>
            <w:r w:rsidRPr="00461CB8">
              <w:rPr>
                <w:rFonts w:ascii="Times New Roman" w:hAnsi="Times New Roman"/>
                <w:b/>
                <w:iCs/>
                <w:sz w:val="22"/>
                <w:szCs w:val="22"/>
              </w:rPr>
              <w:t>1</w:t>
            </w:r>
            <w:r w:rsidR="005900D3">
              <w:rPr>
                <w:rFonts w:ascii="Times New Roman" w:hAnsi="Times New Roman"/>
                <w:b/>
                <w:iCs/>
                <w:sz w:val="22"/>
                <w:szCs w:val="22"/>
              </w:rPr>
              <w:t>0</w:t>
            </w:r>
            <w:r w:rsidRPr="001B64A8">
              <w:rPr>
                <w:rFonts w:ascii="Times New Roman" w:hAnsi="Times New Roman"/>
                <w:iCs/>
                <w:sz w:val="22"/>
                <w:szCs w:val="22"/>
              </w:rPr>
              <w:t>%</w:t>
            </w:r>
          </w:p>
        </w:tc>
        <w:tc>
          <w:tcPr>
            <w:tcW w:w="851" w:type="dxa"/>
          </w:tcPr>
          <w:p w:rsidR="00461CB8" w:rsidRDefault="00461CB8" w:rsidP="00461CB8">
            <w:pPr>
              <w:spacing w:line="300" w:lineRule="exact"/>
              <w:jc w:val="right"/>
              <w:rPr>
                <w:rFonts w:ascii="Times New Roman" w:hAnsi="Times New Roman"/>
                <w:iCs/>
                <w:sz w:val="22"/>
                <w:szCs w:val="22"/>
              </w:rPr>
            </w:pPr>
          </w:p>
          <w:p w:rsidR="00461CB8" w:rsidRPr="001B64A8" w:rsidRDefault="00461CB8" w:rsidP="00461CB8">
            <w:pPr>
              <w:spacing w:line="300" w:lineRule="exact"/>
              <w:jc w:val="center"/>
              <w:rPr>
                <w:rFonts w:ascii="Times New Roman" w:hAnsi="Times New Roman"/>
                <w:iCs/>
                <w:sz w:val="22"/>
                <w:szCs w:val="22"/>
              </w:rPr>
            </w:pPr>
            <w:r>
              <w:rPr>
                <w:rFonts w:ascii="Times New Roman" w:hAnsi="Times New Roman"/>
                <w:iCs/>
                <w:sz w:val="22"/>
                <w:szCs w:val="22"/>
              </w:rPr>
              <w:t>x</w:t>
            </w:r>
          </w:p>
        </w:tc>
        <w:tc>
          <w:tcPr>
            <w:tcW w:w="850" w:type="dxa"/>
            <w:vAlign w:val="bottom"/>
          </w:tcPr>
          <w:p w:rsidR="00461CB8" w:rsidRPr="001B64A8" w:rsidRDefault="00461CB8" w:rsidP="005900D3">
            <w:pPr>
              <w:spacing w:line="300" w:lineRule="exact"/>
              <w:jc w:val="right"/>
              <w:rPr>
                <w:rFonts w:ascii="Times New Roman" w:hAnsi="Times New Roman"/>
                <w:iCs/>
                <w:sz w:val="22"/>
                <w:szCs w:val="22"/>
              </w:rPr>
            </w:pPr>
            <w:r w:rsidRPr="00461CB8">
              <w:rPr>
                <w:rFonts w:ascii="Times New Roman" w:hAnsi="Times New Roman"/>
                <w:b/>
                <w:iCs/>
                <w:sz w:val="22"/>
                <w:szCs w:val="22"/>
              </w:rPr>
              <w:t>1</w:t>
            </w:r>
            <w:r w:rsidR="005900D3">
              <w:rPr>
                <w:rFonts w:ascii="Times New Roman" w:hAnsi="Times New Roman"/>
                <w:b/>
                <w:iCs/>
                <w:sz w:val="22"/>
                <w:szCs w:val="22"/>
              </w:rPr>
              <w:t>0</w:t>
            </w:r>
            <w:r w:rsidRPr="001B64A8">
              <w:rPr>
                <w:rFonts w:ascii="Times New Roman" w:hAnsi="Times New Roman"/>
                <w:iCs/>
                <w:sz w:val="22"/>
                <w:szCs w:val="22"/>
              </w:rPr>
              <w:t>%</w:t>
            </w:r>
          </w:p>
        </w:tc>
        <w:tc>
          <w:tcPr>
            <w:tcW w:w="851" w:type="dxa"/>
            <w:shd w:val="clear" w:color="auto" w:fill="auto"/>
            <w:vAlign w:val="bottom"/>
          </w:tcPr>
          <w:p w:rsidR="00461CB8" w:rsidRPr="001B64A8" w:rsidRDefault="00461CB8" w:rsidP="00461CB8">
            <w:pPr>
              <w:spacing w:line="300" w:lineRule="exact"/>
              <w:jc w:val="center"/>
              <w:rPr>
                <w:rFonts w:ascii="Times New Roman" w:hAnsi="Times New Roman"/>
                <w:iCs/>
                <w:sz w:val="22"/>
                <w:szCs w:val="22"/>
              </w:rPr>
            </w:pPr>
            <w:r>
              <w:rPr>
                <w:rFonts w:ascii="Times New Roman" w:hAnsi="Times New Roman"/>
                <w:iCs/>
                <w:sz w:val="22"/>
                <w:szCs w:val="22"/>
              </w:rPr>
              <w:t>x</w:t>
            </w:r>
          </w:p>
        </w:tc>
        <w:tc>
          <w:tcPr>
            <w:tcW w:w="796" w:type="dxa"/>
            <w:shd w:val="clear" w:color="auto" w:fill="auto"/>
            <w:vAlign w:val="bottom"/>
          </w:tcPr>
          <w:p w:rsidR="00461CB8" w:rsidRPr="001B64A8" w:rsidRDefault="00461CB8" w:rsidP="005900D3">
            <w:pPr>
              <w:spacing w:line="300" w:lineRule="exact"/>
              <w:jc w:val="right"/>
              <w:rPr>
                <w:rFonts w:ascii="Times New Roman" w:hAnsi="Times New Roman"/>
                <w:iCs/>
                <w:sz w:val="22"/>
                <w:szCs w:val="22"/>
              </w:rPr>
            </w:pPr>
            <w:r w:rsidRPr="00461CB8">
              <w:rPr>
                <w:rFonts w:ascii="Times New Roman" w:hAnsi="Times New Roman"/>
                <w:b/>
                <w:iCs/>
                <w:sz w:val="22"/>
                <w:szCs w:val="22"/>
              </w:rPr>
              <w:t>1</w:t>
            </w:r>
            <w:r w:rsidR="005900D3">
              <w:rPr>
                <w:rFonts w:ascii="Times New Roman" w:hAnsi="Times New Roman"/>
                <w:b/>
                <w:iCs/>
                <w:sz w:val="22"/>
                <w:szCs w:val="22"/>
              </w:rPr>
              <w:t>0</w:t>
            </w:r>
            <w:r w:rsidRPr="001B64A8">
              <w:rPr>
                <w:rFonts w:ascii="Times New Roman" w:hAnsi="Times New Roman"/>
                <w:iCs/>
                <w:sz w:val="22"/>
                <w:szCs w:val="22"/>
              </w:rPr>
              <w:t>%</w:t>
            </w:r>
          </w:p>
        </w:tc>
        <w:tc>
          <w:tcPr>
            <w:tcW w:w="851" w:type="dxa"/>
          </w:tcPr>
          <w:p w:rsidR="00461CB8" w:rsidRDefault="00461CB8" w:rsidP="00461CB8">
            <w:pPr>
              <w:spacing w:line="300" w:lineRule="exact"/>
              <w:jc w:val="right"/>
              <w:rPr>
                <w:rFonts w:ascii="Times New Roman" w:hAnsi="Times New Roman"/>
                <w:iCs/>
                <w:sz w:val="22"/>
                <w:szCs w:val="22"/>
              </w:rPr>
            </w:pPr>
          </w:p>
          <w:p w:rsidR="00461CB8" w:rsidRPr="001B64A8" w:rsidRDefault="00461CB8" w:rsidP="00461CB8">
            <w:pPr>
              <w:spacing w:line="300" w:lineRule="exact"/>
              <w:jc w:val="center"/>
              <w:rPr>
                <w:rFonts w:ascii="Times New Roman" w:hAnsi="Times New Roman"/>
                <w:iCs/>
                <w:sz w:val="22"/>
                <w:szCs w:val="22"/>
              </w:rPr>
            </w:pPr>
            <w:r>
              <w:rPr>
                <w:rFonts w:ascii="Times New Roman" w:hAnsi="Times New Roman"/>
                <w:iCs/>
                <w:sz w:val="22"/>
                <w:szCs w:val="22"/>
              </w:rPr>
              <w:t>x</w:t>
            </w:r>
          </w:p>
        </w:tc>
      </w:tr>
    </w:tbl>
    <w:p w:rsidR="007535CA" w:rsidRPr="00FF108D" w:rsidRDefault="00712EA5" w:rsidP="009C644C">
      <w:pPr>
        <w:spacing w:before="120"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Để thực hiện hoàn thành những chỉ tiêu cơ bản trên, Hội đồng quản trị Công ty định hướng </w:t>
      </w:r>
      <w:r w:rsidR="006A113E" w:rsidRPr="00FF108D">
        <w:rPr>
          <w:rFonts w:ascii="Times New Roman" w:hAnsi="Times New Roman"/>
          <w:color w:val="000000"/>
          <w:sz w:val="26"/>
          <w:szCs w:val="26"/>
        </w:rPr>
        <w:t xml:space="preserve">hoạt động cũng như </w:t>
      </w:r>
      <w:r w:rsidRPr="00FF108D">
        <w:rPr>
          <w:rFonts w:ascii="Times New Roman" w:hAnsi="Times New Roman"/>
          <w:color w:val="000000"/>
          <w:sz w:val="26"/>
          <w:szCs w:val="26"/>
        </w:rPr>
        <w:t>chỉ đạo về một số giải pháp như sau:</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w:t>
      </w:r>
      <w:r w:rsidR="00712EA5" w:rsidRPr="00FF108D">
        <w:rPr>
          <w:rFonts w:ascii="Times New Roman" w:hAnsi="Times New Roman"/>
          <w:color w:val="000000"/>
          <w:sz w:val="26"/>
          <w:szCs w:val="26"/>
        </w:rPr>
        <w:t xml:space="preserve"> </w:t>
      </w:r>
      <w:r w:rsidR="006A113E" w:rsidRPr="00FF108D">
        <w:rPr>
          <w:rFonts w:ascii="Times New Roman" w:hAnsi="Times New Roman"/>
          <w:b/>
          <w:color w:val="000000"/>
          <w:sz w:val="26"/>
          <w:szCs w:val="26"/>
        </w:rPr>
        <w:t xml:space="preserve">Về công tác quản trị </w:t>
      </w:r>
      <w:r w:rsidR="00873EFF" w:rsidRPr="00FF108D">
        <w:rPr>
          <w:rFonts w:ascii="Times New Roman" w:hAnsi="Times New Roman"/>
          <w:b/>
          <w:color w:val="000000"/>
          <w:sz w:val="26"/>
          <w:szCs w:val="26"/>
        </w:rPr>
        <w:t>c</w:t>
      </w:r>
      <w:r w:rsidR="006A113E" w:rsidRPr="00FF108D">
        <w:rPr>
          <w:rFonts w:ascii="Times New Roman" w:hAnsi="Times New Roman"/>
          <w:b/>
          <w:color w:val="000000"/>
          <w:sz w:val="26"/>
          <w:szCs w:val="26"/>
        </w:rPr>
        <w:t>ông ty</w:t>
      </w:r>
      <w:r w:rsidR="006A113E" w:rsidRPr="00FF108D">
        <w:rPr>
          <w:rFonts w:ascii="Times New Roman" w:hAnsi="Times New Roman"/>
          <w:color w:val="000000"/>
          <w:sz w:val="26"/>
          <w:szCs w:val="26"/>
        </w:rPr>
        <w:t>:</w:t>
      </w:r>
      <w:r w:rsidRPr="00FF108D">
        <w:rPr>
          <w:rFonts w:ascii="Times New Roman" w:hAnsi="Times New Roman"/>
          <w:color w:val="000000"/>
          <w:sz w:val="26"/>
          <w:szCs w:val="26"/>
        </w:rPr>
        <w:t xml:space="preserve"> Tập trung vào một số vấn đề sau:</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w:t>
      </w:r>
      <w:r w:rsidR="006A113E" w:rsidRPr="00FF108D">
        <w:rPr>
          <w:rFonts w:ascii="Times New Roman" w:hAnsi="Times New Roman"/>
          <w:color w:val="000000"/>
          <w:sz w:val="26"/>
          <w:szCs w:val="26"/>
        </w:rPr>
        <w:t xml:space="preserve"> </w:t>
      </w:r>
      <w:r w:rsidRPr="00FF108D">
        <w:rPr>
          <w:rFonts w:ascii="Times New Roman" w:hAnsi="Times New Roman"/>
          <w:color w:val="000000"/>
          <w:sz w:val="26"/>
          <w:szCs w:val="26"/>
        </w:rPr>
        <w:t>C</w:t>
      </w:r>
      <w:r w:rsidR="006A113E" w:rsidRPr="00FF108D">
        <w:rPr>
          <w:rFonts w:ascii="Times New Roman" w:hAnsi="Times New Roman"/>
          <w:color w:val="000000"/>
          <w:sz w:val="26"/>
          <w:szCs w:val="26"/>
        </w:rPr>
        <w:t>hú trọng công tác đào tạo, bồi dưỡng và áp dụng những phương pháp quản trị hiện đại;</w:t>
      </w:r>
      <w:r w:rsidR="00873EFF" w:rsidRPr="00FF108D">
        <w:rPr>
          <w:rFonts w:ascii="Times New Roman" w:hAnsi="Times New Roman"/>
          <w:color w:val="000000"/>
          <w:sz w:val="26"/>
          <w:szCs w:val="26"/>
        </w:rPr>
        <w:t xml:space="preserve"> thực hiện tốt việc giám sát, và chỉ đạo đối với toàn bộ hoạt động sản xuất kinh doanh của Công ty.</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w:t>
      </w:r>
      <w:r w:rsidR="006A113E" w:rsidRPr="00FF108D">
        <w:rPr>
          <w:rFonts w:ascii="Times New Roman" w:hAnsi="Times New Roman"/>
          <w:color w:val="000000"/>
          <w:sz w:val="26"/>
          <w:szCs w:val="26"/>
        </w:rPr>
        <w:t xml:space="preserve"> </w:t>
      </w:r>
      <w:r w:rsidRPr="00FF108D">
        <w:rPr>
          <w:rFonts w:ascii="Times New Roman" w:hAnsi="Times New Roman"/>
          <w:color w:val="000000"/>
          <w:sz w:val="26"/>
          <w:szCs w:val="26"/>
        </w:rPr>
        <w:t xml:space="preserve">việc </w:t>
      </w:r>
      <w:r w:rsidR="006A113E" w:rsidRPr="00FF108D">
        <w:rPr>
          <w:rFonts w:ascii="Times New Roman" w:hAnsi="Times New Roman"/>
          <w:color w:val="000000"/>
          <w:sz w:val="26"/>
          <w:szCs w:val="26"/>
        </w:rPr>
        <w:t>cung cấp thông tin đầy đủ, kịp thời</w:t>
      </w:r>
      <w:r w:rsidRPr="00FF108D">
        <w:rPr>
          <w:rFonts w:ascii="Times New Roman" w:hAnsi="Times New Roman"/>
          <w:color w:val="000000"/>
          <w:sz w:val="26"/>
          <w:szCs w:val="26"/>
        </w:rPr>
        <w:t>, minh bạch</w:t>
      </w:r>
      <w:r w:rsidR="006A113E" w:rsidRPr="00FF108D">
        <w:rPr>
          <w:rFonts w:ascii="Times New Roman" w:hAnsi="Times New Roman"/>
          <w:color w:val="000000"/>
          <w:sz w:val="26"/>
          <w:szCs w:val="26"/>
        </w:rPr>
        <w:t xml:space="preserve"> xứng đáng là địa chỉ tin cậy của các </w:t>
      </w:r>
      <w:r w:rsidRPr="00FF108D">
        <w:rPr>
          <w:rFonts w:ascii="Times New Roman" w:hAnsi="Times New Roman"/>
          <w:color w:val="000000"/>
          <w:sz w:val="26"/>
          <w:szCs w:val="26"/>
        </w:rPr>
        <w:t>nhà đầu tư quan tâm;</w:t>
      </w:r>
    </w:p>
    <w:p w:rsidR="00712EA5"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Cam kết bảo toàn, phát triển vốn, cũng như bảo đảm quyền lợi cho các nhà đầu tư.</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 việc tái cấu trúc vốn đầu tư tại các công ty liên doanh, liên kết nhằm mang lại hiệu quả đầu tư cao nhất cho Công ty.</w:t>
      </w:r>
    </w:p>
    <w:p w:rsidR="0050321E" w:rsidRPr="00FF108D" w:rsidRDefault="006A113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Về công tác đầu tư, phát triển</w:t>
      </w:r>
      <w:r w:rsidRPr="00FF108D">
        <w:rPr>
          <w:rFonts w:ascii="Times New Roman" w:hAnsi="Times New Roman"/>
          <w:color w:val="000000"/>
          <w:sz w:val="26"/>
          <w:szCs w:val="26"/>
        </w:rPr>
        <w:t>:</w:t>
      </w:r>
      <w:r w:rsidR="0050321E" w:rsidRPr="00FF108D">
        <w:rPr>
          <w:rFonts w:ascii="Times New Roman" w:hAnsi="Times New Roman"/>
          <w:color w:val="000000"/>
          <w:sz w:val="26"/>
          <w:szCs w:val="26"/>
        </w:rPr>
        <w:t xml:space="preserve"> cần tập trung vào một số dự án sau:</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w:t>
      </w:r>
      <w:r w:rsidR="006A113E" w:rsidRPr="00FF108D">
        <w:rPr>
          <w:rFonts w:ascii="Times New Roman" w:hAnsi="Times New Roman"/>
          <w:color w:val="000000"/>
          <w:sz w:val="26"/>
          <w:szCs w:val="26"/>
        </w:rPr>
        <w:t xml:space="preserve"> Tiếp tục thực hiện và hoàn thiện dự án mặt bằng mới của Công ty tại quận Dương Kinh, Hải Phòng (bao gồm cả phần mở rộng dự án)</w:t>
      </w:r>
      <w:r w:rsidRPr="00FF108D">
        <w:rPr>
          <w:rFonts w:ascii="Times New Roman" w:hAnsi="Times New Roman"/>
          <w:color w:val="000000"/>
          <w:sz w:val="26"/>
          <w:szCs w:val="26"/>
        </w:rPr>
        <w:t>;</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Xây dựng lộ trình và những bước đi cụ thể đối với dự án số 2 An Đà;</w:t>
      </w:r>
    </w:p>
    <w:p w:rsidR="006A113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Tiếp nhận công nghệ, đưa nhanh thiết bị sản xuất ống PEHD cỡ lớn và ống hai vách vào sản xuất để cung ứng sản phẩm ra thị trường.</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xml:space="preserve">- </w:t>
      </w:r>
      <w:r w:rsidRPr="00FF108D">
        <w:rPr>
          <w:rFonts w:ascii="Times New Roman" w:hAnsi="Times New Roman"/>
          <w:b/>
          <w:color w:val="000000"/>
          <w:sz w:val="26"/>
          <w:szCs w:val="26"/>
        </w:rPr>
        <w:t xml:space="preserve">Về </w:t>
      </w:r>
      <w:r w:rsidR="00873EFF" w:rsidRPr="00FF108D">
        <w:rPr>
          <w:rFonts w:ascii="Times New Roman" w:hAnsi="Times New Roman"/>
          <w:b/>
          <w:color w:val="000000"/>
          <w:sz w:val="26"/>
          <w:szCs w:val="26"/>
        </w:rPr>
        <w:t>một số giải pháp cơ bản</w:t>
      </w:r>
      <w:r w:rsidRPr="00FF108D">
        <w:rPr>
          <w:rFonts w:ascii="Times New Roman" w:hAnsi="Times New Roman"/>
          <w:color w:val="000000"/>
          <w:sz w:val="26"/>
          <w:szCs w:val="26"/>
        </w:rPr>
        <w:t xml:space="preserve">: cần tập trung vào một số </w:t>
      </w:r>
      <w:r w:rsidR="00873EFF" w:rsidRPr="00FF108D">
        <w:rPr>
          <w:rFonts w:ascii="Times New Roman" w:hAnsi="Times New Roman"/>
          <w:color w:val="000000"/>
          <w:sz w:val="26"/>
          <w:szCs w:val="26"/>
        </w:rPr>
        <w:t>giải pháp</w:t>
      </w:r>
      <w:r w:rsidRPr="00FF108D">
        <w:rPr>
          <w:rFonts w:ascii="Times New Roman" w:hAnsi="Times New Roman"/>
          <w:color w:val="000000"/>
          <w:sz w:val="26"/>
          <w:szCs w:val="26"/>
        </w:rPr>
        <w:t xml:space="preserve"> sau:</w:t>
      </w:r>
    </w:p>
    <w:p w:rsidR="0050321E" w:rsidRPr="00FF108D" w:rsidRDefault="0050321E"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lastRenderedPageBreak/>
        <w:t>+ T</w:t>
      </w:r>
      <w:r w:rsidR="00873EFF" w:rsidRPr="00FF108D">
        <w:rPr>
          <w:rFonts w:ascii="Times New Roman" w:hAnsi="Times New Roman"/>
          <w:color w:val="000000"/>
          <w:sz w:val="26"/>
          <w:szCs w:val="26"/>
        </w:rPr>
        <w:t>hực hiện chính sách thị trường quyết liệt, linh hoạt;</w:t>
      </w:r>
      <w:r w:rsidRPr="00FF108D">
        <w:rPr>
          <w:rFonts w:ascii="Times New Roman" w:hAnsi="Times New Roman"/>
          <w:color w:val="000000"/>
          <w:sz w:val="26"/>
          <w:szCs w:val="26"/>
        </w:rPr>
        <w:t xml:space="preserve"> </w:t>
      </w:r>
      <w:r w:rsidR="00873EFF" w:rsidRPr="00FF108D">
        <w:rPr>
          <w:rFonts w:ascii="Times New Roman" w:hAnsi="Times New Roman"/>
          <w:color w:val="000000"/>
          <w:sz w:val="26"/>
          <w:szCs w:val="26"/>
        </w:rPr>
        <w:t>phấn đấu nâng cao thị phần đối với các sản phẩm của Công ty; tổ chức việc nghiên cứu, đánh giá và khai thác thị trường tiềm năng, nhằm mang lại hiệu quả cao hơn khi thị trường truyền thống đạt đến ngưỡng phát triển; chú trọng tuyển chọn, đào tạo đội ngũ cán bộ thị trường chuyên nghiệp.</w:t>
      </w:r>
    </w:p>
    <w:p w:rsidR="00873EFF" w:rsidRPr="00FF108D" w:rsidRDefault="00873EFF"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 việc đồng bộ hóa sản phẩm của Công ty; kiểm soát chặt chẽ về chất lượng sản phẩm; nghiên cứu và lựa chọn sản phẩm mới phù hợp với nhu cầu, thị hiếu, khả năng thanh toán của người tiêu dùng.</w:t>
      </w:r>
    </w:p>
    <w:p w:rsidR="00FF108D" w:rsidRDefault="00FF108D" w:rsidP="00FF108D">
      <w:pPr>
        <w:spacing w:after="60" w:line="340" w:lineRule="exact"/>
        <w:ind w:firstLine="284"/>
        <w:jc w:val="both"/>
        <w:rPr>
          <w:rFonts w:ascii="Times New Roman" w:hAnsi="Times New Roman"/>
          <w:color w:val="000000"/>
          <w:sz w:val="26"/>
          <w:szCs w:val="26"/>
        </w:rPr>
      </w:pPr>
      <w:r w:rsidRPr="00FF108D">
        <w:rPr>
          <w:rFonts w:ascii="Times New Roman" w:hAnsi="Times New Roman"/>
          <w:color w:val="000000"/>
          <w:sz w:val="26"/>
          <w:szCs w:val="26"/>
        </w:rPr>
        <w:t>+ Thực hiện việc tiết giảm chi phí, nhất là các yếu tố có ả</w:t>
      </w:r>
      <w:r>
        <w:rPr>
          <w:rFonts w:ascii="Times New Roman" w:hAnsi="Times New Roman"/>
          <w:color w:val="000000"/>
          <w:sz w:val="26"/>
          <w:szCs w:val="26"/>
        </w:rPr>
        <w:t>nh hưởng trọng yếu đến hiệu quả</w:t>
      </w:r>
      <w:r w:rsidRPr="00FF108D">
        <w:rPr>
          <w:rFonts w:ascii="Times New Roman" w:hAnsi="Times New Roman"/>
          <w:color w:val="000000"/>
          <w:sz w:val="26"/>
          <w:szCs w:val="26"/>
        </w:rPr>
        <w:t xml:space="preserve"> sản xuất kinh doanh của Công ty</w:t>
      </w:r>
      <w:r>
        <w:rPr>
          <w:rFonts w:ascii="Times New Roman" w:hAnsi="Times New Roman"/>
          <w:color w:val="000000"/>
          <w:sz w:val="26"/>
          <w:szCs w:val="26"/>
        </w:rPr>
        <w:t>.</w:t>
      </w:r>
    </w:p>
    <w:p w:rsidR="00FF108D" w:rsidRPr="00FF108D" w:rsidRDefault="00FF108D" w:rsidP="00FF108D">
      <w:pPr>
        <w:spacing w:after="60" w:line="340" w:lineRule="exact"/>
        <w:ind w:firstLine="284"/>
        <w:jc w:val="both"/>
        <w:rPr>
          <w:rFonts w:ascii="Times New Roman" w:hAnsi="Times New Roman"/>
          <w:color w:val="000000"/>
          <w:sz w:val="26"/>
          <w:szCs w:val="26"/>
        </w:rPr>
      </w:pPr>
      <w:r>
        <w:rPr>
          <w:rFonts w:ascii="Times New Roman" w:hAnsi="Times New Roman"/>
          <w:color w:val="000000"/>
          <w:sz w:val="26"/>
          <w:szCs w:val="26"/>
        </w:rPr>
        <w:t>+ Quy hoạch công tác tổ chức sản xuất theo tiêu chí tinh, gọn, hiệu quả cao; có phương án sắp xếp, sử dụng lao động để nâng cao năng suất lao động.</w:t>
      </w:r>
    </w:p>
    <w:p w:rsidR="00E74348" w:rsidRPr="00FF108D" w:rsidRDefault="00E74348" w:rsidP="00FF108D">
      <w:pPr>
        <w:spacing w:before="40" w:after="40" w:line="340" w:lineRule="exact"/>
        <w:ind w:firstLine="181"/>
        <w:jc w:val="both"/>
        <w:rPr>
          <w:rFonts w:ascii="Times New Roman" w:hAnsi="Times New Roman"/>
          <w:b/>
          <w:bCs/>
          <w:i/>
          <w:iCs/>
          <w:color w:val="000000"/>
          <w:sz w:val="26"/>
          <w:szCs w:val="26"/>
        </w:rPr>
      </w:pPr>
      <w:r w:rsidRPr="00FF108D">
        <w:rPr>
          <w:rFonts w:ascii="Times New Roman" w:hAnsi="Times New Roman"/>
          <w:b/>
          <w:bCs/>
          <w:i/>
          <w:iCs/>
          <w:color w:val="000000"/>
          <w:sz w:val="26"/>
          <w:szCs w:val="26"/>
        </w:rPr>
        <w:t>Kính thưa các Quý vị!</w:t>
      </w:r>
    </w:p>
    <w:p w:rsidR="00E74348" w:rsidRPr="00FF108D" w:rsidRDefault="00D24F86" w:rsidP="00FF108D">
      <w:pPr>
        <w:spacing w:line="340" w:lineRule="exact"/>
        <w:ind w:firstLine="180"/>
        <w:jc w:val="both"/>
        <w:rPr>
          <w:rFonts w:ascii="Times New Roman" w:hAnsi="Times New Roman"/>
          <w:color w:val="000000"/>
          <w:sz w:val="26"/>
          <w:szCs w:val="26"/>
        </w:rPr>
      </w:pPr>
      <w:r w:rsidRPr="00FF108D">
        <w:rPr>
          <w:rFonts w:ascii="Times New Roman" w:hAnsi="Times New Roman"/>
          <w:color w:val="000000"/>
          <w:sz w:val="26"/>
          <w:szCs w:val="26"/>
        </w:rPr>
        <w:t>Với phương châm</w:t>
      </w:r>
      <w:r w:rsidR="00E74348" w:rsidRPr="00FF108D">
        <w:rPr>
          <w:rFonts w:ascii="Times New Roman" w:hAnsi="Times New Roman"/>
          <w:color w:val="000000"/>
          <w:sz w:val="26"/>
          <w:szCs w:val="26"/>
        </w:rPr>
        <w:t xml:space="preserve">: đoàn kết, năng động, bám sát thực tiễn, tập thể Hội đồng quản trị sẽ tập trung chỉ đạo những giải pháp mang tính chiến lược đồng thời làm tốt công tác giám sát đối với hoạt động sản xuất kinh doanh của Công ty, đem lại quyền lợi cao nhất cho toàn thể cổ đông, CBCNV Công ty và sự phát triển ổn định, bền vững của Công ty trong </w:t>
      </w:r>
      <w:r w:rsidR="00FF108D">
        <w:rPr>
          <w:rFonts w:ascii="Times New Roman" w:hAnsi="Times New Roman"/>
          <w:color w:val="000000"/>
          <w:sz w:val="26"/>
          <w:szCs w:val="26"/>
        </w:rPr>
        <w:t>nhiệm kỳ 2015 - 2020</w:t>
      </w:r>
      <w:r w:rsidR="00E74348" w:rsidRPr="00FF108D">
        <w:rPr>
          <w:rFonts w:ascii="Times New Roman" w:hAnsi="Times New Roman"/>
          <w:color w:val="000000"/>
          <w:sz w:val="26"/>
          <w:szCs w:val="26"/>
        </w:rPr>
        <w:t xml:space="preserve"> </w:t>
      </w:r>
      <w:r w:rsidR="00FF108D">
        <w:rPr>
          <w:rFonts w:ascii="Times New Roman" w:hAnsi="Times New Roman"/>
          <w:color w:val="000000"/>
          <w:sz w:val="26"/>
          <w:szCs w:val="26"/>
        </w:rPr>
        <w:t>cũng như những năm tiếp theo</w:t>
      </w:r>
      <w:r w:rsidR="00E74348" w:rsidRPr="00FF108D">
        <w:rPr>
          <w:rFonts w:ascii="Times New Roman" w:hAnsi="Times New Roman"/>
          <w:color w:val="000000"/>
          <w:sz w:val="26"/>
          <w:szCs w:val="26"/>
        </w:rPr>
        <w:t>. Thay mặt Đoàn Chủ tịch, kính chúc Đại hội thành công tốt đẹp.</w:t>
      </w:r>
    </w:p>
    <w:p w:rsidR="00E74348" w:rsidRPr="00FF108D" w:rsidRDefault="00E74348" w:rsidP="00FF108D">
      <w:pPr>
        <w:spacing w:before="40" w:line="340" w:lineRule="exact"/>
        <w:ind w:firstLine="181"/>
        <w:jc w:val="both"/>
        <w:rPr>
          <w:rFonts w:ascii="Times New Roman" w:hAnsi="Times New Roman"/>
          <w:color w:val="000000"/>
          <w:sz w:val="26"/>
          <w:szCs w:val="26"/>
        </w:rPr>
      </w:pPr>
      <w:r w:rsidRPr="00FF108D">
        <w:rPr>
          <w:rFonts w:ascii="Times New Roman" w:hAnsi="Times New Roman"/>
          <w:color w:val="000000"/>
          <w:sz w:val="26"/>
          <w:szCs w:val="26"/>
        </w:rPr>
        <w:t>Xin trân trọng cảm ơn!</w:t>
      </w:r>
    </w:p>
    <w:p w:rsidR="00E74348" w:rsidRPr="00FF108D" w:rsidRDefault="00E74348" w:rsidP="00FF108D">
      <w:pPr>
        <w:spacing w:before="60" w:line="340" w:lineRule="exact"/>
        <w:jc w:val="both"/>
        <w:rPr>
          <w:rFonts w:ascii="Times New Roman" w:hAnsi="Times New Roman"/>
          <w:sz w:val="26"/>
          <w:szCs w:val="26"/>
        </w:rPr>
      </w:pPr>
      <w:r w:rsidRPr="00FF108D">
        <w:rPr>
          <w:rFonts w:ascii="Times New Roman" w:hAnsi="Times New Roman"/>
          <w:sz w:val="26"/>
          <w:szCs w:val="26"/>
        </w:rPr>
        <w:t xml:space="preserve">                                                                                     TM/ HỘI ĐỒNG QUẢN TRỊ</w:t>
      </w:r>
    </w:p>
    <w:p w:rsidR="00E74348" w:rsidRPr="00FF108D" w:rsidRDefault="00E74348" w:rsidP="00FF108D">
      <w:pPr>
        <w:spacing w:after="120" w:line="340" w:lineRule="exact"/>
        <w:jc w:val="both"/>
        <w:rPr>
          <w:rFonts w:ascii="Times New Roman" w:hAnsi="Times New Roman"/>
          <w:b/>
          <w:bCs/>
          <w:sz w:val="26"/>
          <w:szCs w:val="26"/>
        </w:rPr>
      </w:pPr>
      <w:r w:rsidRPr="00FF108D">
        <w:rPr>
          <w:rFonts w:ascii="Times New Roman" w:hAnsi="Times New Roman"/>
          <w:b/>
          <w:bCs/>
          <w:sz w:val="26"/>
          <w:szCs w:val="26"/>
        </w:rPr>
        <w:t xml:space="preserve">                                                                                                    CHỦ TỊCH</w:t>
      </w:r>
    </w:p>
    <w:p w:rsidR="00E74348" w:rsidRPr="00FF108D" w:rsidRDefault="00461CB8" w:rsidP="00FF108D">
      <w:pPr>
        <w:spacing w:after="120" w:line="340" w:lineRule="exact"/>
        <w:jc w:val="both"/>
        <w:rPr>
          <w:rFonts w:ascii="Times New Roman" w:hAnsi="Times New Roman"/>
          <w:b/>
          <w:bCs/>
          <w:i/>
          <w:sz w:val="26"/>
          <w:szCs w:val="26"/>
        </w:rPr>
      </w:pPr>
      <w:r>
        <w:rPr>
          <w:rFonts w:ascii="Times New Roman" w:hAnsi="Times New Roman"/>
          <w:b/>
          <w:bCs/>
          <w:i/>
          <w:sz w:val="26"/>
          <w:szCs w:val="26"/>
        </w:rPr>
        <w:t xml:space="preserve">                                                                                                        (đã ký)</w:t>
      </w:r>
    </w:p>
    <w:p w:rsidR="00D24F86" w:rsidRPr="00FF108D" w:rsidRDefault="00D24F86" w:rsidP="00FF108D">
      <w:pPr>
        <w:spacing w:after="120" w:line="340" w:lineRule="exact"/>
        <w:jc w:val="both"/>
        <w:rPr>
          <w:rFonts w:ascii="Times New Roman" w:hAnsi="Times New Roman"/>
          <w:b/>
          <w:bCs/>
          <w:i/>
          <w:sz w:val="26"/>
          <w:szCs w:val="26"/>
        </w:rPr>
      </w:pPr>
    </w:p>
    <w:p w:rsidR="00E74348" w:rsidRDefault="00E74348" w:rsidP="00FF108D">
      <w:pPr>
        <w:spacing w:after="120" w:line="340" w:lineRule="exact"/>
        <w:jc w:val="both"/>
        <w:rPr>
          <w:rFonts w:ascii="Times New Roman" w:hAnsi="Times New Roman"/>
          <w:b/>
          <w:bCs/>
          <w:sz w:val="26"/>
          <w:szCs w:val="26"/>
        </w:rPr>
      </w:pPr>
      <w:r w:rsidRPr="00FF108D">
        <w:rPr>
          <w:rFonts w:ascii="Times New Roman" w:hAnsi="Times New Roman"/>
          <w:b/>
          <w:bCs/>
          <w:sz w:val="26"/>
          <w:szCs w:val="26"/>
        </w:rPr>
        <w:t xml:space="preserve">                                                                                                 TRẦN BÁ PHÚC</w:t>
      </w:r>
    </w:p>
    <w:sectPr w:rsidR="00E74348" w:rsidSect="00904B4A">
      <w:headerReference w:type="default" r:id="rId8"/>
      <w:footerReference w:type="even" r:id="rId9"/>
      <w:footerReference w:type="default" r:id="rId10"/>
      <w:pgSz w:w="11907" w:h="16840" w:code="9"/>
      <w:pgMar w:top="2325" w:right="1134" w:bottom="96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D0" w:rsidRDefault="008E4FD0">
      <w:r>
        <w:separator/>
      </w:r>
    </w:p>
  </w:endnote>
  <w:endnote w:type="continuationSeparator" w:id="0">
    <w:p w:rsidR="008E4FD0" w:rsidRDefault="008E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48" w:rsidRDefault="000C00FF" w:rsidP="0007090E">
    <w:pPr>
      <w:pStyle w:val="Footer"/>
      <w:framePr w:wrap="around" w:vAnchor="text" w:hAnchor="margin" w:xAlign="right" w:y="1"/>
      <w:rPr>
        <w:rStyle w:val="PageNumber"/>
      </w:rPr>
    </w:pPr>
    <w:r>
      <w:rPr>
        <w:rStyle w:val="PageNumber"/>
      </w:rPr>
      <w:fldChar w:fldCharType="begin"/>
    </w:r>
    <w:r w:rsidR="00E74348">
      <w:rPr>
        <w:rStyle w:val="PageNumber"/>
      </w:rPr>
      <w:instrText xml:space="preserve">PAGE  </w:instrText>
    </w:r>
    <w:r>
      <w:rPr>
        <w:rStyle w:val="PageNumber"/>
      </w:rPr>
      <w:fldChar w:fldCharType="end"/>
    </w:r>
  </w:p>
  <w:p w:rsidR="00E74348" w:rsidRDefault="00E74348" w:rsidP="0007090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48" w:rsidRPr="00F03451" w:rsidRDefault="000C00FF" w:rsidP="0007090E">
    <w:pPr>
      <w:pStyle w:val="Footer"/>
      <w:framePr w:wrap="around" w:vAnchor="text" w:hAnchor="margin" w:xAlign="right" w:y="1"/>
      <w:rPr>
        <w:rStyle w:val="PageNumber"/>
        <w:rFonts w:ascii="Times New Roman" w:hAnsi="Times New Roman"/>
        <w:sz w:val="22"/>
        <w:szCs w:val="22"/>
      </w:rPr>
    </w:pPr>
    <w:r w:rsidRPr="00F03451">
      <w:rPr>
        <w:rStyle w:val="PageNumber"/>
        <w:rFonts w:ascii="Times New Roman" w:hAnsi="Times New Roman"/>
        <w:sz w:val="22"/>
        <w:szCs w:val="22"/>
      </w:rPr>
      <w:fldChar w:fldCharType="begin"/>
    </w:r>
    <w:r w:rsidR="00E74348" w:rsidRPr="00F03451">
      <w:rPr>
        <w:rStyle w:val="PageNumber"/>
        <w:rFonts w:ascii="Times New Roman" w:hAnsi="Times New Roman"/>
        <w:sz w:val="22"/>
        <w:szCs w:val="22"/>
      </w:rPr>
      <w:instrText xml:space="preserve">PAGE  </w:instrText>
    </w:r>
    <w:r w:rsidRPr="00F03451">
      <w:rPr>
        <w:rStyle w:val="PageNumber"/>
        <w:rFonts w:ascii="Times New Roman" w:hAnsi="Times New Roman"/>
        <w:sz w:val="22"/>
        <w:szCs w:val="22"/>
      </w:rPr>
      <w:fldChar w:fldCharType="separate"/>
    </w:r>
    <w:r w:rsidR="005900D3">
      <w:rPr>
        <w:rStyle w:val="PageNumber"/>
        <w:rFonts w:ascii="Times New Roman" w:hAnsi="Times New Roman"/>
        <w:noProof/>
        <w:sz w:val="22"/>
        <w:szCs w:val="22"/>
      </w:rPr>
      <w:t>8</w:t>
    </w:r>
    <w:r w:rsidRPr="00F03451">
      <w:rPr>
        <w:rStyle w:val="PageNumber"/>
        <w:rFonts w:ascii="Times New Roman" w:hAnsi="Times New Roman"/>
        <w:sz w:val="22"/>
        <w:szCs w:val="22"/>
      </w:rPr>
      <w:fldChar w:fldCharType="end"/>
    </w:r>
  </w:p>
  <w:p w:rsidR="00E74348" w:rsidRDefault="00E74348" w:rsidP="004C151A">
    <w:pPr>
      <w:pStyle w:val="Footer"/>
      <w:ind w:right="360"/>
      <w:rPr>
        <w:b/>
        <w:i/>
        <w:sz w:val="24"/>
      </w:rPr>
    </w:pPr>
  </w:p>
  <w:p w:rsidR="00E74348" w:rsidRPr="002E3872" w:rsidRDefault="00E74348" w:rsidP="002E3872">
    <w:pPr>
      <w:pStyle w:val="Footer"/>
      <w:pBdr>
        <w:top w:val="single" w:sz="4" w:space="6" w:color="auto"/>
      </w:pBdr>
      <w:spacing w:before="60"/>
      <w:ind w:right="357"/>
      <w:rPr>
        <w:rFonts w:ascii="Times New Roman" w:hAnsi="Times New Roman"/>
        <w:b/>
        <w:sz w:val="18"/>
        <w:szCs w:val="18"/>
      </w:rPr>
    </w:pPr>
    <w:r w:rsidRPr="002E3872">
      <w:rPr>
        <w:rFonts w:ascii="Times New Roman" w:hAnsi="Times New Roman"/>
        <w:b/>
        <w:sz w:val="18"/>
        <w:szCs w:val="18"/>
      </w:rPr>
      <w:t xml:space="preserve">NTP </w:t>
    </w:r>
    <w:r w:rsidR="002E3872" w:rsidRPr="002E3872">
      <w:rPr>
        <w:rFonts w:ascii="Times New Roman" w:hAnsi="Times New Roman"/>
        <w:b/>
        <w:sz w:val="18"/>
        <w:szCs w:val="18"/>
      </w:rPr>
      <w:t>-</w:t>
    </w:r>
    <w:r w:rsidR="00EE7DA4">
      <w:rPr>
        <w:rFonts w:ascii="Times New Roman" w:hAnsi="Times New Roman"/>
        <w:b/>
        <w:sz w:val="18"/>
        <w:szCs w:val="18"/>
      </w:rPr>
      <w:t xml:space="preserve"> </w:t>
    </w:r>
    <w:r w:rsidR="002E3872" w:rsidRPr="002E3872">
      <w:rPr>
        <w:rFonts w:ascii="Times New Roman" w:hAnsi="Times New Roman"/>
        <w:b/>
        <w:sz w:val="18"/>
        <w:szCs w:val="18"/>
      </w:rPr>
      <w:t>ĐẠI HỘI ĐỒNG CỔ ĐÔNG THƯỜNG NIÊN NĂM 201</w:t>
    </w:r>
    <w:r w:rsidR="00140C57">
      <w:rPr>
        <w:rFonts w:ascii="Times New Roman" w:hAnsi="Times New Roman"/>
        <w:b/>
        <w:sz w:val="18"/>
        <w:szCs w:val="18"/>
      </w:rPr>
      <w:t>5</w:t>
    </w:r>
  </w:p>
  <w:p w:rsidR="00E74348" w:rsidRDefault="00E74348" w:rsidP="0007090E">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D0" w:rsidRDefault="008E4FD0">
      <w:r>
        <w:separator/>
      </w:r>
    </w:p>
  </w:footnote>
  <w:footnote w:type="continuationSeparator" w:id="0">
    <w:p w:rsidR="008E4FD0" w:rsidRDefault="008E4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48" w:rsidRDefault="00A70F48" w:rsidP="006E76BF">
    <w:pPr>
      <w:pStyle w:val="NTPheader"/>
      <w:spacing w:before="120" w:after="120" w:line="400" w:lineRule="exact"/>
      <w:ind w:left="272" w:firstLine="1712"/>
    </w:pPr>
    <w:r>
      <w:drawing>
        <wp:anchor distT="0" distB="0" distL="114300" distR="114300" simplePos="0" relativeHeight="251657728" behindDoc="0" locked="0" layoutInCell="1" allowOverlap="1" wp14:anchorId="011D3BA3" wp14:editId="5985886C">
          <wp:simplePos x="0" y="0"/>
          <wp:positionH relativeFrom="column">
            <wp:posOffset>-425450</wp:posOffset>
          </wp:positionH>
          <wp:positionV relativeFrom="paragraph">
            <wp:posOffset>-225425</wp:posOffset>
          </wp:positionV>
          <wp:extent cx="1504950" cy="1130300"/>
          <wp:effectExtent l="19050" t="0" r="0" b="0"/>
          <wp:wrapThrough wrapText="bothSides">
            <wp:wrapPolygon edited="0">
              <wp:start x="-273" y="0"/>
              <wp:lineTo x="-273" y="21115"/>
              <wp:lineTo x="21600" y="21115"/>
              <wp:lineTo x="21600" y="0"/>
              <wp:lineTo x="-273" y="0"/>
            </wp:wrapPolygon>
          </wp:wrapThrough>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504950" cy="1130300"/>
                  </a:xfrm>
                  <a:prstGeom prst="rect">
                    <a:avLst/>
                  </a:prstGeom>
                  <a:noFill/>
                </pic:spPr>
              </pic:pic>
            </a:graphicData>
          </a:graphic>
        </wp:anchor>
      </w:drawing>
    </w:r>
    <w:r w:rsidR="00E74348">
      <w:rPr>
        <w:rFonts w:ascii=".VnTimeH" w:hAnsi=".VnTimeH"/>
      </w:rPr>
      <w:t>C«NG TY Cæ PHÇN NHùa THIÕu NIªN TIÒn phong</w:t>
    </w:r>
  </w:p>
  <w:p w:rsidR="00E74348" w:rsidRDefault="00E74348" w:rsidP="006E76BF">
    <w:pPr>
      <w:pStyle w:val="NTPheader"/>
      <w:spacing w:after="120" w:line="400" w:lineRule="exact"/>
      <w:ind w:left="272" w:firstLine="1712"/>
    </w:pPr>
    <w:r>
      <w:t xml:space="preserve">    TIEN PHONG PLASTIC JOINT STOCK COMPANY</w:t>
    </w:r>
    <w:r w:rsidR="008E4FD0">
      <w:pict>
        <v:group id="Group 4" o:spid="_x0000_s2050" style="position:absolute;left:0;text-align:left;margin-left:467pt;margin-top:.55pt;width:40.6pt;height:12.25pt;z-index:251658752;mso-position-horizontal-relative:text;mso-position-vertical-relative:text" coordorigin="9520,1676" coordsize="10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">
          <v:rect id="Rectangle 5" o:spid="_x0000_s2053" style="position:absolute;left:9520;top:1676;width:2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XzcMA&#10;AADaAAAADwAAAGRycy9kb3ducmV2LnhtbESPW4vCMBSE3xf8D+EIvq2pF5ZajSKCt8UXLz/g0Bzb&#10;anNSm6j135uFBR+HmfmGmcwaU4oH1a6wrKDXjUAQp1YXnCk4HZffMQjnkTWWlknBixzMpq2vCSba&#10;PnlPj4PPRICwS1BB7n2VSOnSnAy6rq2Ig3e2tUEfZJ1JXeMzwE0p+1H0Iw0WHBZyrGiRU3o93I2C&#10;XfR7i9NLvF3fRqeyOQ4Wo9WyUKrTbuZjEJ4a/wn/tzdawRD+roQb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XzcMAAADaAAAADwAAAAAAAAAAAAAAAACYAgAAZHJzL2Rv&#10;d25yZXYueG1sUEsFBgAAAAAEAAQA9QAAAIgDAAAAAA==&#10;" fillcolor="#7bc143" stroked="f"/>
          <v:rect id="Rectangle 6" o:spid="_x0000_s2052" style="position:absolute;left:9900;top:1676;width:2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d18MA&#10;AADaAAAADwAAAGRycy9kb3ducmV2LnhtbESPzWrDMBCE74G8g9hAb43cQEviRDal0DQ51vntbbG2&#10;thNrZSzVdt6+KhRyHOabGWaVDqYWHbWusqzgaRqBIM6trrhQsN+9P85BOI+ssbZMCm7kIE3GoxXG&#10;2vb8SV3mCxFK2MWooPS+iaV0eUkG3dQ2xMH7tq1BH2RbSN1iH8pNLWdR9CINVhwWSmzoraT8mv0Y&#10;BV/b23l+6ZtAXq7d4nBaf2TmqNTDZHhdgvA0+Dv8n95oBc/wdyXc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d18MAAADaAAAADwAAAAAAAAAAAAAAAACYAgAAZHJzL2Rv&#10;d25yZXYueG1sUEsFBgAAAAAEAAQA9QAAAIgDAAAAAA==&#10;" fillcolor="#ed1c24" stroked="f"/>
          <v:rect id="Rectangle 7" o:spid="_x0000_s2051" style="position:absolute;left:10300;top:1676;width:2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sIcMA&#10;AADaAAAADwAAAGRycy9kb3ducmV2LnhtbESP0YrCMBRE3xf8h3CFfVtTXZBam4oI6iq+rPoBl+ba&#10;Vpub2kTt/r0RhH0cZuYMk846U4s7ta6yrGA4iEAQ51ZXXCg4HpZfMQjnkTXWlknBHzmYZb2PFBNt&#10;H/xL970vRICwS1BB6X2TSOnykgy6gW2Ig3eyrUEfZFtI3eIjwE0tR1E0lgYrDgslNrQoKb/sb0bB&#10;Ltpe4/wcb9bXybHuDt+LyWpZKfXZ7+ZTEJ46/x9+t3+0gjG8roQb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0sIcMAAADaAAAADwAAAAAAAAAAAAAAAACYAgAAZHJzL2Rv&#10;d25yZXYueG1sUEsFBgAAAAAEAAQA9QAAAIgDAAAAAA==&#10;" fillcolor="#7bc143" stroked="f"/>
        </v:group>
      </w:pict>
    </w:r>
    <w:r>
      <w:tab/>
    </w:r>
  </w:p>
  <w:p w:rsidR="00E74348" w:rsidRPr="00E139DF" w:rsidRDefault="008E4FD0" w:rsidP="00E139DF">
    <w:pPr>
      <w:pStyle w:val="Footer"/>
      <w:ind w:firstLine="360"/>
      <w:jc w:val="center"/>
      <w:rPr>
        <w:b/>
        <w:i/>
        <w:sz w:val="24"/>
      </w:rPr>
    </w:pPr>
    <w:r>
      <w:rPr>
        <w:noProof/>
      </w:rPr>
      <w:pict>
        <v:line id="Line 1" o:spid="_x0000_s204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5pt" to="50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P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7"/>
      </v:shape>
    </w:pict>
  </w:numPicBullet>
  <w:abstractNum w:abstractNumId="0">
    <w:nsid w:val="03E06745"/>
    <w:multiLevelType w:val="hybridMultilevel"/>
    <w:tmpl w:val="1DDE3E52"/>
    <w:lvl w:ilvl="0" w:tplc="4E44EA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0426B6"/>
    <w:multiLevelType w:val="hybridMultilevel"/>
    <w:tmpl w:val="78689128"/>
    <w:lvl w:ilvl="0" w:tplc="04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4125F"/>
    <w:multiLevelType w:val="hybridMultilevel"/>
    <w:tmpl w:val="AF12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547E9"/>
    <w:multiLevelType w:val="hybridMultilevel"/>
    <w:tmpl w:val="938014D0"/>
    <w:lvl w:ilvl="0" w:tplc="B3343E68">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C64FA"/>
    <w:multiLevelType w:val="hybridMultilevel"/>
    <w:tmpl w:val="A7421F64"/>
    <w:lvl w:ilvl="0" w:tplc="A7669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8439C"/>
    <w:multiLevelType w:val="hybridMultilevel"/>
    <w:tmpl w:val="9BBC25CC"/>
    <w:lvl w:ilvl="0" w:tplc="631CB10E">
      <w:start w:val="1"/>
      <w:numFmt w:val="decimal"/>
      <w:lvlText w:val="%1."/>
      <w:lvlJc w:val="left"/>
      <w:pPr>
        <w:tabs>
          <w:tab w:val="num" w:pos="360"/>
        </w:tabs>
        <w:ind w:left="360" w:hanging="360"/>
      </w:pPr>
      <w:rPr>
        <w:rFonts w:ascii="Times New Roman" w:eastAsia="Times New Roman" w:hAnsi="Times New Roman" w:cs="Times New Roman"/>
        <w:i w:val="0"/>
      </w:rPr>
    </w:lvl>
    <w:lvl w:ilvl="1" w:tplc="04090001">
      <w:start w:val="1"/>
      <w:numFmt w:val="bullet"/>
      <w:lvlText w:val=""/>
      <w:lvlJc w:val="left"/>
      <w:pPr>
        <w:tabs>
          <w:tab w:val="num" w:pos="1080"/>
        </w:tabs>
        <w:ind w:left="1080" w:hanging="360"/>
      </w:pPr>
      <w:rPr>
        <w:rFonts w:ascii="Symbol" w:hAnsi="Symbol" w:hint="default"/>
      </w:rPr>
    </w:lvl>
    <w:lvl w:ilvl="2" w:tplc="718EDDB6">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A105FF"/>
    <w:multiLevelType w:val="hybridMultilevel"/>
    <w:tmpl w:val="7D8CFAE6"/>
    <w:lvl w:ilvl="0" w:tplc="4E44EA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E600B5C"/>
    <w:multiLevelType w:val="hybridMultilevel"/>
    <w:tmpl w:val="E23A4A28"/>
    <w:lvl w:ilvl="0" w:tplc="4E44EA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7A2308"/>
    <w:multiLevelType w:val="hybridMultilevel"/>
    <w:tmpl w:val="8484562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9A0B6A"/>
    <w:multiLevelType w:val="hybridMultilevel"/>
    <w:tmpl w:val="80D255C4"/>
    <w:lvl w:ilvl="0" w:tplc="178E2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B04C8"/>
    <w:multiLevelType w:val="hybridMultilevel"/>
    <w:tmpl w:val="473C267E"/>
    <w:lvl w:ilvl="0" w:tplc="4E44EAD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B3B72"/>
    <w:multiLevelType w:val="hybridMultilevel"/>
    <w:tmpl w:val="7E82DDB8"/>
    <w:lvl w:ilvl="0" w:tplc="66462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DD573E8"/>
    <w:multiLevelType w:val="hybridMultilevel"/>
    <w:tmpl w:val="80FCC9BA"/>
    <w:lvl w:ilvl="0" w:tplc="CA6C47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44F99"/>
    <w:multiLevelType w:val="hybridMultilevel"/>
    <w:tmpl w:val="E54296D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90163B"/>
    <w:multiLevelType w:val="hybridMultilevel"/>
    <w:tmpl w:val="33744304"/>
    <w:lvl w:ilvl="0" w:tplc="04090001">
      <w:start w:val="1"/>
      <w:numFmt w:val="bullet"/>
      <w:lvlText w:val=""/>
      <w:lvlJc w:val="left"/>
      <w:pPr>
        <w:ind w:left="130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15">
    <w:nsid w:val="36E3535F"/>
    <w:multiLevelType w:val="hybridMultilevel"/>
    <w:tmpl w:val="766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835EC"/>
    <w:multiLevelType w:val="hybridMultilevel"/>
    <w:tmpl w:val="466614CE"/>
    <w:lvl w:ilvl="0" w:tplc="4E44EADC">
      <w:start w:val="1"/>
      <w:numFmt w:val="bullet"/>
      <w:lvlText w:val=""/>
      <w:lvlJc w:val="left"/>
      <w:pPr>
        <w:tabs>
          <w:tab w:val="num" w:pos="360"/>
        </w:tabs>
        <w:ind w:left="360" w:hanging="360"/>
      </w:pPr>
      <w:rPr>
        <w:rFonts w:ascii="Wingdings" w:hAnsi="Wingdings"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4C6403"/>
    <w:multiLevelType w:val="hybridMultilevel"/>
    <w:tmpl w:val="18C0BDAC"/>
    <w:lvl w:ilvl="0" w:tplc="66462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E16641D"/>
    <w:multiLevelType w:val="hybridMultilevel"/>
    <w:tmpl w:val="1F820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621ED"/>
    <w:multiLevelType w:val="hybridMultilevel"/>
    <w:tmpl w:val="9740EF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C20285"/>
    <w:multiLevelType w:val="hybridMultilevel"/>
    <w:tmpl w:val="45A8A230"/>
    <w:lvl w:ilvl="0" w:tplc="E808144E">
      <w:start w:val="4"/>
      <w:numFmt w:val="bullet"/>
      <w:lvlText w:val="-"/>
      <w:lvlJc w:val="left"/>
      <w:pPr>
        <w:tabs>
          <w:tab w:val="num" w:pos="555"/>
        </w:tabs>
        <w:ind w:left="555" w:hanging="375"/>
      </w:pPr>
      <w:rPr>
        <w:rFonts w:ascii=".VnTime" w:eastAsia="Times New Roman" w:hAnsi=".VnTime"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700129FE"/>
    <w:multiLevelType w:val="hybridMultilevel"/>
    <w:tmpl w:val="58F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95487"/>
    <w:multiLevelType w:val="hybridMultilevel"/>
    <w:tmpl w:val="010ECD8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3">
    <w:nsid w:val="726B381E"/>
    <w:multiLevelType w:val="hybridMultilevel"/>
    <w:tmpl w:val="DA881380"/>
    <w:lvl w:ilvl="0" w:tplc="66462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CC72255"/>
    <w:multiLevelType w:val="hybridMultilevel"/>
    <w:tmpl w:val="A58C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
  </w:num>
  <w:num w:numId="4">
    <w:abstractNumId w:val="19"/>
  </w:num>
  <w:num w:numId="5">
    <w:abstractNumId w:val="5"/>
  </w:num>
  <w:num w:numId="6">
    <w:abstractNumId w:val="10"/>
  </w:num>
  <w:num w:numId="7">
    <w:abstractNumId w:val="0"/>
  </w:num>
  <w:num w:numId="8">
    <w:abstractNumId w:val="16"/>
  </w:num>
  <w:num w:numId="9">
    <w:abstractNumId w:val="6"/>
  </w:num>
  <w:num w:numId="10">
    <w:abstractNumId w:val="7"/>
  </w:num>
  <w:num w:numId="11">
    <w:abstractNumId w:val="23"/>
  </w:num>
  <w:num w:numId="12">
    <w:abstractNumId w:val="17"/>
  </w:num>
  <w:num w:numId="13">
    <w:abstractNumId w:val="11"/>
  </w:num>
  <w:num w:numId="14">
    <w:abstractNumId w:val="22"/>
  </w:num>
  <w:num w:numId="15">
    <w:abstractNumId w:val="3"/>
  </w:num>
  <w:num w:numId="16">
    <w:abstractNumId w:val="18"/>
  </w:num>
  <w:num w:numId="17">
    <w:abstractNumId w:val="24"/>
  </w:num>
  <w:num w:numId="18">
    <w:abstractNumId w:val="20"/>
  </w:num>
  <w:num w:numId="19">
    <w:abstractNumId w:val="12"/>
  </w:num>
  <w:num w:numId="20">
    <w:abstractNumId w:val="4"/>
  </w:num>
  <w:num w:numId="21">
    <w:abstractNumId w:val="14"/>
  </w:num>
  <w:num w:numId="22">
    <w:abstractNumId w:val="2"/>
  </w:num>
  <w:num w:numId="23">
    <w:abstractNumId w:val="2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71FB0"/>
    <w:rsid w:val="00003AB3"/>
    <w:rsid w:val="00007C6E"/>
    <w:rsid w:val="0002095D"/>
    <w:rsid w:val="000214B6"/>
    <w:rsid w:val="000251D6"/>
    <w:rsid w:val="0002636A"/>
    <w:rsid w:val="00030CC4"/>
    <w:rsid w:val="00034D8B"/>
    <w:rsid w:val="000422C9"/>
    <w:rsid w:val="00044A89"/>
    <w:rsid w:val="000455FA"/>
    <w:rsid w:val="00046AFE"/>
    <w:rsid w:val="000472ED"/>
    <w:rsid w:val="0005141A"/>
    <w:rsid w:val="00053AD3"/>
    <w:rsid w:val="00064D57"/>
    <w:rsid w:val="0007090E"/>
    <w:rsid w:val="00070AA6"/>
    <w:rsid w:val="00074354"/>
    <w:rsid w:val="000766FE"/>
    <w:rsid w:val="0008582E"/>
    <w:rsid w:val="00090160"/>
    <w:rsid w:val="00097DFF"/>
    <w:rsid w:val="000A00C9"/>
    <w:rsid w:val="000A07D1"/>
    <w:rsid w:val="000A56FE"/>
    <w:rsid w:val="000B211B"/>
    <w:rsid w:val="000C00FF"/>
    <w:rsid w:val="000C1345"/>
    <w:rsid w:val="000C1987"/>
    <w:rsid w:val="000C759B"/>
    <w:rsid w:val="000C7BD0"/>
    <w:rsid w:val="000D70BB"/>
    <w:rsid w:val="000D7778"/>
    <w:rsid w:val="000E1812"/>
    <w:rsid w:val="000E6393"/>
    <w:rsid w:val="000F4C57"/>
    <w:rsid w:val="000F6927"/>
    <w:rsid w:val="000F76CE"/>
    <w:rsid w:val="001159CA"/>
    <w:rsid w:val="00115CA5"/>
    <w:rsid w:val="001206B6"/>
    <w:rsid w:val="001219A6"/>
    <w:rsid w:val="00124D6C"/>
    <w:rsid w:val="00124E7D"/>
    <w:rsid w:val="0012531C"/>
    <w:rsid w:val="0013071C"/>
    <w:rsid w:val="00131670"/>
    <w:rsid w:val="00134BDC"/>
    <w:rsid w:val="00140C57"/>
    <w:rsid w:val="001518E9"/>
    <w:rsid w:val="00156C51"/>
    <w:rsid w:val="00160651"/>
    <w:rsid w:val="001628A4"/>
    <w:rsid w:val="00163862"/>
    <w:rsid w:val="0017135B"/>
    <w:rsid w:val="00174EFF"/>
    <w:rsid w:val="00176191"/>
    <w:rsid w:val="00180E93"/>
    <w:rsid w:val="00182F1A"/>
    <w:rsid w:val="001838C5"/>
    <w:rsid w:val="00187A87"/>
    <w:rsid w:val="00192E4E"/>
    <w:rsid w:val="00195861"/>
    <w:rsid w:val="001960F5"/>
    <w:rsid w:val="00196A67"/>
    <w:rsid w:val="001A2D71"/>
    <w:rsid w:val="001B04A2"/>
    <w:rsid w:val="001B2B91"/>
    <w:rsid w:val="001B3493"/>
    <w:rsid w:val="001B396B"/>
    <w:rsid w:val="001B46C9"/>
    <w:rsid w:val="001B55ED"/>
    <w:rsid w:val="001B64A8"/>
    <w:rsid w:val="001C06D6"/>
    <w:rsid w:val="001C39EE"/>
    <w:rsid w:val="001D44BC"/>
    <w:rsid w:val="001E3A76"/>
    <w:rsid w:val="001E7DFB"/>
    <w:rsid w:val="001F2230"/>
    <w:rsid w:val="001F2634"/>
    <w:rsid w:val="001F2B45"/>
    <w:rsid w:val="00201556"/>
    <w:rsid w:val="002031C6"/>
    <w:rsid w:val="002035BE"/>
    <w:rsid w:val="002159BA"/>
    <w:rsid w:val="0022170E"/>
    <w:rsid w:val="00231E4B"/>
    <w:rsid w:val="00234E8B"/>
    <w:rsid w:val="00235360"/>
    <w:rsid w:val="00242091"/>
    <w:rsid w:val="00243ABF"/>
    <w:rsid w:val="0024707E"/>
    <w:rsid w:val="00250772"/>
    <w:rsid w:val="00251ED3"/>
    <w:rsid w:val="00254731"/>
    <w:rsid w:val="00264876"/>
    <w:rsid w:val="00264F94"/>
    <w:rsid w:val="002654B3"/>
    <w:rsid w:val="002660C3"/>
    <w:rsid w:val="00273216"/>
    <w:rsid w:val="00275BE7"/>
    <w:rsid w:val="00282950"/>
    <w:rsid w:val="00283178"/>
    <w:rsid w:val="0028399B"/>
    <w:rsid w:val="0028646E"/>
    <w:rsid w:val="00287A05"/>
    <w:rsid w:val="00295F2B"/>
    <w:rsid w:val="00297AB4"/>
    <w:rsid w:val="002A6C58"/>
    <w:rsid w:val="002A6C75"/>
    <w:rsid w:val="002B0CCB"/>
    <w:rsid w:val="002B5E2E"/>
    <w:rsid w:val="002C1A57"/>
    <w:rsid w:val="002C471F"/>
    <w:rsid w:val="002C5F50"/>
    <w:rsid w:val="002C61F3"/>
    <w:rsid w:val="002C7A66"/>
    <w:rsid w:val="002D211B"/>
    <w:rsid w:val="002D5445"/>
    <w:rsid w:val="002E3872"/>
    <w:rsid w:val="002E5BE9"/>
    <w:rsid w:val="002E626F"/>
    <w:rsid w:val="002F354E"/>
    <w:rsid w:val="002F5188"/>
    <w:rsid w:val="002F64D2"/>
    <w:rsid w:val="00300197"/>
    <w:rsid w:val="003039B3"/>
    <w:rsid w:val="00304410"/>
    <w:rsid w:val="00304BF1"/>
    <w:rsid w:val="0030774F"/>
    <w:rsid w:val="00310174"/>
    <w:rsid w:val="00311AB2"/>
    <w:rsid w:val="0031317A"/>
    <w:rsid w:val="003134B3"/>
    <w:rsid w:val="00314079"/>
    <w:rsid w:val="003146B8"/>
    <w:rsid w:val="00316CEA"/>
    <w:rsid w:val="003241FA"/>
    <w:rsid w:val="003302DF"/>
    <w:rsid w:val="003311A6"/>
    <w:rsid w:val="00335F0C"/>
    <w:rsid w:val="00336C98"/>
    <w:rsid w:val="00341FE2"/>
    <w:rsid w:val="003470DC"/>
    <w:rsid w:val="00352D53"/>
    <w:rsid w:val="00356E95"/>
    <w:rsid w:val="003624A2"/>
    <w:rsid w:val="003626B5"/>
    <w:rsid w:val="003630FE"/>
    <w:rsid w:val="00367A39"/>
    <w:rsid w:val="00367CA7"/>
    <w:rsid w:val="0037080D"/>
    <w:rsid w:val="00381FE5"/>
    <w:rsid w:val="00382238"/>
    <w:rsid w:val="003830E9"/>
    <w:rsid w:val="003854A1"/>
    <w:rsid w:val="003875E7"/>
    <w:rsid w:val="00392143"/>
    <w:rsid w:val="003928B4"/>
    <w:rsid w:val="0039573F"/>
    <w:rsid w:val="003977DC"/>
    <w:rsid w:val="003A1024"/>
    <w:rsid w:val="003A3B49"/>
    <w:rsid w:val="003A7457"/>
    <w:rsid w:val="003B1441"/>
    <w:rsid w:val="003B41C8"/>
    <w:rsid w:val="003B4FF7"/>
    <w:rsid w:val="003C40A8"/>
    <w:rsid w:val="003C786B"/>
    <w:rsid w:val="003D040D"/>
    <w:rsid w:val="003D1293"/>
    <w:rsid w:val="003D1E17"/>
    <w:rsid w:val="003D1ED3"/>
    <w:rsid w:val="003D3C68"/>
    <w:rsid w:val="003D419A"/>
    <w:rsid w:val="003E1287"/>
    <w:rsid w:val="003E28EB"/>
    <w:rsid w:val="003E2CBD"/>
    <w:rsid w:val="003E38FC"/>
    <w:rsid w:val="003E4602"/>
    <w:rsid w:val="003E690A"/>
    <w:rsid w:val="003F5526"/>
    <w:rsid w:val="003F5FA0"/>
    <w:rsid w:val="003F6A8A"/>
    <w:rsid w:val="00400057"/>
    <w:rsid w:val="00400328"/>
    <w:rsid w:val="0040270F"/>
    <w:rsid w:val="004040BD"/>
    <w:rsid w:val="004068AB"/>
    <w:rsid w:val="00407AED"/>
    <w:rsid w:val="00411ED4"/>
    <w:rsid w:val="00420FAC"/>
    <w:rsid w:val="004215A5"/>
    <w:rsid w:val="004244C5"/>
    <w:rsid w:val="00431176"/>
    <w:rsid w:val="00434A73"/>
    <w:rsid w:val="0044093F"/>
    <w:rsid w:val="00445E30"/>
    <w:rsid w:val="004474D5"/>
    <w:rsid w:val="00453741"/>
    <w:rsid w:val="0045385A"/>
    <w:rsid w:val="00456907"/>
    <w:rsid w:val="00460AE8"/>
    <w:rsid w:val="00461CB8"/>
    <w:rsid w:val="00462217"/>
    <w:rsid w:val="00464BF0"/>
    <w:rsid w:val="00466F6C"/>
    <w:rsid w:val="004746A1"/>
    <w:rsid w:val="00476EBC"/>
    <w:rsid w:val="004829CC"/>
    <w:rsid w:val="004860B0"/>
    <w:rsid w:val="00490080"/>
    <w:rsid w:val="00495B03"/>
    <w:rsid w:val="004A0138"/>
    <w:rsid w:val="004A4E0F"/>
    <w:rsid w:val="004A7C8B"/>
    <w:rsid w:val="004B1C43"/>
    <w:rsid w:val="004B37B0"/>
    <w:rsid w:val="004C151A"/>
    <w:rsid w:val="004C376F"/>
    <w:rsid w:val="004C3C37"/>
    <w:rsid w:val="004C51D0"/>
    <w:rsid w:val="004D4E7A"/>
    <w:rsid w:val="004D50E6"/>
    <w:rsid w:val="004D5C72"/>
    <w:rsid w:val="004D6F61"/>
    <w:rsid w:val="004E3B0C"/>
    <w:rsid w:val="004E72AA"/>
    <w:rsid w:val="004F2E94"/>
    <w:rsid w:val="004F60FB"/>
    <w:rsid w:val="005005A5"/>
    <w:rsid w:val="00502CFB"/>
    <w:rsid w:val="0050321E"/>
    <w:rsid w:val="00506AFD"/>
    <w:rsid w:val="00507FA1"/>
    <w:rsid w:val="00510FBB"/>
    <w:rsid w:val="005129BE"/>
    <w:rsid w:val="00514194"/>
    <w:rsid w:val="00514B56"/>
    <w:rsid w:val="00521C3A"/>
    <w:rsid w:val="00523630"/>
    <w:rsid w:val="00526844"/>
    <w:rsid w:val="00530E17"/>
    <w:rsid w:val="00534F9C"/>
    <w:rsid w:val="005408CD"/>
    <w:rsid w:val="005457C1"/>
    <w:rsid w:val="00547E90"/>
    <w:rsid w:val="005513FF"/>
    <w:rsid w:val="00551A0F"/>
    <w:rsid w:val="005536B3"/>
    <w:rsid w:val="00553A2F"/>
    <w:rsid w:val="00557A90"/>
    <w:rsid w:val="00560600"/>
    <w:rsid w:val="00562112"/>
    <w:rsid w:val="005648FA"/>
    <w:rsid w:val="0056536F"/>
    <w:rsid w:val="005702B6"/>
    <w:rsid w:val="00570B54"/>
    <w:rsid w:val="00570E25"/>
    <w:rsid w:val="00572A24"/>
    <w:rsid w:val="00574ED7"/>
    <w:rsid w:val="0058057A"/>
    <w:rsid w:val="00583739"/>
    <w:rsid w:val="00583CE3"/>
    <w:rsid w:val="00584DEB"/>
    <w:rsid w:val="0058620B"/>
    <w:rsid w:val="005900D3"/>
    <w:rsid w:val="005927F7"/>
    <w:rsid w:val="0059504C"/>
    <w:rsid w:val="00596F84"/>
    <w:rsid w:val="005A12E6"/>
    <w:rsid w:val="005A2770"/>
    <w:rsid w:val="005A4ED3"/>
    <w:rsid w:val="005B1624"/>
    <w:rsid w:val="005B2718"/>
    <w:rsid w:val="005B4D30"/>
    <w:rsid w:val="005C1C7B"/>
    <w:rsid w:val="005C5CB9"/>
    <w:rsid w:val="005D087C"/>
    <w:rsid w:val="005D148A"/>
    <w:rsid w:val="005D2354"/>
    <w:rsid w:val="005D2B32"/>
    <w:rsid w:val="005E0D7B"/>
    <w:rsid w:val="005E36D1"/>
    <w:rsid w:val="005E3788"/>
    <w:rsid w:val="005F3C9A"/>
    <w:rsid w:val="005F3F79"/>
    <w:rsid w:val="005F63DE"/>
    <w:rsid w:val="005F7A2C"/>
    <w:rsid w:val="00601C47"/>
    <w:rsid w:val="00602AD0"/>
    <w:rsid w:val="00603729"/>
    <w:rsid w:val="00610F0C"/>
    <w:rsid w:val="00617E19"/>
    <w:rsid w:val="00621420"/>
    <w:rsid w:val="006246B1"/>
    <w:rsid w:val="00625F25"/>
    <w:rsid w:val="00631E29"/>
    <w:rsid w:val="00636FFA"/>
    <w:rsid w:val="0064277E"/>
    <w:rsid w:val="00646AEB"/>
    <w:rsid w:val="00651E41"/>
    <w:rsid w:val="006529FD"/>
    <w:rsid w:val="00653B92"/>
    <w:rsid w:val="00655BCF"/>
    <w:rsid w:val="00662D9F"/>
    <w:rsid w:val="00663356"/>
    <w:rsid w:val="00672FD2"/>
    <w:rsid w:val="00680E8E"/>
    <w:rsid w:val="00682FC6"/>
    <w:rsid w:val="006836AB"/>
    <w:rsid w:val="00685BC4"/>
    <w:rsid w:val="006860C6"/>
    <w:rsid w:val="006862B9"/>
    <w:rsid w:val="006877C4"/>
    <w:rsid w:val="00691688"/>
    <w:rsid w:val="00691DAA"/>
    <w:rsid w:val="00693CBE"/>
    <w:rsid w:val="00696389"/>
    <w:rsid w:val="0069664D"/>
    <w:rsid w:val="00697C57"/>
    <w:rsid w:val="006A089A"/>
    <w:rsid w:val="006A113E"/>
    <w:rsid w:val="006A6053"/>
    <w:rsid w:val="006A682A"/>
    <w:rsid w:val="006B60F1"/>
    <w:rsid w:val="006C16E1"/>
    <w:rsid w:val="006C1E1D"/>
    <w:rsid w:val="006C297B"/>
    <w:rsid w:val="006C45B9"/>
    <w:rsid w:val="006D2033"/>
    <w:rsid w:val="006D26E8"/>
    <w:rsid w:val="006D2CCC"/>
    <w:rsid w:val="006D5A00"/>
    <w:rsid w:val="006E09B2"/>
    <w:rsid w:val="006E11D9"/>
    <w:rsid w:val="006E4A32"/>
    <w:rsid w:val="006E5D45"/>
    <w:rsid w:val="006E76BF"/>
    <w:rsid w:val="006F2DCC"/>
    <w:rsid w:val="006F33DA"/>
    <w:rsid w:val="006F5BA0"/>
    <w:rsid w:val="006F75AA"/>
    <w:rsid w:val="007102B3"/>
    <w:rsid w:val="00712EA5"/>
    <w:rsid w:val="0071480B"/>
    <w:rsid w:val="007170F2"/>
    <w:rsid w:val="00717805"/>
    <w:rsid w:val="0072094C"/>
    <w:rsid w:val="00720BD0"/>
    <w:rsid w:val="00724733"/>
    <w:rsid w:val="00724D08"/>
    <w:rsid w:val="00725862"/>
    <w:rsid w:val="00727AE8"/>
    <w:rsid w:val="00733101"/>
    <w:rsid w:val="00733730"/>
    <w:rsid w:val="00734BFE"/>
    <w:rsid w:val="00734DAB"/>
    <w:rsid w:val="007376B1"/>
    <w:rsid w:val="00740C13"/>
    <w:rsid w:val="007411F0"/>
    <w:rsid w:val="00741F4B"/>
    <w:rsid w:val="00747971"/>
    <w:rsid w:val="007535CA"/>
    <w:rsid w:val="00765BB0"/>
    <w:rsid w:val="00767DA8"/>
    <w:rsid w:val="007705A6"/>
    <w:rsid w:val="0077510B"/>
    <w:rsid w:val="0077620B"/>
    <w:rsid w:val="00776BBB"/>
    <w:rsid w:val="007777D4"/>
    <w:rsid w:val="007836D5"/>
    <w:rsid w:val="00783F0B"/>
    <w:rsid w:val="00785191"/>
    <w:rsid w:val="0079011F"/>
    <w:rsid w:val="00797AEA"/>
    <w:rsid w:val="007A144C"/>
    <w:rsid w:val="007A62BB"/>
    <w:rsid w:val="007A7CB1"/>
    <w:rsid w:val="007B08F7"/>
    <w:rsid w:val="007B3AD9"/>
    <w:rsid w:val="007B3B26"/>
    <w:rsid w:val="007B719B"/>
    <w:rsid w:val="007C1979"/>
    <w:rsid w:val="007C29D8"/>
    <w:rsid w:val="007D01F3"/>
    <w:rsid w:val="007D3193"/>
    <w:rsid w:val="007D3FDE"/>
    <w:rsid w:val="007D6372"/>
    <w:rsid w:val="007D6F47"/>
    <w:rsid w:val="007E0A71"/>
    <w:rsid w:val="007E28B9"/>
    <w:rsid w:val="007E4F10"/>
    <w:rsid w:val="007E52AA"/>
    <w:rsid w:val="007E7CB9"/>
    <w:rsid w:val="007E7E79"/>
    <w:rsid w:val="007F008B"/>
    <w:rsid w:val="007F0982"/>
    <w:rsid w:val="007F2F05"/>
    <w:rsid w:val="007F56FE"/>
    <w:rsid w:val="007F5C07"/>
    <w:rsid w:val="007F6D71"/>
    <w:rsid w:val="008027CE"/>
    <w:rsid w:val="00805C1A"/>
    <w:rsid w:val="008061BA"/>
    <w:rsid w:val="00811002"/>
    <w:rsid w:val="00812763"/>
    <w:rsid w:val="008165F3"/>
    <w:rsid w:val="008240F4"/>
    <w:rsid w:val="0082424F"/>
    <w:rsid w:val="0082534D"/>
    <w:rsid w:val="008301F7"/>
    <w:rsid w:val="00832149"/>
    <w:rsid w:val="008323C4"/>
    <w:rsid w:val="0085734A"/>
    <w:rsid w:val="008604B6"/>
    <w:rsid w:val="00861F53"/>
    <w:rsid w:val="00865704"/>
    <w:rsid w:val="00873EFF"/>
    <w:rsid w:val="008768D1"/>
    <w:rsid w:val="00877B27"/>
    <w:rsid w:val="00880A58"/>
    <w:rsid w:val="008820D6"/>
    <w:rsid w:val="00883F8A"/>
    <w:rsid w:val="00885B75"/>
    <w:rsid w:val="008865F4"/>
    <w:rsid w:val="008A0B63"/>
    <w:rsid w:val="008A2020"/>
    <w:rsid w:val="008A72B9"/>
    <w:rsid w:val="008B239C"/>
    <w:rsid w:val="008B5D40"/>
    <w:rsid w:val="008B64EE"/>
    <w:rsid w:val="008B69D3"/>
    <w:rsid w:val="008B6AE2"/>
    <w:rsid w:val="008B7F8B"/>
    <w:rsid w:val="008D17FD"/>
    <w:rsid w:val="008D59BF"/>
    <w:rsid w:val="008E110A"/>
    <w:rsid w:val="008E3A2E"/>
    <w:rsid w:val="008E4FD0"/>
    <w:rsid w:val="008F18EB"/>
    <w:rsid w:val="008F31B6"/>
    <w:rsid w:val="008F5261"/>
    <w:rsid w:val="008F7898"/>
    <w:rsid w:val="00902966"/>
    <w:rsid w:val="0090387D"/>
    <w:rsid w:val="00904B4A"/>
    <w:rsid w:val="009125A5"/>
    <w:rsid w:val="00915A1E"/>
    <w:rsid w:val="00926532"/>
    <w:rsid w:val="00930791"/>
    <w:rsid w:val="00931D26"/>
    <w:rsid w:val="00935041"/>
    <w:rsid w:val="00936CC9"/>
    <w:rsid w:val="00943B1F"/>
    <w:rsid w:val="00946DA9"/>
    <w:rsid w:val="00950394"/>
    <w:rsid w:val="009516E3"/>
    <w:rsid w:val="009546A1"/>
    <w:rsid w:val="00963BF6"/>
    <w:rsid w:val="009666E2"/>
    <w:rsid w:val="00966C71"/>
    <w:rsid w:val="009729BA"/>
    <w:rsid w:val="009739B1"/>
    <w:rsid w:val="009741E8"/>
    <w:rsid w:val="009807A3"/>
    <w:rsid w:val="0098223F"/>
    <w:rsid w:val="00982469"/>
    <w:rsid w:val="00983EC1"/>
    <w:rsid w:val="0098437D"/>
    <w:rsid w:val="00984D32"/>
    <w:rsid w:val="0099285F"/>
    <w:rsid w:val="009930A6"/>
    <w:rsid w:val="009951C5"/>
    <w:rsid w:val="00995966"/>
    <w:rsid w:val="009B0D7D"/>
    <w:rsid w:val="009B0F70"/>
    <w:rsid w:val="009B21B4"/>
    <w:rsid w:val="009B4FE1"/>
    <w:rsid w:val="009B7235"/>
    <w:rsid w:val="009C11CB"/>
    <w:rsid w:val="009C2F5E"/>
    <w:rsid w:val="009C3D3E"/>
    <w:rsid w:val="009C644C"/>
    <w:rsid w:val="009C7848"/>
    <w:rsid w:val="009D0308"/>
    <w:rsid w:val="009D2D3F"/>
    <w:rsid w:val="009E1BFF"/>
    <w:rsid w:val="009E246C"/>
    <w:rsid w:val="009E486C"/>
    <w:rsid w:val="009E603E"/>
    <w:rsid w:val="009F7DCE"/>
    <w:rsid w:val="00A0087C"/>
    <w:rsid w:val="00A01B14"/>
    <w:rsid w:val="00A026AB"/>
    <w:rsid w:val="00A03C6C"/>
    <w:rsid w:val="00A0607E"/>
    <w:rsid w:val="00A07050"/>
    <w:rsid w:val="00A11333"/>
    <w:rsid w:val="00A1168D"/>
    <w:rsid w:val="00A119A0"/>
    <w:rsid w:val="00A12F54"/>
    <w:rsid w:val="00A37B75"/>
    <w:rsid w:val="00A41A55"/>
    <w:rsid w:val="00A44018"/>
    <w:rsid w:val="00A45589"/>
    <w:rsid w:val="00A526FF"/>
    <w:rsid w:val="00A53568"/>
    <w:rsid w:val="00A55886"/>
    <w:rsid w:val="00A65DE7"/>
    <w:rsid w:val="00A67B84"/>
    <w:rsid w:val="00A67E22"/>
    <w:rsid w:val="00A70F0F"/>
    <w:rsid w:val="00A70F48"/>
    <w:rsid w:val="00A7238C"/>
    <w:rsid w:val="00A81B70"/>
    <w:rsid w:val="00A823F2"/>
    <w:rsid w:val="00A8266F"/>
    <w:rsid w:val="00A82CD0"/>
    <w:rsid w:val="00A8587E"/>
    <w:rsid w:val="00A954CB"/>
    <w:rsid w:val="00A95F68"/>
    <w:rsid w:val="00A963C6"/>
    <w:rsid w:val="00A96539"/>
    <w:rsid w:val="00A97048"/>
    <w:rsid w:val="00A971C8"/>
    <w:rsid w:val="00A979C3"/>
    <w:rsid w:val="00AA042C"/>
    <w:rsid w:val="00AA4A99"/>
    <w:rsid w:val="00AA7D13"/>
    <w:rsid w:val="00AB2C23"/>
    <w:rsid w:val="00AB5F89"/>
    <w:rsid w:val="00AC5A95"/>
    <w:rsid w:val="00AC5F81"/>
    <w:rsid w:val="00AD1D18"/>
    <w:rsid w:val="00AD3899"/>
    <w:rsid w:val="00AD7D57"/>
    <w:rsid w:val="00AE3882"/>
    <w:rsid w:val="00AE530E"/>
    <w:rsid w:val="00AE6962"/>
    <w:rsid w:val="00AE78AC"/>
    <w:rsid w:val="00AF0650"/>
    <w:rsid w:val="00AF1B0E"/>
    <w:rsid w:val="00AF374A"/>
    <w:rsid w:val="00AF39F6"/>
    <w:rsid w:val="00AF75B0"/>
    <w:rsid w:val="00B04050"/>
    <w:rsid w:val="00B0456C"/>
    <w:rsid w:val="00B07642"/>
    <w:rsid w:val="00B115DD"/>
    <w:rsid w:val="00B119D7"/>
    <w:rsid w:val="00B21A28"/>
    <w:rsid w:val="00B23814"/>
    <w:rsid w:val="00B31465"/>
    <w:rsid w:val="00B369F7"/>
    <w:rsid w:val="00B418FC"/>
    <w:rsid w:val="00B43332"/>
    <w:rsid w:val="00B51818"/>
    <w:rsid w:val="00B51B68"/>
    <w:rsid w:val="00B5751A"/>
    <w:rsid w:val="00B66F50"/>
    <w:rsid w:val="00B71DBD"/>
    <w:rsid w:val="00B75AC4"/>
    <w:rsid w:val="00B8243B"/>
    <w:rsid w:val="00B82503"/>
    <w:rsid w:val="00B838AC"/>
    <w:rsid w:val="00B86074"/>
    <w:rsid w:val="00B878BC"/>
    <w:rsid w:val="00B87E85"/>
    <w:rsid w:val="00B946B8"/>
    <w:rsid w:val="00BA13E2"/>
    <w:rsid w:val="00BA2E5A"/>
    <w:rsid w:val="00BA35D3"/>
    <w:rsid w:val="00BA583E"/>
    <w:rsid w:val="00BB19CA"/>
    <w:rsid w:val="00BB2F0C"/>
    <w:rsid w:val="00BC189E"/>
    <w:rsid w:val="00BC1E70"/>
    <w:rsid w:val="00BC52C0"/>
    <w:rsid w:val="00BC6C34"/>
    <w:rsid w:val="00BC7B1E"/>
    <w:rsid w:val="00BD685C"/>
    <w:rsid w:val="00BE0144"/>
    <w:rsid w:val="00BE093A"/>
    <w:rsid w:val="00BE0CD7"/>
    <w:rsid w:val="00BE1DF3"/>
    <w:rsid w:val="00BE3BFA"/>
    <w:rsid w:val="00BE4266"/>
    <w:rsid w:val="00BE4CF4"/>
    <w:rsid w:val="00BE6A40"/>
    <w:rsid w:val="00BF5D86"/>
    <w:rsid w:val="00BF63CE"/>
    <w:rsid w:val="00C03963"/>
    <w:rsid w:val="00C03A19"/>
    <w:rsid w:val="00C03E38"/>
    <w:rsid w:val="00C11A87"/>
    <w:rsid w:val="00C12FE0"/>
    <w:rsid w:val="00C22D90"/>
    <w:rsid w:val="00C23447"/>
    <w:rsid w:val="00C23B4E"/>
    <w:rsid w:val="00C308E3"/>
    <w:rsid w:val="00C32245"/>
    <w:rsid w:val="00C333ED"/>
    <w:rsid w:val="00C338C8"/>
    <w:rsid w:val="00C3497C"/>
    <w:rsid w:val="00C40AC8"/>
    <w:rsid w:val="00C41B15"/>
    <w:rsid w:val="00C43995"/>
    <w:rsid w:val="00C44860"/>
    <w:rsid w:val="00C46FC9"/>
    <w:rsid w:val="00C47AA7"/>
    <w:rsid w:val="00C5184E"/>
    <w:rsid w:val="00C5794C"/>
    <w:rsid w:val="00C631CF"/>
    <w:rsid w:val="00C63AF0"/>
    <w:rsid w:val="00C66DA2"/>
    <w:rsid w:val="00C70CE1"/>
    <w:rsid w:val="00C71FB0"/>
    <w:rsid w:val="00C76E45"/>
    <w:rsid w:val="00C927A2"/>
    <w:rsid w:val="00C954CD"/>
    <w:rsid w:val="00CA73C3"/>
    <w:rsid w:val="00CB3518"/>
    <w:rsid w:val="00CB4823"/>
    <w:rsid w:val="00CB4B4E"/>
    <w:rsid w:val="00CB700D"/>
    <w:rsid w:val="00CC08BE"/>
    <w:rsid w:val="00CC372E"/>
    <w:rsid w:val="00CC3F88"/>
    <w:rsid w:val="00CD3F7E"/>
    <w:rsid w:val="00CD7F60"/>
    <w:rsid w:val="00CF1994"/>
    <w:rsid w:val="00CF209B"/>
    <w:rsid w:val="00CF48BD"/>
    <w:rsid w:val="00D019B0"/>
    <w:rsid w:val="00D048BE"/>
    <w:rsid w:val="00D06B13"/>
    <w:rsid w:val="00D1221E"/>
    <w:rsid w:val="00D1295A"/>
    <w:rsid w:val="00D1551E"/>
    <w:rsid w:val="00D16037"/>
    <w:rsid w:val="00D17354"/>
    <w:rsid w:val="00D21592"/>
    <w:rsid w:val="00D24719"/>
    <w:rsid w:val="00D2484E"/>
    <w:rsid w:val="00D24F86"/>
    <w:rsid w:val="00D26B2E"/>
    <w:rsid w:val="00D26F67"/>
    <w:rsid w:val="00D4362C"/>
    <w:rsid w:val="00D4572D"/>
    <w:rsid w:val="00D51618"/>
    <w:rsid w:val="00D52752"/>
    <w:rsid w:val="00D52AAF"/>
    <w:rsid w:val="00D5387E"/>
    <w:rsid w:val="00D60E53"/>
    <w:rsid w:val="00D60F13"/>
    <w:rsid w:val="00D614B6"/>
    <w:rsid w:val="00D62E07"/>
    <w:rsid w:val="00D64CDA"/>
    <w:rsid w:val="00D70E55"/>
    <w:rsid w:val="00D71097"/>
    <w:rsid w:val="00D72084"/>
    <w:rsid w:val="00D73ACE"/>
    <w:rsid w:val="00D813FD"/>
    <w:rsid w:val="00D837F7"/>
    <w:rsid w:val="00D84512"/>
    <w:rsid w:val="00D87C8F"/>
    <w:rsid w:val="00D90DF4"/>
    <w:rsid w:val="00D94846"/>
    <w:rsid w:val="00D9696D"/>
    <w:rsid w:val="00DA32FA"/>
    <w:rsid w:val="00DA66B2"/>
    <w:rsid w:val="00DA6821"/>
    <w:rsid w:val="00DB031B"/>
    <w:rsid w:val="00DB0E17"/>
    <w:rsid w:val="00DB22C1"/>
    <w:rsid w:val="00DC27A8"/>
    <w:rsid w:val="00DC5F42"/>
    <w:rsid w:val="00DD00B9"/>
    <w:rsid w:val="00DD1FD3"/>
    <w:rsid w:val="00DE19EB"/>
    <w:rsid w:val="00DE333D"/>
    <w:rsid w:val="00DE3650"/>
    <w:rsid w:val="00DE40F4"/>
    <w:rsid w:val="00E00A01"/>
    <w:rsid w:val="00E00F1D"/>
    <w:rsid w:val="00E016D8"/>
    <w:rsid w:val="00E01CEE"/>
    <w:rsid w:val="00E03C9C"/>
    <w:rsid w:val="00E0627A"/>
    <w:rsid w:val="00E105C3"/>
    <w:rsid w:val="00E116FA"/>
    <w:rsid w:val="00E139DF"/>
    <w:rsid w:val="00E15186"/>
    <w:rsid w:val="00E15599"/>
    <w:rsid w:val="00E175E7"/>
    <w:rsid w:val="00E2172B"/>
    <w:rsid w:val="00E252E7"/>
    <w:rsid w:val="00E271FB"/>
    <w:rsid w:val="00E32F45"/>
    <w:rsid w:val="00E348FF"/>
    <w:rsid w:val="00E35431"/>
    <w:rsid w:val="00E65853"/>
    <w:rsid w:val="00E6704F"/>
    <w:rsid w:val="00E70ACD"/>
    <w:rsid w:val="00E73310"/>
    <w:rsid w:val="00E73941"/>
    <w:rsid w:val="00E74348"/>
    <w:rsid w:val="00E7471B"/>
    <w:rsid w:val="00E775BE"/>
    <w:rsid w:val="00E80540"/>
    <w:rsid w:val="00E826F5"/>
    <w:rsid w:val="00E835DE"/>
    <w:rsid w:val="00E8399D"/>
    <w:rsid w:val="00E85C22"/>
    <w:rsid w:val="00E864BE"/>
    <w:rsid w:val="00E86BA4"/>
    <w:rsid w:val="00E90D8E"/>
    <w:rsid w:val="00E92612"/>
    <w:rsid w:val="00E96956"/>
    <w:rsid w:val="00EA174E"/>
    <w:rsid w:val="00EB12C0"/>
    <w:rsid w:val="00EC2EA5"/>
    <w:rsid w:val="00EC3F38"/>
    <w:rsid w:val="00EC44E2"/>
    <w:rsid w:val="00EC624B"/>
    <w:rsid w:val="00EC7B30"/>
    <w:rsid w:val="00ED1C11"/>
    <w:rsid w:val="00ED39F1"/>
    <w:rsid w:val="00ED523D"/>
    <w:rsid w:val="00ED5EBD"/>
    <w:rsid w:val="00ED70DC"/>
    <w:rsid w:val="00ED7D7B"/>
    <w:rsid w:val="00EE2003"/>
    <w:rsid w:val="00EE2030"/>
    <w:rsid w:val="00EE2E59"/>
    <w:rsid w:val="00EE7DA4"/>
    <w:rsid w:val="00EF3463"/>
    <w:rsid w:val="00F03451"/>
    <w:rsid w:val="00F12F05"/>
    <w:rsid w:val="00F14958"/>
    <w:rsid w:val="00F219C3"/>
    <w:rsid w:val="00F228CB"/>
    <w:rsid w:val="00F24384"/>
    <w:rsid w:val="00F30C9D"/>
    <w:rsid w:val="00F3375B"/>
    <w:rsid w:val="00F36A76"/>
    <w:rsid w:val="00F44D9A"/>
    <w:rsid w:val="00F46EFA"/>
    <w:rsid w:val="00F5123B"/>
    <w:rsid w:val="00F519F8"/>
    <w:rsid w:val="00F645F7"/>
    <w:rsid w:val="00F70DEF"/>
    <w:rsid w:val="00F723E7"/>
    <w:rsid w:val="00F74583"/>
    <w:rsid w:val="00F747FF"/>
    <w:rsid w:val="00F752BA"/>
    <w:rsid w:val="00F75340"/>
    <w:rsid w:val="00F761CE"/>
    <w:rsid w:val="00F76852"/>
    <w:rsid w:val="00F76FA5"/>
    <w:rsid w:val="00F77410"/>
    <w:rsid w:val="00F77B37"/>
    <w:rsid w:val="00F85074"/>
    <w:rsid w:val="00F8602E"/>
    <w:rsid w:val="00F908E3"/>
    <w:rsid w:val="00F90A15"/>
    <w:rsid w:val="00F92347"/>
    <w:rsid w:val="00F934B8"/>
    <w:rsid w:val="00F93BD9"/>
    <w:rsid w:val="00F94299"/>
    <w:rsid w:val="00F94388"/>
    <w:rsid w:val="00FA1199"/>
    <w:rsid w:val="00FA421A"/>
    <w:rsid w:val="00FA4515"/>
    <w:rsid w:val="00FA50D0"/>
    <w:rsid w:val="00FA7EF1"/>
    <w:rsid w:val="00FB4FE9"/>
    <w:rsid w:val="00FB6D81"/>
    <w:rsid w:val="00FC03A5"/>
    <w:rsid w:val="00FC1F63"/>
    <w:rsid w:val="00FC2F85"/>
    <w:rsid w:val="00FC3894"/>
    <w:rsid w:val="00FC585E"/>
    <w:rsid w:val="00FC7D69"/>
    <w:rsid w:val="00FD31EF"/>
    <w:rsid w:val="00FD4621"/>
    <w:rsid w:val="00FE3C61"/>
    <w:rsid w:val="00FE4944"/>
    <w:rsid w:val="00FE49B9"/>
    <w:rsid w:val="00FE5F3F"/>
    <w:rsid w:val="00FF108D"/>
    <w:rsid w:val="00FF1948"/>
    <w:rsid w:val="00FF5261"/>
    <w:rsid w:val="00FF5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9C3"/>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9C3"/>
    <w:pPr>
      <w:tabs>
        <w:tab w:val="center" w:pos="4320"/>
        <w:tab w:val="right" w:pos="8640"/>
      </w:tabs>
    </w:pPr>
  </w:style>
  <w:style w:type="paragraph" w:styleId="Footer">
    <w:name w:val="footer"/>
    <w:basedOn w:val="Normal"/>
    <w:rsid w:val="00F219C3"/>
    <w:pPr>
      <w:tabs>
        <w:tab w:val="center" w:pos="4320"/>
        <w:tab w:val="right" w:pos="8640"/>
      </w:tabs>
    </w:pPr>
  </w:style>
  <w:style w:type="table" w:styleId="TableGrid">
    <w:name w:val="Table Grid"/>
    <w:basedOn w:val="TableNormal"/>
    <w:rsid w:val="00A1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19C3"/>
  </w:style>
  <w:style w:type="paragraph" w:styleId="BodyText">
    <w:name w:val="Body Text"/>
    <w:basedOn w:val="Normal"/>
    <w:rsid w:val="00FE5F3F"/>
    <w:pPr>
      <w:pBdr>
        <w:left w:val="double" w:sz="12" w:space="0" w:color="auto"/>
        <w:bottom w:val="double" w:sz="12" w:space="1" w:color="auto"/>
        <w:right w:val="double" w:sz="12" w:space="1" w:color="auto"/>
      </w:pBdr>
    </w:pPr>
    <w:rPr>
      <w:rFonts w:ascii=".VnAvantH" w:hAnsi=".VnAvantH"/>
      <w:b/>
      <w:color w:val="000000"/>
      <w:sz w:val="20"/>
      <w:szCs w:val="20"/>
      <w:lang w:val="en-GB"/>
    </w:rPr>
  </w:style>
  <w:style w:type="paragraph" w:styleId="BalloonText">
    <w:name w:val="Balloon Text"/>
    <w:basedOn w:val="Normal"/>
    <w:semiHidden/>
    <w:rsid w:val="00264876"/>
    <w:rPr>
      <w:rFonts w:ascii="Tahoma" w:hAnsi="Tahoma" w:cs="Tahoma"/>
      <w:sz w:val="16"/>
      <w:szCs w:val="16"/>
    </w:rPr>
  </w:style>
  <w:style w:type="paragraph" w:styleId="BodyText2">
    <w:name w:val="Body Text 2"/>
    <w:basedOn w:val="Normal"/>
    <w:rsid w:val="007F5C07"/>
    <w:pPr>
      <w:spacing w:after="120" w:line="480" w:lineRule="auto"/>
    </w:pPr>
  </w:style>
  <w:style w:type="paragraph" w:customStyle="1" w:styleId="NTPheader">
    <w:name w:val="NTP header"/>
    <w:basedOn w:val="Header"/>
    <w:rsid w:val="006E76BF"/>
    <w:pPr>
      <w:tabs>
        <w:tab w:val="clear" w:pos="4320"/>
        <w:tab w:val="clear" w:pos="8640"/>
        <w:tab w:val="center" w:pos="4680"/>
        <w:tab w:val="right" w:pos="9360"/>
      </w:tabs>
      <w:ind w:left="270" w:firstLine="1710"/>
    </w:pPr>
    <w:rPr>
      <w:rFonts w:ascii="VNI-Helve-Condense" w:eastAsia="Calibri" w:hAnsi="VNI-Helve-Condense"/>
      <w:b/>
      <w:noProof/>
      <w:color w:val="FF0000"/>
      <w:sz w:val="26"/>
      <w:szCs w:val="26"/>
    </w:rPr>
  </w:style>
  <w:style w:type="character" w:styleId="Hyperlink">
    <w:name w:val="Hyperlink"/>
    <w:basedOn w:val="DefaultParagraphFont"/>
    <w:rsid w:val="00617E19"/>
    <w:rPr>
      <w:color w:val="0000FF"/>
      <w:u w:val="single"/>
    </w:rPr>
  </w:style>
  <w:style w:type="paragraph" w:styleId="ListParagraph">
    <w:name w:val="List Paragraph"/>
    <w:basedOn w:val="Normal"/>
    <w:uiPriority w:val="34"/>
    <w:qFormat/>
    <w:rsid w:val="00140C5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9C3"/>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19C3"/>
    <w:pPr>
      <w:tabs>
        <w:tab w:val="center" w:pos="4320"/>
        <w:tab w:val="right" w:pos="8640"/>
      </w:tabs>
    </w:pPr>
  </w:style>
  <w:style w:type="paragraph" w:styleId="Footer">
    <w:name w:val="footer"/>
    <w:basedOn w:val="Normal"/>
    <w:rsid w:val="00F219C3"/>
    <w:pPr>
      <w:tabs>
        <w:tab w:val="center" w:pos="4320"/>
        <w:tab w:val="right" w:pos="8640"/>
      </w:tabs>
    </w:pPr>
  </w:style>
  <w:style w:type="table" w:styleId="TableGrid">
    <w:name w:val="Table Grid"/>
    <w:basedOn w:val="TableNormal"/>
    <w:rsid w:val="00A1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19C3"/>
  </w:style>
  <w:style w:type="paragraph" w:styleId="BodyText">
    <w:name w:val="Body Text"/>
    <w:basedOn w:val="Normal"/>
    <w:rsid w:val="00FE5F3F"/>
    <w:pPr>
      <w:pBdr>
        <w:left w:val="double" w:sz="12" w:space="0" w:color="auto"/>
        <w:bottom w:val="double" w:sz="12" w:space="1" w:color="auto"/>
        <w:right w:val="double" w:sz="12" w:space="1" w:color="auto"/>
      </w:pBdr>
    </w:pPr>
    <w:rPr>
      <w:rFonts w:ascii=".VnAvantH" w:hAnsi=".VnAvantH"/>
      <w:b/>
      <w:color w:val="000000"/>
      <w:sz w:val="20"/>
      <w:szCs w:val="20"/>
      <w:lang w:val="en-GB"/>
    </w:rPr>
  </w:style>
  <w:style w:type="paragraph" w:styleId="BalloonText">
    <w:name w:val="Balloon Text"/>
    <w:basedOn w:val="Normal"/>
    <w:semiHidden/>
    <w:rsid w:val="00264876"/>
    <w:rPr>
      <w:rFonts w:ascii="Tahoma" w:hAnsi="Tahoma" w:cs="Tahoma"/>
      <w:sz w:val="16"/>
      <w:szCs w:val="16"/>
    </w:rPr>
  </w:style>
  <w:style w:type="paragraph" w:styleId="BodyText2">
    <w:name w:val="Body Text 2"/>
    <w:basedOn w:val="Normal"/>
    <w:rsid w:val="007F5C07"/>
    <w:pPr>
      <w:spacing w:after="120" w:line="480" w:lineRule="auto"/>
    </w:pPr>
  </w:style>
  <w:style w:type="paragraph" w:customStyle="1" w:styleId="NTPheader">
    <w:name w:val="NTP header"/>
    <w:basedOn w:val="Header"/>
    <w:rsid w:val="006E76BF"/>
    <w:pPr>
      <w:tabs>
        <w:tab w:val="clear" w:pos="4320"/>
        <w:tab w:val="clear" w:pos="8640"/>
        <w:tab w:val="center" w:pos="4680"/>
        <w:tab w:val="right" w:pos="9360"/>
      </w:tabs>
      <w:ind w:left="270" w:firstLine="1710"/>
    </w:pPr>
    <w:rPr>
      <w:rFonts w:ascii="VNI-Helve-Condense" w:eastAsia="Calibri" w:hAnsi="VNI-Helve-Condense"/>
      <w:b/>
      <w:noProof/>
      <w:color w:val="FF0000"/>
      <w:sz w:val="26"/>
      <w:szCs w:val="26"/>
    </w:rPr>
  </w:style>
  <w:style w:type="character" w:styleId="Hyperlink">
    <w:name w:val="Hyperlink"/>
    <w:basedOn w:val="DefaultParagraphFont"/>
    <w:rsid w:val="00617E19"/>
    <w:rPr>
      <w:color w:val="0000FF"/>
      <w:u w:val="single"/>
    </w:rPr>
  </w:style>
  <w:style w:type="paragraph" w:styleId="ListParagraph">
    <w:name w:val="List Paragraph"/>
    <w:basedOn w:val="Normal"/>
    <w:uiPriority w:val="34"/>
    <w:qFormat/>
    <w:rsid w:val="00140C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3227">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1540164270">
      <w:bodyDiv w:val="1"/>
      <w:marLeft w:val="0"/>
      <w:marRight w:val="0"/>
      <w:marTop w:val="0"/>
      <w:marBottom w:val="0"/>
      <w:divBdr>
        <w:top w:val="none" w:sz="0" w:space="0" w:color="auto"/>
        <w:left w:val="none" w:sz="0" w:space="0" w:color="auto"/>
        <w:bottom w:val="none" w:sz="0" w:space="0" w:color="auto"/>
        <w:right w:val="none" w:sz="0" w:space="0" w:color="auto"/>
      </w:divBdr>
    </w:div>
    <w:div w:id="1829787748">
      <w:bodyDiv w:val="1"/>
      <w:marLeft w:val="0"/>
      <w:marRight w:val="0"/>
      <w:marTop w:val="0"/>
      <w:marBottom w:val="0"/>
      <w:divBdr>
        <w:top w:val="none" w:sz="0" w:space="0" w:color="auto"/>
        <w:left w:val="none" w:sz="0" w:space="0" w:color="auto"/>
        <w:bottom w:val="none" w:sz="0" w:space="0" w:color="auto"/>
        <w:right w:val="none" w:sz="0" w:space="0" w:color="auto"/>
      </w:divBdr>
    </w:div>
    <w:div w:id="20552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Céng hoµ x• héi chñ nghiaViÖt nam</vt:lpstr>
    </vt:vector>
  </TitlesOfParts>
  <Company>construcsion</Company>
  <LinksUpToDate>false</LinksUpToDate>
  <CharactersWithSpaces>20503</CharactersWithSpaces>
  <SharedDoc>false</SharedDoc>
  <HLinks>
    <vt:vector size="6" baseType="variant">
      <vt:variant>
        <vt:i4>24</vt:i4>
      </vt:variant>
      <vt:variant>
        <vt:i4>0</vt:i4>
      </vt:variant>
      <vt:variant>
        <vt:i4>0</vt:i4>
      </vt:variant>
      <vt:variant>
        <vt:i4>5</vt:i4>
      </vt:variant>
      <vt:variant>
        <vt:lpwstr>http://www.nhuatienphong.vn/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nghiaViÖt nam</dc:title>
  <dc:creator>Chi Huong</dc:creator>
  <cp:lastModifiedBy>User</cp:lastModifiedBy>
  <cp:revision>20</cp:revision>
  <cp:lastPrinted>2015-03-23T08:40:00Z</cp:lastPrinted>
  <dcterms:created xsi:type="dcterms:W3CDTF">2015-03-19T06:42:00Z</dcterms:created>
  <dcterms:modified xsi:type="dcterms:W3CDTF">2015-03-23T08:40:00Z</dcterms:modified>
</cp:coreProperties>
</file>