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2" w:type="dxa"/>
        <w:tblInd w:w="108" w:type="dxa"/>
        <w:tblLook w:val="0000"/>
      </w:tblPr>
      <w:tblGrid>
        <w:gridCol w:w="1368"/>
        <w:gridCol w:w="3222"/>
        <w:gridCol w:w="5382"/>
      </w:tblGrid>
      <w:tr w:rsidR="00E275BE" w:rsidRPr="00313D01" w:rsidTr="00DC5413">
        <w:tc>
          <w:tcPr>
            <w:tcW w:w="1368" w:type="dxa"/>
          </w:tcPr>
          <w:p w:rsidR="00E275BE" w:rsidRPr="00DE4BA8" w:rsidRDefault="00E275BE" w:rsidP="00DC5413">
            <w:pPr>
              <w:pStyle w:val="Heading2"/>
              <w:spacing w:before="0" w:after="0"/>
              <w:rPr>
                <w:rFonts w:ascii="Times New Roman" w:hAnsi="Times New Roman"/>
                <w:sz w:val="24"/>
                <w:szCs w:val="24"/>
              </w:rPr>
            </w:pPr>
            <w:r>
              <w:rPr>
                <w:rFonts w:ascii="Times New Roman" w:hAnsi="Times New Roman"/>
                <w:noProof/>
                <w:sz w:val="24"/>
                <w:szCs w:val="24"/>
              </w:rPr>
              <w:drawing>
                <wp:inline distT="0" distB="0" distL="0" distR="0">
                  <wp:extent cx="6572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7225" cy="571500"/>
                          </a:xfrm>
                          <a:prstGeom prst="rect">
                            <a:avLst/>
                          </a:prstGeom>
                          <a:noFill/>
                          <a:ln w="9525">
                            <a:noFill/>
                            <a:miter lim="800000"/>
                            <a:headEnd/>
                            <a:tailEnd/>
                          </a:ln>
                        </pic:spPr>
                      </pic:pic>
                    </a:graphicData>
                  </a:graphic>
                </wp:inline>
              </w:drawing>
            </w:r>
          </w:p>
        </w:tc>
        <w:tc>
          <w:tcPr>
            <w:tcW w:w="3222" w:type="dxa"/>
          </w:tcPr>
          <w:p w:rsidR="00E275BE" w:rsidRPr="00DE4BA8" w:rsidRDefault="00E275BE" w:rsidP="00DC5413">
            <w:pPr>
              <w:pStyle w:val="Heading2"/>
              <w:spacing w:before="0" w:after="0"/>
              <w:jc w:val="center"/>
              <w:rPr>
                <w:rFonts w:ascii="Times New Roman" w:hAnsi="Times New Roman"/>
                <w:bCs w:val="0"/>
                <w:i w:val="0"/>
                <w:sz w:val="24"/>
                <w:szCs w:val="24"/>
              </w:rPr>
            </w:pPr>
            <w:r w:rsidRPr="00DE4BA8">
              <w:rPr>
                <w:rFonts w:ascii="Times New Roman" w:hAnsi="Times New Roman"/>
                <w:bCs w:val="0"/>
                <w:i w:val="0"/>
                <w:sz w:val="24"/>
                <w:szCs w:val="24"/>
              </w:rPr>
              <w:t>CÔNG TY CỔ PHẦN</w:t>
            </w:r>
          </w:p>
          <w:p w:rsidR="00E275BE" w:rsidRPr="00DE4BA8" w:rsidRDefault="00E275BE" w:rsidP="00DC5413">
            <w:pPr>
              <w:pStyle w:val="Heading2"/>
              <w:spacing w:before="0" w:after="0"/>
              <w:jc w:val="center"/>
              <w:rPr>
                <w:rFonts w:ascii="Times New Roman" w:hAnsi="Times New Roman"/>
                <w:i w:val="0"/>
                <w:iCs w:val="0"/>
                <w:sz w:val="24"/>
                <w:szCs w:val="24"/>
              </w:rPr>
            </w:pPr>
            <w:r w:rsidRPr="00DE4BA8">
              <w:rPr>
                <w:rFonts w:ascii="Times New Roman" w:hAnsi="Times New Roman"/>
                <w:i w:val="0"/>
                <w:sz w:val="24"/>
                <w:szCs w:val="24"/>
              </w:rPr>
              <w:t>ĐẦU TƯ VÀ XÂY DỰNG</w:t>
            </w:r>
            <w:r w:rsidRPr="00DE4BA8">
              <w:rPr>
                <w:rFonts w:ascii="Times New Roman" w:hAnsi="Times New Roman"/>
                <w:b w:val="0"/>
                <w:bCs w:val="0"/>
                <w:i w:val="0"/>
                <w:sz w:val="24"/>
                <w:szCs w:val="24"/>
              </w:rPr>
              <w:t xml:space="preserve"> </w:t>
            </w:r>
            <w:r w:rsidRPr="00DE4BA8">
              <w:rPr>
                <w:rFonts w:ascii="Times New Roman" w:hAnsi="Times New Roman"/>
                <w:i w:val="0"/>
                <w:sz w:val="24"/>
                <w:szCs w:val="24"/>
              </w:rPr>
              <w:t>THÀNH NAM</w:t>
            </w:r>
          </w:p>
          <w:p w:rsidR="00E275BE" w:rsidRPr="00DE4BA8" w:rsidRDefault="00E275BE" w:rsidP="00DC5413">
            <w:pPr>
              <w:pStyle w:val="Heading3"/>
              <w:spacing w:before="0" w:after="0"/>
              <w:jc w:val="center"/>
              <w:rPr>
                <w:rFonts w:ascii="Times New Roman" w:hAnsi="Times New Roman"/>
                <w:sz w:val="24"/>
                <w:szCs w:val="24"/>
              </w:rPr>
            </w:pPr>
            <w:r w:rsidRPr="00DE4BA8">
              <w:rPr>
                <w:rFonts w:ascii="Times New Roman" w:hAnsi="Times New Roman"/>
                <w:sz w:val="24"/>
                <w:szCs w:val="24"/>
              </w:rPr>
              <w:t>COTANA.,JSC</w:t>
            </w:r>
          </w:p>
          <w:p w:rsidR="00E275BE" w:rsidRPr="00DE4BA8" w:rsidRDefault="009319A0" w:rsidP="00DC5413">
            <w:pPr>
              <w:pStyle w:val="Heading9"/>
              <w:spacing w:before="0" w:after="0"/>
              <w:ind w:left="1584" w:hanging="1584"/>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0.25pt;margin-top:2.6pt;width:67.6pt;height:0;z-index:251661312" o:connectortype="straight" strokeweight=".5pt"/>
              </w:pict>
            </w:r>
          </w:p>
        </w:tc>
        <w:tc>
          <w:tcPr>
            <w:tcW w:w="5382" w:type="dxa"/>
          </w:tcPr>
          <w:p w:rsidR="00E275BE" w:rsidRPr="00DE4BA8" w:rsidRDefault="00E275BE" w:rsidP="00DC5413">
            <w:pPr>
              <w:pStyle w:val="Heading1"/>
              <w:spacing w:before="0" w:after="0"/>
              <w:ind w:left="-18" w:firstLine="18"/>
              <w:jc w:val="center"/>
              <w:rPr>
                <w:rFonts w:ascii="Times New Roman" w:hAnsi="Times New Roman"/>
                <w:sz w:val="24"/>
                <w:szCs w:val="24"/>
              </w:rPr>
            </w:pPr>
            <w:r w:rsidRPr="00DE4BA8">
              <w:rPr>
                <w:rFonts w:ascii="Times New Roman" w:hAnsi="Times New Roman"/>
                <w:sz w:val="24"/>
                <w:szCs w:val="24"/>
              </w:rPr>
              <w:t>CỘNG HOÀ XÃ HỘI CHỦ NGHĨA VIỆT NAM</w:t>
            </w:r>
          </w:p>
          <w:p w:rsidR="00E275BE" w:rsidRPr="0047766E" w:rsidRDefault="00E275BE" w:rsidP="00DC5413">
            <w:pPr>
              <w:jc w:val="center"/>
              <w:rPr>
                <w:rFonts w:ascii="Times New Roman" w:hAnsi="Times New Roman"/>
                <w:b/>
                <w:bCs/>
                <w:sz w:val="26"/>
                <w:szCs w:val="26"/>
              </w:rPr>
            </w:pPr>
            <w:r w:rsidRPr="0047766E">
              <w:rPr>
                <w:rFonts w:ascii="Times New Roman" w:hAnsi="Times New Roman"/>
                <w:b/>
                <w:bCs/>
                <w:sz w:val="26"/>
                <w:szCs w:val="26"/>
              </w:rPr>
              <w:t>Độc lập - Tự do -  Hạnh phúc</w:t>
            </w:r>
          </w:p>
          <w:p w:rsidR="00E275BE" w:rsidRPr="00DE4BA8" w:rsidRDefault="009319A0" w:rsidP="00DC5413">
            <w:pPr>
              <w:pStyle w:val="Heading2"/>
              <w:spacing w:before="0" w:after="0"/>
              <w:ind w:left="576"/>
              <w:rPr>
                <w:rFonts w:ascii="Times New Roman" w:hAnsi="Times New Roman"/>
                <w:sz w:val="24"/>
                <w:szCs w:val="24"/>
              </w:rPr>
            </w:pPr>
            <w:r w:rsidRPr="009319A0">
              <w:rPr>
                <w:rFonts w:ascii="Times New Roman" w:hAnsi="Times New Roman"/>
                <w:b w:val="0"/>
                <w:bCs w:val="0"/>
                <w:noProof/>
                <w:sz w:val="24"/>
                <w:szCs w:val="24"/>
              </w:rPr>
              <w:pict>
                <v:shape id="_x0000_s1026" type="#_x0000_t32" style="position:absolute;left:0;text-align:left;margin-left:63.05pt;margin-top:8.75pt;width:133.3pt;height:0;z-index:251660288" o:connectortype="straight" strokeweight=".5pt"/>
              </w:pict>
            </w:r>
            <w:r w:rsidR="00E275BE" w:rsidRPr="00DE4BA8">
              <w:rPr>
                <w:rFonts w:ascii="Times New Roman" w:hAnsi="Times New Roman"/>
                <w:b w:val="0"/>
                <w:bCs w:val="0"/>
                <w:sz w:val="24"/>
                <w:szCs w:val="24"/>
              </w:rPr>
              <w:t xml:space="preserve">                 </w:t>
            </w:r>
          </w:p>
        </w:tc>
      </w:tr>
      <w:tr w:rsidR="00E275BE" w:rsidRPr="00313D01" w:rsidTr="00DC5413">
        <w:tc>
          <w:tcPr>
            <w:tcW w:w="4590" w:type="dxa"/>
            <w:gridSpan w:val="2"/>
          </w:tcPr>
          <w:p w:rsidR="00E275BE" w:rsidRPr="00DE4BA8" w:rsidRDefault="00E275BE" w:rsidP="00DC5413">
            <w:pPr>
              <w:pStyle w:val="Heading2"/>
              <w:spacing w:before="0" w:after="0"/>
              <w:jc w:val="center"/>
              <w:rPr>
                <w:rFonts w:ascii="Times New Roman" w:hAnsi="Times New Roman"/>
                <w:b w:val="0"/>
                <w:bCs w:val="0"/>
                <w:i w:val="0"/>
                <w:sz w:val="24"/>
                <w:szCs w:val="24"/>
              </w:rPr>
            </w:pPr>
          </w:p>
        </w:tc>
        <w:tc>
          <w:tcPr>
            <w:tcW w:w="5382" w:type="dxa"/>
          </w:tcPr>
          <w:p w:rsidR="00E275BE" w:rsidRPr="00DE4BA8" w:rsidRDefault="00E275BE" w:rsidP="00DC5413">
            <w:pPr>
              <w:pStyle w:val="Heading1"/>
              <w:spacing w:before="0" w:after="0"/>
              <w:ind w:left="432"/>
              <w:rPr>
                <w:rFonts w:ascii="Times New Roman" w:hAnsi="Times New Roman"/>
                <w:b w:val="0"/>
                <w:i/>
                <w:sz w:val="24"/>
                <w:szCs w:val="24"/>
              </w:rPr>
            </w:pPr>
            <w:r w:rsidRPr="00DE4BA8">
              <w:rPr>
                <w:rFonts w:ascii="Times New Roman" w:hAnsi="Times New Roman"/>
                <w:b w:val="0"/>
                <w:i/>
                <w:sz w:val="24"/>
                <w:szCs w:val="24"/>
              </w:rPr>
              <w:t xml:space="preserve">                 Hà nội, ngày        tháng        năm 2015</w:t>
            </w:r>
          </w:p>
        </w:tc>
      </w:tr>
    </w:tbl>
    <w:p w:rsidR="00E275BE" w:rsidRDefault="00E275BE" w:rsidP="00E275BE">
      <w:pPr>
        <w:tabs>
          <w:tab w:val="left" w:pos="1080"/>
        </w:tabs>
        <w:spacing w:line="312" w:lineRule="auto"/>
        <w:ind w:right="180"/>
        <w:rPr>
          <w:rFonts w:ascii="Times New Roman" w:hAnsi="Times New Roman"/>
          <w:b/>
          <w:sz w:val="32"/>
          <w:szCs w:val="32"/>
        </w:rPr>
      </w:pPr>
    </w:p>
    <w:p w:rsidR="00E275BE" w:rsidRPr="00CB68E8" w:rsidRDefault="00E275BE" w:rsidP="00E275BE">
      <w:pPr>
        <w:spacing w:line="312" w:lineRule="auto"/>
        <w:ind w:right="180"/>
        <w:jc w:val="center"/>
        <w:rPr>
          <w:rFonts w:ascii="Times New Roman" w:hAnsi="Times New Roman"/>
          <w:b/>
          <w:sz w:val="32"/>
          <w:szCs w:val="32"/>
        </w:rPr>
      </w:pPr>
      <w:r w:rsidRPr="00CB68E8">
        <w:rPr>
          <w:rFonts w:ascii="Times New Roman" w:hAnsi="Times New Roman"/>
          <w:b/>
          <w:sz w:val="32"/>
          <w:szCs w:val="32"/>
        </w:rPr>
        <w:t xml:space="preserve"> TỜ TRÌNH </w:t>
      </w:r>
    </w:p>
    <w:p w:rsidR="00E275BE" w:rsidRPr="00CB68E8" w:rsidRDefault="00E275BE" w:rsidP="00E275BE">
      <w:pPr>
        <w:spacing w:line="312" w:lineRule="auto"/>
        <w:jc w:val="center"/>
        <w:rPr>
          <w:rFonts w:ascii="Times New Roman" w:hAnsi="Times New Roman"/>
          <w:b/>
          <w:sz w:val="32"/>
          <w:szCs w:val="32"/>
        </w:rPr>
      </w:pPr>
      <w:r w:rsidRPr="00CB68E8">
        <w:rPr>
          <w:rFonts w:ascii="Times New Roman" w:hAnsi="Times New Roman"/>
          <w:b/>
          <w:sz w:val="32"/>
          <w:szCs w:val="32"/>
        </w:rPr>
        <w:t xml:space="preserve">ĐẠI </w:t>
      </w:r>
      <w:r>
        <w:rPr>
          <w:rFonts w:ascii="Times New Roman" w:hAnsi="Times New Roman"/>
          <w:b/>
          <w:sz w:val="32"/>
          <w:szCs w:val="32"/>
        </w:rPr>
        <w:t>HỘI CỔ ĐÔNG THƯỜNG NIÊN NĂM 2015</w:t>
      </w:r>
    </w:p>
    <w:p w:rsidR="00E275BE" w:rsidRPr="00B87DF8" w:rsidRDefault="00E275BE" w:rsidP="00E275BE">
      <w:pPr>
        <w:spacing w:before="60" w:line="312" w:lineRule="auto"/>
        <w:jc w:val="center"/>
        <w:rPr>
          <w:rFonts w:ascii="Times New Roman" w:hAnsi="Times New Roman"/>
          <w:i/>
          <w:sz w:val="24"/>
          <w:szCs w:val="24"/>
        </w:rPr>
      </w:pPr>
      <w:r>
        <w:rPr>
          <w:rFonts w:ascii="Times New Roman" w:hAnsi="Times New Roman"/>
          <w:i/>
          <w:sz w:val="24"/>
          <w:szCs w:val="24"/>
        </w:rPr>
        <w:t>(</w:t>
      </w:r>
      <w:r w:rsidRPr="00B87DF8">
        <w:rPr>
          <w:rFonts w:ascii="Times New Roman" w:hAnsi="Times New Roman"/>
          <w:i/>
          <w:sz w:val="24"/>
          <w:szCs w:val="24"/>
        </w:rPr>
        <w:t xml:space="preserve">Do </w:t>
      </w:r>
      <w:r>
        <w:rPr>
          <w:rFonts w:ascii="Times New Roman" w:hAnsi="Times New Roman"/>
          <w:i/>
          <w:sz w:val="24"/>
          <w:szCs w:val="24"/>
        </w:rPr>
        <w:t>ông Hán Công Khanh</w:t>
      </w:r>
      <w:r w:rsidRPr="00B87DF8">
        <w:rPr>
          <w:rFonts w:ascii="Times New Roman" w:hAnsi="Times New Roman"/>
          <w:i/>
          <w:sz w:val="24"/>
          <w:szCs w:val="24"/>
        </w:rPr>
        <w:t xml:space="preserve"> -</w:t>
      </w:r>
      <w:r>
        <w:rPr>
          <w:rFonts w:ascii="Times New Roman" w:hAnsi="Times New Roman"/>
          <w:i/>
          <w:sz w:val="24"/>
          <w:szCs w:val="24"/>
        </w:rPr>
        <w:t xml:space="preserve"> Ủy viên Hội đồng </w:t>
      </w:r>
      <w:r w:rsidRPr="00B87DF8">
        <w:rPr>
          <w:rFonts w:ascii="Times New Roman" w:hAnsi="Times New Roman"/>
          <w:i/>
          <w:sz w:val="24"/>
          <w:szCs w:val="24"/>
        </w:rPr>
        <w:t>qu</w:t>
      </w:r>
      <w:r>
        <w:rPr>
          <w:rFonts w:ascii="Times New Roman" w:hAnsi="Times New Roman"/>
          <w:i/>
          <w:sz w:val="24"/>
          <w:szCs w:val="24"/>
        </w:rPr>
        <w:t xml:space="preserve">ản trị Công ty </w:t>
      </w:r>
      <w:r w:rsidRPr="00B87DF8">
        <w:rPr>
          <w:rFonts w:ascii="Times New Roman" w:hAnsi="Times New Roman"/>
          <w:i/>
          <w:sz w:val="24"/>
          <w:szCs w:val="24"/>
        </w:rPr>
        <w:t>trình bày)</w:t>
      </w:r>
    </w:p>
    <w:p w:rsidR="00E275BE" w:rsidRDefault="00E275BE" w:rsidP="00E275BE">
      <w:pPr>
        <w:spacing w:line="312" w:lineRule="auto"/>
        <w:ind w:right="187"/>
        <w:rPr>
          <w:rFonts w:ascii="Times New Roman" w:hAnsi="Times New Roman"/>
          <w:b/>
          <w:i/>
          <w:sz w:val="26"/>
          <w:szCs w:val="26"/>
        </w:rPr>
      </w:pPr>
    </w:p>
    <w:p w:rsidR="00E275BE" w:rsidRPr="00CB68E8" w:rsidRDefault="00E275BE" w:rsidP="00E275BE">
      <w:pPr>
        <w:spacing w:line="312" w:lineRule="auto"/>
        <w:jc w:val="center"/>
        <w:rPr>
          <w:rFonts w:ascii="Times New Roman" w:hAnsi="Times New Roman"/>
          <w:b/>
          <w:i/>
          <w:sz w:val="26"/>
          <w:szCs w:val="26"/>
        </w:rPr>
      </w:pPr>
      <w:r w:rsidRPr="00CB68E8">
        <w:rPr>
          <w:rFonts w:ascii="Times New Roman" w:hAnsi="Times New Roman"/>
          <w:b/>
          <w:i/>
          <w:sz w:val="26"/>
          <w:szCs w:val="26"/>
        </w:rPr>
        <w:t>Kính thưa: Đại hội Cổ đông Công ty Cổ phần Đầu tư và Xây dựng Thành Nam</w:t>
      </w:r>
    </w:p>
    <w:p w:rsidR="00E275BE" w:rsidRDefault="00E275BE" w:rsidP="00E275BE">
      <w:pPr>
        <w:spacing w:line="312" w:lineRule="auto"/>
        <w:ind w:right="187" w:firstLine="720"/>
        <w:jc w:val="both"/>
        <w:rPr>
          <w:rFonts w:ascii="Times New Roman" w:hAnsi="Times New Roman"/>
          <w:sz w:val="24"/>
          <w:szCs w:val="24"/>
        </w:rPr>
      </w:pPr>
    </w:p>
    <w:p w:rsidR="00E275BE" w:rsidRPr="00343838" w:rsidRDefault="00E275BE" w:rsidP="00E275BE">
      <w:pPr>
        <w:spacing w:line="312" w:lineRule="auto"/>
        <w:ind w:right="187" w:firstLine="720"/>
        <w:jc w:val="both"/>
        <w:rPr>
          <w:rFonts w:ascii="Times New Roman" w:hAnsi="Times New Roman"/>
          <w:sz w:val="26"/>
          <w:szCs w:val="26"/>
        </w:rPr>
      </w:pPr>
      <w:r w:rsidRPr="00343838">
        <w:rPr>
          <w:rFonts w:ascii="Times New Roman" w:hAnsi="Times New Roman"/>
          <w:sz w:val="26"/>
          <w:szCs w:val="26"/>
        </w:rPr>
        <w:t>Căn cứ:</w:t>
      </w:r>
    </w:p>
    <w:p w:rsidR="00E275BE" w:rsidRDefault="00E275BE" w:rsidP="00E275BE">
      <w:pPr>
        <w:pStyle w:val="ListParagraph"/>
        <w:numPr>
          <w:ilvl w:val="0"/>
          <w:numId w:val="1"/>
        </w:numPr>
        <w:spacing w:line="312" w:lineRule="auto"/>
        <w:ind w:left="990" w:right="187" w:hanging="270"/>
        <w:jc w:val="both"/>
        <w:rPr>
          <w:rFonts w:ascii="Times New Roman" w:hAnsi="Times New Roman"/>
          <w:i/>
          <w:sz w:val="26"/>
          <w:szCs w:val="26"/>
        </w:rPr>
      </w:pPr>
      <w:r w:rsidRPr="00F345C5">
        <w:rPr>
          <w:rFonts w:ascii="Times New Roman" w:hAnsi="Times New Roman"/>
          <w:i/>
          <w:sz w:val="26"/>
          <w:szCs w:val="26"/>
        </w:rPr>
        <w:t>Luật Doanh nghiệp năm 2005</w:t>
      </w:r>
    </w:p>
    <w:p w:rsidR="00E275BE" w:rsidRDefault="00E275BE" w:rsidP="00E275BE">
      <w:pPr>
        <w:pStyle w:val="ListParagraph"/>
        <w:numPr>
          <w:ilvl w:val="0"/>
          <w:numId w:val="1"/>
        </w:numPr>
        <w:spacing w:line="312" w:lineRule="auto"/>
        <w:ind w:left="990" w:hanging="270"/>
        <w:jc w:val="both"/>
        <w:rPr>
          <w:rFonts w:ascii="Times New Roman" w:hAnsi="Times New Roman"/>
          <w:i/>
          <w:sz w:val="26"/>
          <w:szCs w:val="26"/>
        </w:rPr>
      </w:pPr>
      <w:r w:rsidRPr="00084A27">
        <w:rPr>
          <w:rFonts w:ascii="Times New Roman" w:hAnsi="Times New Roman"/>
          <w:i/>
          <w:sz w:val="26"/>
          <w:szCs w:val="26"/>
        </w:rPr>
        <w:t xml:space="preserve">Điều lệ tổ chức hoạt động của Công ty Cổ phần Đầu tư và Xây dựng Thành Nam; </w:t>
      </w:r>
      <w:bookmarkStart w:id="0" w:name="OLE_LINK1"/>
    </w:p>
    <w:bookmarkEnd w:id="0"/>
    <w:p w:rsidR="00E275BE" w:rsidRPr="00B717B3" w:rsidRDefault="00E275BE" w:rsidP="00E275BE">
      <w:pPr>
        <w:spacing w:before="120" w:line="312" w:lineRule="auto"/>
        <w:ind w:firstLine="720"/>
        <w:jc w:val="both"/>
        <w:rPr>
          <w:rFonts w:ascii="Times New Roman" w:hAnsi="Times New Roman"/>
          <w:sz w:val="26"/>
          <w:szCs w:val="26"/>
        </w:rPr>
      </w:pPr>
      <w:r w:rsidRPr="00B717B3">
        <w:rPr>
          <w:rFonts w:ascii="Times New Roman" w:hAnsi="Times New Roman"/>
          <w:sz w:val="26"/>
          <w:szCs w:val="26"/>
        </w:rPr>
        <w:t xml:space="preserve">Hội đồng quản trị Công ty Cổ phần Đầu tư và Xây dựng Thành Nam </w:t>
      </w:r>
      <w:r>
        <w:rPr>
          <w:rFonts w:ascii="Times New Roman" w:hAnsi="Times New Roman"/>
          <w:sz w:val="26"/>
          <w:szCs w:val="26"/>
        </w:rPr>
        <w:t>kính trình</w:t>
      </w:r>
      <w:r w:rsidRPr="00B717B3">
        <w:rPr>
          <w:rFonts w:ascii="Times New Roman" w:hAnsi="Times New Roman"/>
          <w:sz w:val="26"/>
          <w:szCs w:val="26"/>
        </w:rPr>
        <w:t xml:space="preserve"> </w:t>
      </w:r>
      <w:r>
        <w:rPr>
          <w:rFonts w:ascii="Times New Roman" w:hAnsi="Times New Roman"/>
          <w:sz w:val="26"/>
          <w:szCs w:val="26"/>
        </w:rPr>
        <w:t xml:space="preserve">Đại hội </w:t>
      </w:r>
      <w:r w:rsidRPr="00B717B3">
        <w:rPr>
          <w:rFonts w:ascii="Times New Roman" w:hAnsi="Times New Roman"/>
          <w:sz w:val="26"/>
          <w:szCs w:val="26"/>
        </w:rPr>
        <w:t xml:space="preserve">Cổ đông </w:t>
      </w:r>
      <w:r>
        <w:rPr>
          <w:rFonts w:ascii="Times New Roman" w:hAnsi="Times New Roman"/>
          <w:sz w:val="26"/>
          <w:szCs w:val="26"/>
        </w:rPr>
        <w:t xml:space="preserve">xem xét và </w:t>
      </w:r>
      <w:r w:rsidRPr="00B717B3">
        <w:rPr>
          <w:rFonts w:ascii="Times New Roman" w:hAnsi="Times New Roman"/>
          <w:sz w:val="26"/>
          <w:szCs w:val="26"/>
        </w:rPr>
        <w:t>thông qua các nội dung sau:</w:t>
      </w:r>
    </w:p>
    <w:p w:rsidR="00E275BE" w:rsidRDefault="00E275BE" w:rsidP="00E275BE">
      <w:pPr>
        <w:tabs>
          <w:tab w:val="left" w:pos="9990"/>
        </w:tabs>
        <w:spacing w:before="240" w:after="120"/>
        <w:jc w:val="center"/>
        <w:rPr>
          <w:rFonts w:ascii="Times New Roman" w:hAnsi="Times New Roman"/>
          <w:b/>
          <w:sz w:val="26"/>
          <w:szCs w:val="26"/>
        </w:rPr>
      </w:pPr>
      <w:r w:rsidRPr="00B717B3">
        <w:rPr>
          <w:rFonts w:ascii="Times New Roman" w:hAnsi="Times New Roman"/>
          <w:b/>
          <w:sz w:val="26"/>
          <w:szCs w:val="26"/>
          <w:u w:val="single"/>
        </w:rPr>
        <w:t>Nội dung 1</w:t>
      </w:r>
      <w:r>
        <w:rPr>
          <w:rFonts w:ascii="Times New Roman" w:hAnsi="Times New Roman"/>
          <w:b/>
          <w:sz w:val="26"/>
          <w:szCs w:val="26"/>
          <w:u w:val="single"/>
        </w:rPr>
        <w:t>:</w:t>
      </w:r>
    </w:p>
    <w:p w:rsidR="00E275BE" w:rsidRPr="00362CFE" w:rsidRDefault="00E275BE" w:rsidP="00E275BE">
      <w:pPr>
        <w:spacing w:before="120" w:after="360"/>
        <w:jc w:val="center"/>
        <w:rPr>
          <w:rFonts w:ascii="Times New Roman" w:hAnsi="Times New Roman"/>
          <w:b/>
          <w:sz w:val="24"/>
          <w:szCs w:val="24"/>
        </w:rPr>
      </w:pPr>
      <w:r w:rsidRPr="00362CFE">
        <w:rPr>
          <w:rFonts w:ascii="Times New Roman" w:hAnsi="Times New Roman"/>
          <w:b/>
          <w:sz w:val="24"/>
          <w:szCs w:val="24"/>
        </w:rPr>
        <w:t>THÔNG QUA VIỆC LỰA CHỌN ĐƠN VỊ KIỂM TOÁN NĂM 2015</w:t>
      </w:r>
    </w:p>
    <w:p w:rsidR="00E275BE" w:rsidRDefault="00E275BE" w:rsidP="00E275BE">
      <w:pPr>
        <w:spacing w:before="60" w:line="312" w:lineRule="auto"/>
        <w:ind w:firstLine="720"/>
        <w:jc w:val="both"/>
        <w:rPr>
          <w:rFonts w:ascii="Times New Roman" w:hAnsi="Times New Roman"/>
          <w:sz w:val="26"/>
          <w:szCs w:val="26"/>
        </w:rPr>
      </w:pPr>
      <w:r w:rsidRPr="00313D01">
        <w:rPr>
          <w:rFonts w:ascii="Times New Roman" w:hAnsi="Times New Roman"/>
          <w:sz w:val="26"/>
          <w:szCs w:val="26"/>
        </w:rPr>
        <w:t xml:space="preserve">Tại điểm d khoản 2 Điều 14 của Điều lệ tổ chức Công ty Cổ phần Đầu tư và Xây dựng Thành Nam quy định: </w:t>
      </w:r>
      <w:r w:rsidRPr="00313D01">
        <w:rPr>
          <w:rFonts w:ascii="Times New Roman" w:hAnsi="Times New Roman"/>
          <w:i/>
          <w:sz w:val="26"/>
          <w:szCs w:val="26"/>
        </w:rPr>
        <w:t>“việc lựa chọn đơn vị kiểm toán phải được Đại hội cổ đông phê chuẩn”</w:t>
      </w:r>
      <w:r w:rsidRPr="00313D01">
        <w:rPr>
          <w:rFonts w:ascii="Times New Roman" w:hAnsi="Times New Roman"/>
          <w:sz w:val="26"/>
          <w:szCs w:val="26"/>
        </w:rPr>
        <w:t>. Vậy để chuẩn bị cho việc kiểm toán tài chính cho năm tài chính 2015, Hội đồng quản trị kính trình Đại hội cổ đông chấp thuận uỷ quyền cho Hội đồng quản trị căn cứ các tiêu chí chất lượng, uy tín đơn vị, giá chào cạnh tranh và sự hỗ trợ từ đơn vị kiểm toán đối với COTANA để chọn đơn vị thực hiện kiểm toán tài chính cho Công ty Cổ phần Đầu tư và Xây dựng Thành Nam trong năm 2015</w:t>
      </w:r>
      <w:r w:rsidRPr="00B717B3">
        <w:rPr>
          <w:rFonts w:ascii="Times New Roman" w:hAnsi="Times New Roman"/>
          <w:sz w:val="26"/>
          <w:szCs w:val="26"/>
        </w:rPr>
        <w:t>.</w:t>
      </w:r>
    </w:p>
    <w:p w:rsidR="00E275BE" w:rsidRDefault="00E275BE" w:rsidP="00E275BE">
      <w:pPr>
        <w:spacing w:before="240" w:after="120"/>
        <w:jc w:val="center"/>
        <w:rPr>
          <w:rFonts w:ascii="Times New Roman" w:hAnsi="Times New Roman"/>
          <w:b/>
          <w:sz w:val="26"/>
          <w:szCs w:val="26"/>
        </w:rPr>
      </w:pPr>
      <w:r w:rsidRPr="00B717B3">
        <w:rPr>
          <w:rFonts w:ascii="Times New Roman" w:hAnsi="Times New Roman"/>
          <w:b/>
          <w:sz w:val="26"/>
          <w:szCs w:val="26"/>
          <w:u w:val="single"/>
        </w:rPr>
        <w:t>Nội dung 2</w:t>
      </w:r>
      <w:r>
        <w:rPr>
          <w:rFonts w:ascii="Times New Roman" w:hAnsi="Times New Roman"/>
          <w:b/>
          <w:sz w:val="26"/>
          <w:szCs w:val="26"/>
          <w:u w:val="single"/>
        </w:rPr>
        <w:t>:</w:t>
      </w:r>
    </w:p>
    <w:p w:rsidR="00E275BE" w:rsidRPr="00362CFE" w:rsidRDefault="00E275BE" w:rsidP="00E275BE">
      <w:pPr>
        <w:spacing w:before="120" w:after="360"/>
        <w:jc w:val="center"/>
        <w:rPr>
          <w:rFonts w:ascii="Times New Roman" w:hAnsi="Times New Roman"/>
          <w:b/>
          <w:sz w:val="24"/>
          <w:szCs w:val="24"/>
        </w:rPr>
      </w:pPr>
      <w:r w:rsidRPr="00362CFE">
        <w:rPr>
          <w:rFonts w:ascii="Times New Roman" w:hAnsi="Times New Roman"/>
          <w:b/>
          <w:sz w:val="24"/>
          <w:szCs w:val="24"/>
        </w:rPr>
        <w:t>THÔNG QUA VIỆC 02 (HAI) CỔ ĐÔNG SÁNG LẬP KHÔNG PHẢI KÝ ĐIỀU LỆ CÔNG TY KHI CÓ SỬA ĐỔI, BỔ SUNG DO KHÔNG CÒN NẮM GIỮ CỔ PHIẾU</w:t>
      </w:r>
    </w:p>
    <w:p w:rsidR="00E275BE" w:rsidRPr="00313D01" w:rsidRDefault="00E275BE" w:rsidP="00E275BE">
      <w:pPr>
        <w:pStyle w:val="ListParagraph"/>
        <w:tabs>
          <w:tab w:val="left" w:pos="360"/>
        </w:tabs>
        <w:spacing w:before="120" w:line="312" w:lineRule="auto"/>
        <w:ind w:left="0"/>
        <w:jc w:val="both"/>
        <w:rPr>
          <w:rFonts w:ascii="Times New Roman" w:hAnsi="Times New Roman"/>
          <w:color w:val="000000"/>
          <w:sz w:val="26"/>
          <w:szCs w:val="26"/>
        </w:rPr>
      </w:pPr>
      <w:r w:rsidRPr="00313D01">
        <w:rPr>
          <w:rFonts w:ascii="Times New Roman" w:hAnsi="Times New Roman"/>
          <w:color w:val="000000"/>
          <w:sz w:val="26"/>
          <w:szCs w:val="26"/>
        </w:rPr>
        <w:tab/>
      </w:r>
      <w:r>
        <w:rPr>
          <w:rFonts w:ascii="Times New Roman" w:hAnsi="Times New Roman"/>
          <w:color w:val="000000"/>
          <w:sz w:val="26"/>
          <w:szCs w:val="26"/>
        </w:rPr>
        <w:tab/>
      </w:r>
      <w:r w:rsidRPr="00313D01">
        <w:rPr>
          <w:rFonts w:ascii="Times New Roman" w:hAnsi="Times New Roman"/>
          <w:color w:val="000000"/>
          <w:sz w:val="26"/>
          <w:szCs w:val="26"/>
        </w:rPr>
        <w:t>Tại khoản 5 điều 84 Luật Doanh nghiệp quy định:</w:t>
      </w:r>
      <w:r w:rsidRPr="00313D01">
        <w:rPr>
          <w:rFonts w:ascii="Times New Roman" w:hAnsi="Times New Roman"/>
          <w:i/>
          <w:color w:val="000000"/>
          <w:sz w:val="26"/>
          <w:szCs w:val="26"/>
        </w:rPr>
        <w:t>“Trong thời hạn ba năm, kể từ ngày công ty được cấp Giấy chứng nhận đăng ký kinh doanh,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 Sau thời hạn ba năm, kể từ ngày công ty được cấp Giấy chứng nhận đăng ký kinh doanh, các hạn chế đối với cổ phần phổ thông của cổ đông sáng lập đều được bãi bỏ”</w:t>
      </w:r>
      <w:r w:rsidRPr="00313D01">
        <w:rPr>
          <w:rFonts w:ascii="Times New Roman" w:hAnsi="Times New Roman"/>
          <w:color w:val="000000"/>
          <w:sz w:val="26"/>
          <w:szCs w:val="26"/>
        </w:rPr>
        <w:t xml:space="preserve">. </w:t>
      </w:r>
    </w:p>
    <w:p w:rsidR="00E275BE" w:rsidRPr="00313D01" w:rsidRDefault="00E275BE" w:rsidP="00E275BE">
      <w:pPr>
        <w:pStyle w:val="ListParagraph"/>
        <w:tabs>
          <w:tab w:val="left" w:pos="360"/>
        </w:tabs>
        <w:spacing w:before="240" w:line="312" w:lineRule="auto"/>
        <w:ind w:left="0"/>
        <w:jc w:val="both"/>
        <w:rPr>
          <w:rFonts w:ascii="Times New Roman" w:hAnsi="Times New Roman"/>
          <w:color w:val="000000"/>
          <w:sz w:val="26"/>
          <w:szCs w:val="26"/>
        </w:rPr>
      </w:pPr>
      <w:r w:rsidRPr="00313D01">
        <w:rPr>
          <w:rFonts w:ascii="Times New Roman" w:hAnsi="Times New Roman"/>
          <w:color w:val="000000"/>
          <w:sz w:val="26"/>
          <w:szCs w:val="26"/>
        </w:rPr>
        <w:tab/>
      </w:r>
      <w:r>
        <w:rPr>
          <w:rFonts w:ascii="Times New Roman" w:hAnsi="Times New Roman"/>
          <w:color w:val="000000"/>
          <w:sz w:val="26"/>
          <w:szCs w:val="26"/>
        </w:rPr>
        <w:tab/>
      </w:r>
      <w:r w:rsidRPr="00313D01">
        <w:rPr>
          <w:rFonts w:ascii="Times New Roman" w:hAnsi="Times New Roman"/>
          <w:color w:val="000000"/>
          <w:sz w:val="26"/>
          <w:szCs w:val="26"/>
        </w:rPr>
        <w:t xml:space="preserve">Đến thời điểm chốt danh sách để nhận cổ tức bằng cổ phiếu và cổ phiếu thưởng trong đợt tăng vốn điều lệ lên 90 tỷ ngày 02 tháng 07 năm 2014 do Trung tâm lưu ký chứng khoán </w:t>
      </w:r>
      <w:r w:rsidRPr="00313D01">
        <w:rPr>
          <w:rFonts w:ascii="Times New Roman" w:hAnsi="Times New Roman"/>
          <w:color w:val="000000"/>
          <w:sz w:val="26"/>
          <w:szCs w:val="26"/>
        </w:rPr>
        <w:lastRenderedPageBreak/>
        <w:t xml:space="preserve">Việt Nam gửi, 02 (hai) cổ đông sáng lập là </w:t>
      </w:r>
      <w:r>
        <w:rPr>
          <w:rFonts w:ascii="Times New Roman" w:hAnsi="Times New Roman"/>
          <w:color w:val="000000"/>
          <w:sz w:val="26"/>
          <w:szCs w:val="26"/>
        </w:rPr>
        <w:t xml:space="preserve">Ông </w:t>
      </w:r>
      <w:r w:rsidRPr="00313D01">
        <w:rPr>
          <w:rFonts w:ascii="Times New Roman" w:hAnsi="Times New Roman"/>
          <w:color w:val="000000"/>
          <w:sz w:val="26"/>
          <w:szCs w:val="26"/>
        </w:rPr>
        <w:t xml:space="preserve">Nguyễn Công Tám và </w:t>
      </w:r>
      <w:r>
        <w:rPr>
          <w:rFonts w:ascii="Times New Roman" w:hAnsi="Times New Roman"/>
          <w:color w:val="000000"/>
          <w:sz w:val="26"/>
          <w:szCs w:val="26"/>
        </w:rPr>
        <w:t xml:space="preserve">Ông </w:t>
      </w:r>
      <w:r w:rsidRPr="00313D01">
        <w:rPr>
          <w:rFonts w:ascii="Times New Roman" w:hAnsi="Times New Roman"/>
          <w:color w:val="000000"/>
          <w:sz w:val="26"/>
          <w:szCs w:val="26"/>
        </w:rPr>
        <w:t>Hạ Trọng Cường đã chuyển nhượng hết số cổ phiếu đã nắm giữ.</w:t>
      </w:r>
    </w:p>
    <w:p w:rsidR="00E275BE" w:rsidRDefault="00E275BE" w:rsidP="00E275BE">
      <w:pPr>
        <w:pStyle w:val="ListParagraph"/>
        <w:tabs>
          <w:tab w:val="left" w:pos="360"/>
        </w:tabs>
        <w:spacing w:before="60" w:line="312" w:lineRule="auto"/>
        <w:ind w:left="0" w:right="187"/>
        <w:jc w:val="both"/>
        <w:rPr>
          <w:rFonts w:ascii="Times New Roman" w:hAnsi="Times New Roman"/>
          <w:sz w:val="26"/>
          <w:szCs w:val="26"/>
        </w:rPr>
      </w:pPr>
      <w:r w:rsidRPr="00313D01">
        <w:rPr>
          <w:rFonts w:ascii="Times New Roman" w:hAnsi="Times New Roman"/>
          <w:color w:val="000000"/>
          <w:sz w:val="26"/>
          <w:szCs w:val="26"/>
        </w:rPr>
        <w:tab/>
      </w:r>
      <w:r>
        <w:rPr>
          <w:rFonts w:ascii="Times New Roman" w:hAnsi="Times New Roman"/>
          <w:color w:val="000000"/>
          <w:sz w:val="26"/>
          <w:szCs w:val="26"/>
        </w:rPr>
        <w:tab/>
      </w:r>
      <w:r w:rsidRPr="00313D01">
        <w:rPr>
          <w:rFonts w:ascii="Times New Roman" w:hAnsi="Times New Roman"/>
          <w:color w:val="000000"/>
          <w:sz w:val="26"/>
          <w:szCs w:val="26"/>
        </w:rPr>
        <w:t>Do vậy, Hội đồng quản trị kính trình Đại hội cổ đông chấp thuận cho 02 (hai) cổ đông sáng lập trên không phải ký v</w:t>
      </w:r>
      <w:r>
        <w:rPr>
          <w:rFonts w:ascii="Times New Roman" w:hAnsi="Times New Roman"/>
          <w:color w:val="000000"/>
          <w:sz w:val="26"/>
          <w:szCs w:val="26"/>
        </w:rPr>
        <w:t xml:space="preserve">ào bản điều lệ trong trường hợp sửa đổi, bổ sung </w:t>
      </w:r>
      <w:r w:rsidRPr="00313D01">
        <w:rPr>
          <w:rFonts w:ascii="Times New Roman" w:hAnsi="Times New Roman"/>
          <w:color w:val="000000"/>
          <w:sz w:val="26"/>
          <w:szCs w:val="26"/>
        </w:rPr>
        <w:t>điều lệ công ty</w:t>
      </w:r>
      <w:r>
        <w:rPr>
          <w:rFonts w:ascii="Times New Roman" w:hAnsi="Times New Roman"/>
          <w:color w:val="000000"/>
          <w:sz w:val="26"/>
          <w:szCs w:val="26"/>
        </w:rPr>
        <w:t xml:space="preserve"> (nếu có)</w:t>
      </w:r>
      <w:r w:rsidRPr="005D3B5A">
        <w:rPr>
          <w:rFonts w:ascii="Times New Roman" w:hAnsi="Times New Roman"/>
          <w:sz w:val="26"/>
          <w:szCs w:val="26"/>
        </w:rPr>
        <w:t>.</w:t>
      </w:r>
    </w:p>
    <w:p w:rsidR="00E275BE" w:rsidRPr="00B717B3" w:rsidRDefault="00E275BE" w:rsidP="00E275BE">
      <w:pPr>
        <w:pStyle w:val="ListParagraph"/>
        <w:tabs>
          <w:tab w:val="left" w:pos="709"/>
        </w:tabs>
        <w:spacing w:before="60" w:line="312" w:lineRule="auto"/>
        <w:ind w:left="0" w:right="187"/>
        <w:jc w:val="both"/>
        <w:rPr>
          <w:rFonts w:ascii="Times New Roman" w:hAnsi="Times New Roman"/>
          <w:sz w:val="26"/>
          <w:szCs w:val="26"/>
        </w:rPr>
      </w:pPr>
    </w:p>
    <w:p w:rsidR="00E275BE" w:rsidRDefault="00E275BE" w:rsidP="00E275BE">
      <w:pPr>
        <w:spacing w:before="120" w:after="120"/>
        <w:ind w:left="1440" w:hanging="1440"/>
        <w:jc w:val="center"/>
        <w:rPr>
          <w:rFonts w:ascii="Times New Roman" w:hAnsi="Times New Roman"/>
          <w:b/>
          <w:sz w:val="26"/>
          <w:szCs w:val="26"/>
        </w:rPr>
      </w:pPr>
      <w:r w:rsidRPr="00B717B3">
        <w:rPr>
          <w:rFonts w:ascii="Times New Roman" w:hAnsi="Times New Roman"/>
          <w:b/>
          <w:sz w:val="26"/>
          <w:szCs w:val="26"/>
          <w:u w:val="single"/>
        </w:rPr>
        <w:t xml:space="preserve">Nội dung </w:t>
      </w:r>
      <w:r>
        <w:rPr>
          <w:rFonts w:ascii="Times New Roman" w:hAnsi="Times New Roman"/>
          <w:b/>
          <w:sz w:val="26"/>
          <w:szCs w:val="26"/>
          <w:u w:val="single"/>
        </w:rPr>
        <w:t>3:</w:t>
      </w:r>
    </w:p>
    <w:p w:rsidR="00E275BE" w:rsidRPr="00362CFE" w:rsidRDefault="00E275BE" w:rsidP="00E275BE">
      <w:pPr>
        <w:spacing w:before="120" w:after="360"/>
        <w:jc w:val="center"/>
        <w:rPr>
          <w:rFonts w:ascii="Times New Roman" w:hAnsi="Times New Roman"/>
          <w:b/>
          <w:sz w:val="24"/>
          <w:szCs w:val="24"/>
        </w:rPr>
      </w:pPr>
      <w:r w:rsidRPr="00362CFE">
        <w:rPr>
          <w:rFonts w:ascii="Times New Roman" w:hAnsi="Times New Roman"/>
          <w:b/>
          <w:sz w:val="24"/>
          <w:szCs w:val="24"/>
        </w:rPr>
        <w:t>THÔNG QUA VIỆC GIẢI THỂ CÔNG TY CON</w:t>
      </w:r>
    </w:p>
    <w:p w:rsidR="00E275BE" w:rsidRPr="00313D01" w:rsidRDefault="00E275BE" w:rsidP="00E275BE">
      <w:pPr>
        <w:spacing w:before="120" w:line="312" w:lineRule="auto"/>
        <w:ind w:right="29" w:firstLine="720"/>
        <w:jc w:val="both"/>
        <w:rPr>
          <w:rFonts w:ascii="Times New Roman" w:hAnsi="Times New Roman"/>
          <w:color w:val="000000"/>
          <w:sz w:val="26"/>
          <w:szCs w:val="26"/>
        </w:rPr>
      </w:pPr>
      <w:r w:rsidRPr="00313D01">
        <w:rPr>
          <w:rFonts w:ascii="Times New Roman" w:hAnsi="Times New Roman"/>
          <w:color w:val="000000"/>
          <w:sz w:val="26"/>
          <w:szCs w:val="26"/>
        </w:rPr>
        <w:t>Tại mục g khoản 2 điều 104 của Luật Doanh nghiệp và mục j khoản 2 điều 14 Điều lệ công y quy định: “</w:t>
      </w:r>
      <w:r w:rsidRPr="00313D01">
        <w:rPr>
          <w:rFonts w:ascii="Times New Roman" w:hAnsi="Times New Roman"/>
          <w:i/>
          <w:color w:val="000000"/>
          <w:sz w:val="26"/>
          <w:szCs w:val="26"/>
        </w:rPr>
        <w:t>Tổ chức lại, giải thể công ty phải được Đại hội cổ đông thông qua”</w:t>
      </w:r>
      <w:r w:rsidRPr="00313D01">
        <w:rPr>
          <w:rFonts w:ascii="Times New Roman" w:hAnsi="Times New Roman"/>
          <w:color w:val="000000"/>
          <w:sz w:val="26"/>
          <w:szCs w:val="26"/>
        </w:rPr>
        <w:t xml:space="preserve">. </w:t>
      </w:r>
    </w:p>
    <w:p w:rsidR="00E275BE" w:rsidRPr="00313D01" w:rsidRDefault="00E275BE" w:rsidP="00E275BE">
      <w:pPr>
        <w:spacing w:before="120" w:line="312" w:lineRule="auto"/>
        <w:ind w:right="26" w:firstLine="720"/>
        <w:jc w:val="both"/>
        <w:rPr>
          <w:rFonts w:ascii="Times New Roman" w:hAnsi="Times New Roman"/>
          <w:i/>
          <w:color w:val="000000"/>
          <w:sz w:val="26"/>
          <w:szCs w:val="26"/>
        </w:rPr>
      </w:pPr>
      <w:r w:rsidRPr="00313D01">
        <w:rPr>
          <w:rFonts w:ascii="Times New Roman" w:hAnsi="Times New Roman"/>
          <w:color w:val="000000"/>
          <w:sz w:val="26"/>
          <w:szCs w:val="26"/>
        </w:rPr>
        <w:t>Tại mục o khoản 2 điều 108 của Luật Doanh nghiệp và mục l khoản 3 điều 25 Điều lệ công ty quy định:</w:t>
      </w:r>
      <w:r w:rsidRPr="00313D01">
        <w:rPr>
          <w:rFonts w:ascii="Times New Roman" w:hAnsi="Times New Roman"/>
          <w:i/>
          <w:color w:val="000000"/>
          <w:sz w:val="26"/>
          <w:szCs w:val="26"/>
        </w:rPr>
        <w:t xml:space="preserve"> “Hội đồng quản trị có các quyền và nhiệm vụ…. kiến nghị việc tổ chức lại, giải thể hoặc yêu cầu phá sản công ty”</w:t>
      </w:r>
    </w:p>
    <w:p w:rsidR="00E275BE" w:rsidRDefault="00E275BE" w:rsidP="00E275BE">
      <w:pPr>
        <w:tabs>
          <w:tab w:val="left" w:pos="-2790"/>
          <w:tab w:val="left" w:pos="360"/>
        </w:tabs>
        <w:spacing w:before="120" w:line="312" w:lineRule="auto"/>
        <w:jc w:val="both"/>
        <w:rPr>
          <w:rFonts w:ascii="Times New Roman" w:hAnsi="Times New Roman"/>
          <w:i/>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 xml:space="preserve">Căn cứ vào Nghị quyết Đại hội cổ đông thường niên số 01/2013-NQ/ĐHCĐ-TN ngày 25/04/2013 của Công ty cổ phần Đầu tư và Xây dựng Thành Nam, Đại hội đã thông qua việc ủy quyền cho HĐQT công ty quyết định một số nội dung thuộc thẩm quyền của ĐHCĐ trong đó có nội dung </w:t>
      </w:r>
      <w:r w:rsidRPr="00652AC5">
        <w:rPr>
          <w:rFonts w:ascii="Times New Roman" w:hAnsi="Times New Roman"/>
          <w:i/>
          <w:color w:val="000000"/>
          <w:sz w:val="26"/>
          <w:szCs w:val="26"/>
        </w:rPr>
        <w:t>“quyết định việc thành lập, giải thể, thanh lý công ty con, chi nhánh trực thuộc, văn phòng đại diện phù hợp với quy định của pháp luật”</w:t>
      </w:r>
      <w:r>
        <w:rPr>
          <w:rFonts w:ascii="Times New Roman" w:hAnsi="Times New Roman"/>
          <w:i/>
          <w:color w:val="000000"/>
          <w:sz w:val="26"/>
          <w:szCs w:val="26"/>
        </w:rPr>
        <w:t xml:space="preserve">. </w:t>
      </w:r>
    </w:p>
    <w:p w:rsidR="00E275BE" w:rsidRDefault="00E275BE" w:rsidP="00E275BE">
      <w:pPr>
        <w:tabs>
          <w:tab w:val="left" w:pos="-2790"/>
          <w:tab w:val="left" w:pos="360"/>
        </w:tabs>
        <w:spacing w:before="120" w:line="312" w:lineRule="auto"/>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 xml:space="preserve">Do đó, tại Đại hội lần này, Hội đồng quản trị kính trình Đại hội cổ đông thông qua việc giải thể công ty con - Công ty cổ phần truyền thông BRIQ do hoạt động không hiệu quả, </w:t>
      </w:r>
      <w:r>
        <w:rPr>
          <w:rFonts w:ascii="Times New Roman" w:hAnsi="Times New Roman"/>
          <w:bCs/>
          <w:noProof/>
          <w:sz w:val="26"/>
          <w:szCs w:val="26"/>
        </w:rPr>
        <w:t xml:space="preserve">không có khả năng phát triển hoạt động sản xuất kinh doanh để mang lại lợi nhuận. </w:t>
      </w:r>
      <w:r>
        <w:rPr>
          <w:rFonts w:ascii="Times New Roman" w:hAnsi="Times New Roman"/>
          <w:color w:val="000000"/>
          <w:sz w:val="26"/>
          <w:szCs w:val="26"/>
        </w:rPr>
        <w:t>Đồng thời Hội đồng quản trị kính trình Đại hội cổ đông chấp</w:t>
      </w:r>
      <w:r w:rsidRPr="00313D01">
        <w:rPr>
          <w:rFonts w:ascii="Times New Roman" w:hAnsi="Times New Roman"/>
          <w:color w:val="000000"/>
          <w:sz w:val="26"/>
          <w:szCs w:val="26"/>
        </w:rPr>
        <w:t xml:space="preserve"> thuận ủy quyền cho Hội đồng quản trị thực hiện việc xử lý phần vốn</w:t>
      </w:r>
      <w:r>
        <w:rPr>
          <w:rFonts w:ascii="Times New Roman" w:hAnsi="Times New Roman"/>
          <w:color w:val="000000"/>
          <w:sz w:val="26"/>
          <w:szCs w:val="26"/>
        </w:rPr>
        <w:t xml:space="preserve"> đã</w:t>
      </w:r>
      <w:r w:rsidRPr="00313D01">
        <w:rPr>
          <w:rFonts w:ascii="Times New Roman" w:hAnsi="Times New Roman"/>
          <w:color w:val="000000"/>
          <w:sz w:val="26"/>
          <w:szCs w:val="26"/>
        </w:rPr>
        <w:t xml:space="preserve"> góp của Công ty cổ phần Đầu tư và Xây dựng Thành Nam tại Công ty cổ phần truyền thông BRIQ theo đúng quy định của pháp luật và điều lệ công ty</w:t>
      </w:r>
      <w:r>
        <w:rPr>
          <w:rFonts w:ascii="Times New Roman" w:hAnsi="Times New Roman"/>
          <w:color w:val="000000"/>
          <w:sz w:val="26"/>
          <w:szCs w:val="26"/>
        </w:rPr>
        <w:t>.</w:t>
      </w:r>
    </w:p>
    <w:p w:rsidR="00E275BE" w:rsidRDefault="00E275BE" w:rsidP="00E275BE">
      <w:pPr>
        <w:tabs>
          <w:tab w:val="left" w:pos="-2790"/>
          <w:tab w:val="left" w:pos="360"/>
        </w:tabs>
        <w:spacing w:before="120" w:line="312" w:lineRule="auto"/>
        <w:jc w:val="center"/>
        <w:rPr>
          <w:rFonts w:ascii="Times New Roman" w:hAnsi="Times New Roman"/>
          <w:b/>
          <w:sz w:val="26"/>
          <w:szCs w:val="26"/>
          <w:u w:val="single"/>
        </w:rPr>
      </w:pPr>
    </w:p>
    <w:p w:rsidR="00E275BE" w:rsidRDefault="00E275BE" w:rsidP="00E275BE">
      <w:pPr>
        <w:tabs>
          <w:tab w:val="left" w:pos="-2790"/>
          <w:tab w:val="left" w:pos="360"/>
        </w:tabs>
        <w:spacing w:before="120" w:line="312" w:lineRule="auto"/>
        <w:jc w:val="center"/>
        <w:rPr>
          <w:rFonts w:ascii="Times New Roman" w:hAnsi="Times New Roman"/>
          <w:b/>
          <w:sz w:val="26"/>
          <w:szCs w:val="26"/>
        </w:rPr>
      </w:pPr>
      <w:r>
        <w:rPr>
          <w:rFonts w:ascii="Times New Roman" w:hAnsi="Times New Roman"/>
          <w:b/>
          <w:sz w:val="26"/>
          <w:szCs w:val="26"/>
          <w:u w:val="single"/>
        </w:rPr>
        <w:t>Nội dung 4:</w:t>
      </w:r>
    </w:p>
    <w:p w:rsidR="00E275BE" w:rsidRPr="00362CFE" w:rsidRDefault="00E275BE" w:rsidP="00E275BE">
      <w:pPr>
        <w:spacing w:before="120" w:after="360"/>
        <w:jc w:val="center"/>
        <w:rPr>
          <w:rFonts w:ascii="Times New Roman" w:hAnsi="Times New Roman"/>
          <w:b/>
          <w:sz w:val="24"/>
          <w:szCs w:val="24"/>
        </w:rPr>
      </w:pPr>
      <w:r w:rsidRPr="00362CFE">
        <w:rPr>
          <w:rFonts w:ascii="Times New Roman" w:hAnsi="Times New Roman"/>
          <w:b/>
          <w:sz w:val="24"/>
          <w:szCs w:val="24"/>
        </w:rPr>
        <w:t>THÔNG QUA VIỆC TĂNG VỐN ĐIỀU LỆ</w:t>
      </w:r>
    </w:p>
    <w:p w:rsidR="00E275BE" w:rsidRDefault="00E275BE" w:rsidP="00E275BE">
      <w:pPr>
        <w:spacing w:before="120" w:line="312" w:lineRule="auto"/>
        <w:ind w:right="187" w:firstLine="720"/>
        <w:jc w:val="both"/>
        <w:rPr>
          <w:rFonts w:ascii="Times New Roman" w:hAnsi="Times New Roman"/>
          <w:sz w:val="26"/>
          <w:szCs w:val="26"/>
          <w:lang w:val="nl-NL"/>
        </w:rPr>
      </w:pPr>
      <w:r w:rsidRPr="00870B2C">
        <w:rPr>
          <w:rFonts w:ascii="Times New Roman" w:hAnsi="Times New Roman"/>
          <w:sz w:val="26"/>
          <w:szCs w:val="26"/>
          <w:lang w:val="nl-NL"/>
        </w:rPr>
        <w:t xml:space="preserve">Hội </w:t>
      </w:r>
      <w:r>
        <w:rPr>
          <w:rFonts w:ascii="Times New Roman" w:hAnsi="Times New Roman"/>
          <w:sz w:val="26"/>
          <w:szCs w:val="26"/>
          <w:lang w:val="nl-NL"/>
        </w:rPr>
        <w:t>đồng quản trị công ty kính trình Đại hội thông qua phương án tăng vốn điều lệ như sau:</w:t>
      </w:r>
    </w:p>
    <w:p w:rsidR="00E275BE" w:rsidRPr="003F168C" w:rsidRDefault="00E275BE" w:rsidP="00E275BE">
      <w:pPr>
        <w:numPr>
          <w:ilvl w:val="0"/>
          <w:numId w:val="2"/>
        </w:numPr>
        <w:spacing w:before="120" w:line="312" w:lineRule="auto"/>
        <w:ind w:right="187" w:hanging="720"/>
        <w:jc w:val="both"/>
        <w:rPr>
          <w:rFonts w:ascii="Times New Roman" w:hAnsi="Times New Roman"/>
          <w:b/>
          <w:sz w:val="26"/>
          <w:szCs w:val="26"/>
          <w:lang w:val="nl-NL"/>
        </w:rPr>
      </w:pPr>
      <w:r w:rsidRPr="003F168C">
        <w:rPr>
          <w:rFonts w:ascii="Times New Roman" w:hAnsi="Times New Roman"/>
          <w:b/>
          <w:sz w:val="26"/>
          <w:szCs w:val="26"/>
          <w:lang w:val="nl-NL"/>
        </w:rPr>
        <w:t>Mức tăng vốn điều lệ dự kiến:</w:t>
      </w:r>
    </w:p>
    <w:p w:rsidR="00E275BE" w:rsidRPr="002F0684" w:rsidRDefault="00E275BE" w:rsidP="00E275BE">
      <w:pPr>
        <w:spacing w:before="120" w:line="312" w:lineRule="auto"/>
        <w:ind w:firstLine="720"/>
        <w:jc w:val="both"/>
        <w:rPr>
          <w:rFonts w:ascii="Times New Roman" w:hAnsi="Times New Roman"/>
          <w:sz w:val="26"/>
          <w:lang w:val="nl-NL"/>
        </w:rPr>
      </w:pPr>
      <w:r>
        <w:rPr>
          <w:rFonts w:ascii="Times New Roman" w:hAnsi="Times New Roman"/>
          <w:sz w:val="26"/>
          <w:lang w:val="nl-NL"/>
        </w:rPr>
        <w:t xml:space="preserve">Vốn điều lệ hiện tại:   </w:t>
      </w:r>
      <w:r>
        <w:rPr>
          <w:rFonts w:ascii="Times New Roman" w:hAnsi="Times New Roman"/>
          <w:sz w:val="26"/>
          <w:lang w:val="nl-NL"/>
        </w:rPr>
        <w:tab/>
      </w:r>
      <w:r>
        <w:rPr>
          <w:rFonts w:ascii="Times New Roman" w:hAnsi="Times New Roman"/>
          <w:sz w:val="26"/>
          <w:lang w:val="nl-NL"/>
        </w:rPr>
        <w:tab/>
      </w:r>
      <w:r>
        <w:rPr>
          <w:rFonts w:ascii="Times New Roman" w:hAnsi="Times New Roman"/>
          <w:sz w:val="26"/>
          <w:lang w:val="nl-NL"/>
        </w:rPr>
        <w:tab/>
        <w:t>9</w:t>
      </w:r>
      <w:r w:rsidRPr="002F0684">
        <w:rPr>
          <w:rFonts w:ascii="Times New Roman" w:hAnsi="Times New Roman"/>
          <w:sz w:val="26"/>
          <w:lang w:val="nl-NL"/>
        </w:rPr>
        <w:t xml:space="preserve">0.000.000.000 đồng </w:t>
      </w:r>
      <w:r w:rsidRPr="00343838">
        <w:rPr>
          <w:rFonts w:ascii="Times New Roman" w:hAnsi="Times New Roman"/>
          <w:i/>
          <w:sz w:val="26"/>
          <w:lang w:val="nl-NL"/>
        </w:rPr>
        <w:t>(Chín mươi tỷ đồng)</w:t>
      </w:r>
    </w:p>
    <w:p w:rsidR="00E275BE" w:rsidRPr="00E72D3D" w:rsidRDefault="00E275BE" w:rsidP="00E275BE">
      <w:pPr>
        <w:numPr>
          <w:ilvl w:val="0"/>
          <w:numId w:val="3"/>
        </w:numPr>
        <w:spacing w:before="120" w:line="312" w:lineRule="auto"/>
        <w:ind w:left="1170" w:hanging="450"/>
        <w:jc w:val="both"/>
        <w:rPr>
          <w:rFonts w:ascii="Times New Roman" w:hAnsi="Times New Roman"/>
          <w:sz w:val="26"/>
          <w:szCs w:val="26"/>
          <w:lang w:val="nl-NL"/>
        </w:rPr>
      </w:pPr>
      <w:r w:rsidRPr="00E72D3D">
        <w:rPr>
          <w:rFonts w:ascii="Times New Roman" w:hAnsi="Times New Roman"/>
          <w:sz w:val="26"/>
          <w:szCs w:val="26"/>
          <w:lang w:val="nl-NL"/>
        </w:rPr>
        <w:t xml:space="preserve">Giai đoạn 1: </w:t>
      </w:r>
    </w:p>
    <w:p w:rsidR="00E275BE" w:rsidRPr="001A6F18" w:rsidRDefault="00E275BE" w:rsidP="00E275BE">
      <w:pPr>
        <w:numPr>
          <w:ilvl w:val="0"/>
          <w:numId w:val="7"/>
        </w:numPr>
        <w:spacing w:before="120" w:line="312" w:lineRule="auto"/>
        <w:ind w:hanging="720"/>
        <w:jc w:val="both"/>
        <w:rPr>
          <w:rFonts w:ascii="Times New Roman" w:hAnsi="Times New Roman"/>
          <w:sz w:val="24"/>
          <w:szCs w:val="24"/>
          <w:lang w:val="nl-NL"/>
        </w:rPr>
      </w:pPr>
      <w:r w:rsidRPr="00E72D3D">
        <w:rPr>
          <w:rFonts w:ascii="Times New Roman" w:hAnsi="Times New Roman"/>
          <w:sz w:val="26"/>
          <w:szCs w:val="26"/>
          <w:lang w:val="nl-NL"/>
        </w:rPr>
        <w:t xml:space="preserve">Vốn điều lệ dự kiến sau khi tăng: </w:t>
      </w:r>
      <w:r w:rsidRPr="00E72D3D">
        <w:rPr>
          <w:rFonts w:ascii="Times New Roman" w:hAnsi="Times New Roman"/>
          <w:sz w:val="26"/>
          <w:szCs w:val="26"/>
          <w:lang w:val="nl-NL"/>
        </w:rPr>
        <w:tab/>
        <w:t xml:space="preserve">100.000.000.000 đồng </w:t>
      </w:r>
      <w:r w:rsidRPr="00E72D3D">
        <w:rPr>
          <w:rFonts w:ascii="Times New Roman" w:hAnsi="Times New Roman"/>
          <w:i/>
          <w:sz w:val="26"/>
          <w:szCs w:val="26"/>
          <w:lang w:val="nl-NL"/>
        </w:rPr>
        <w:t>(Một trăm tỷ đồng</w:t>
      </w:r>
      <w:r w:rsidRPr="00343838">
        <w:rPr>
          <w:rFonts w:ascii="Times New Roman" w:hAnsi="Times New Roman"/>
          <w:i/>
          <w:sz w:val="26"/>
          <w:szCs w:val="26"/>
          <w:lang w:val="nl-NL"/>
        </w:rPr>
        <w:t>)</w:t>
      </w:r>
    </w:p>
    <w:p w:rsidR="00E275BE" w:rsidRPr="00E72D3D" w:rsidRDefault="00E275BE" w:rsidP="00E275BE">
      <w:pPr>
        <w:numPr>
          <w:ilvl w:val="0"/>
          <w:numId w:val="7"/>
        </w:numPr>
        <w:tabs>
          <w:tab w:val="left" w:pos="1440"/>
        </w:tabs>
        <w:spacing w:before="120" w:line="312" w:lineRule="auto"/>
        <w:ind w:hanging="720"/>
        <w:jc w:val="both"/>
        <w:rPr>
          <w:rFonts w:ascii="Times New Roman" w:hAnsi="Times New Roman"/>
          <w:sz w:val="26"/>
          <w:lang w:val="nl-NL"/>
        </w:rPr>
      </w:pPr>
      <w:r>
        <w:rPr>
          <w:rFonts w:ascii="Times New Roman" w:hAnsi="Times New Roman"/>
          <w:sz w:val="26"/>
          <w:lang w:val="nl-NL"/>
        </w:rPr>
        <w:t xml:space="preserve">Mức tăng dự kiến:    </w:t>
      </w:r>
      <w:r>
        <w:rPr>
          <w:rFonts w:ascii="Times New Roman" w:hAnsi="Times New Roman"/>
          <w:sz w:val="26"/>
          <w:lang w:val="nl-NL"/>
        </w:rPr>
        <w:tab/>
      </w:r>
      <w:r>
        <w:rPr>
          <w:rFonts w:ascii="Times New Roman" w:hAnsi="Times New Roman"/>
          <w:sz w:val="26"/>
          <w:lang w:val="nl-NL"/>
        </w:rPr>
        <w:tab/>
        <w:t>1</w:t>
      </w:r>
      <w:r w:rsidRPr="002F0684">
        <w:rPr>
          <w:rFonts w:ascii="Times New Roman" w:hAnsi="Times New Roman"/>
          <w:sz w:val="26"/>
          <w:lang w:val="nl-NL"/>
        </w:rPr>
        <w:t xml:space="preserve">0.000.000.000 đồng </w:t>
      </w:r>
      <w:r w:rsidRPr="001A6F18">
        <w:rPr>
          <w:rFonts w:ascii="Times New Roman" w:hAnsi="Times New Roman"/>
          <w:i/>
          <w:sz w:val="26"/>
          <w:lang w:val="nl-NL"/>
        </w:rPr>
        <w:t>(</w:t>
      </w:r>
      <w:r>
        <w:rPr>
          <w:rFonts w:ascii="Times New Roman" w:hAnsi="Times New Roman"/>
          <w:i/>
          <w:sz w:val="26"/>
          <w:lang w:val="nl-NL"/>
        </w:rPr>
        <w:t>Mười tỷ đồng)</w:t>
      </w:r>
    </w:p>
    <w:p w:rsidR="00E275BE" w:rsidRDefault="00E275BE" w:rsidP="00E275BE">
      <w:pPr>
        <w:numPr>
          <w:ilvl w:val="0"/>
          <w:numId w:val="3"/>
        </w:numPr>
        <w:spacing w:before="120" w:line="312" w:lineRule="auto"/>
        <w:ind w:left="1170" w:hanging="450"/>
        <w:jc w:val="both"/>
        <w:rPr>
          <w:rFonts w:ascii="Times New Roman" w:hAnsi="Times New Roman"/>
          <w:sz w:val="26"/>
          <w:lang w:val="nl-NL"/>
        </w:rPr>
      </w:pPr>
      <w:r>
        <w:rPr>
          <w:rFonts w:ascii="Times New Roman" w:hAnsi="Times New Roman"/>
          <w:sz w:val="26"/>
          <w:lang w:val="nl-NL"/>
        </w:rPr>
        <w:lastRenderedPageBreak/>
        <w:t xml:space="preserve">Giai đoạn 2: </w:t>
      </w:r>
    </w:p>
    <w:p w:rsidR="00E275BE" w:rsidRPr="00E72D3D" w:rsidRDefault="00E275BE" w:rsidP="00E275BE">
      <w:pPr>
        <w:numPr>
          <w:ilvl w:val="0"/>
          <w:numId w:val="7"/>
        </w:numPr>
        <w:spacing w:before="120" w:line="312" w:lineRule="auto"/>
        <w:ind w:left="1440" w:hanging="270"/>
        <w:jc w:val="both"/>
        <w:rPr>
          <w:rFonts w:ascii="Times New Roman" w:hAnsi="Times New Roman"/>
          <w:sz w:val="24"/>
          <w:szCs w:val="24"/>
          <w:lang w:val="nl-NL"/>
        </w:rPr>
      </w:pPr>
      <w:r w:rsidRPr="00E72D3D">
        <w:rPr>
          <w:rFonts w:ascii="Times New Roman" w:hAnsi="Times New Roman"/>
          <w:sz w:val="26"/>
          <w:szCs w:val="26"/>
          <w:lang w:val="nl-NL"/>
        </w:rPr>
        <w:t xml:space="preserve">Vốn điều lệ dự kiến sau khi tăng: </w:t>
      </w:r>
      <w:r w:rsidRPr="00E72D3D">
        <w:rPr>
          <w:rFonts w:ascii="Times New Roman" w:hAnsi="Times New Roman"/>
          <w:sz w:val="26"/>
          <w:szCs w:val="26"/>
          <w:lang w:val="nl-NL"/>
        </w:rPr>
        <w:tab/>
        <w:t>1</w:t>
      </w:r>
      <w:r>
        <w:rPr>
          <w:rFonts w:ascii="Times New Roman" w:hAnsi="Times New Roman"/>
          <w:sz w:val="26"/>
          <w:szCs w:val="26"/>
          <w:lang w:val="nl-NL"/>
        </w:rPr>
        <w:t>5</w:t>
      </w:r>
      <w:r w:rsidRPr="00E72D3D">
        <w:rPr>
          <w:rFonts w:ascii="Times New Roman" w:hAnsi="Times New Roman"/>
          <w:sz w:val="26"/>
          <w:szCs w:val="26"/>
          <w:lang w:val="nl-NL"/>
        </w:rPr>
        <w:t xml:space="preserve">0.000.000.000 đồng </w:t>
      </w:r>
      <w:r w:rsidRPr="00E72D3D">
        <w:rPr>
          <w:rFonts w:ascii="Times New Roman" w:hAnsi="Times New Roman"/>
          <w:i/>
          <w:sz w:val="26"/>
          <w:szCs w:val="26"/>
          <w:lang w:val="nl-NL"/>
        </w:rPr>
        <w:t xml:space="preserve">(Một trăm </w:t>
      </w:r>
      <w:r>
        <w:rPr>
          <w:rFonts w:ascii="Times New Roman" w:hAnsi="Times New Roman"/>
          <w:i/>
          <w:sz w:val="26"/>
          <w:szCs w:val="26"/>
          <w:lang w:val="nl-NL"/>
        </w:rPr>
        <w:t xml:space="preserve">năm mươi </w:t>
      </w:r>
      <w:r w:rsidRPr="00E72D3D">
        <w:rPr>
          <w:rFonts w:ascii="Times New Roman" w:hAnsi="Times New Roman"/>
          <w:i/>
          <w:sz w:val="26"/>
          <w:szCs w:val="26"/>
          <w:lang w:val="nl-NL"/>
        </w:rPr>
        <w:t>tỷ đồng</w:t>
      </w:r>
      <w:r w:rsidRPr="00343838">
        <w:rPr>
          <w:rFonts w:ascii="Times New Roman" w:hAnsi="Times New Roman"/>
          <w:i/>
          <w:sz w:val="26"/>
          <w:szCs w:val="26"/>
          <w:lang w:val="nl-NL"/>
        </w:rPr>
        <w:t>)</w:t>
      </w:r>
    </w:p>
    <w:p w:rsidR="00E275BE" w:rsidRPr="00E72D3D" w:rsidRDefault="00E275BE" w:rsidP="00E275BE">
      <w:pPr>
        <w:numPr>
          <w:ilvl w:val="0"/>
          <w:numId w:val="7"/>
        </w:numPr>
        <w:spacing w:before="120" w:line="312" w:lineRule="auto"/>
        <w:ind w:hanging="720"/>
        <w:jc w:val="both"/>
        <w:rPr>
          <w:rFonts w:ascii="Times New Roman" w:hAnsi="Times New Roman"/>
          <w:sz w:val="24"/>
          <w:szCs w:val="24"/>
          <w:lang w:val="nl-NL"/>
        </w:rPr>
      </w:pPr>
      <w:r w:rsidRPr="00E72D3D">
        <w:rPr>
          <w:rFonts w:ascii="Times New Roman" w:hAnsi="Times New Roman"/>
          <w:sz w:val="26"/>
          <w:lang w:val="nl-NL"/>
        </w:rPr>
        <w:t xml:space="preserve">Mức tăng dự kiến:    </w:t>
      </w:r>
      <w:r w:rsidRPr="00E72D3D">
        <w:rPr>
          <w:rFonts w:ascii="Times New Roman" w:hAnsi="Times New Roman"/>
          <w:sz w:val="26"/>
          <w:lang w:val="nl-NL"/>
        </w:rPr>
        <w:tab/>
      </w:r>
      <w:r w:rsidRPr="00E72D3D">
        <w:rPr>
          <w:rFonts w:ascii="Times New Roman" w:hAnsi="Times New Roman"/>
          <w:sz w:val="26"/>
          <w:lang w:val="nl-NL"/>
        </w:rPr>
        <w:tab/>
      </w:r>
      <w:r>
        <w:rPr>
          <w:rFonts w:ascii="Times New Roman" w:hAnsi="Times New Roman"/>
          <w:sz w:val="26"/>
          <w:lang w:val="nl-NL"/>
        </w:rPr>
        <w:t>5</w:t>
      </w:r>
      <w:r w:rsidRPr="00E72D3D">
        <w:rPr>
          <w:rFonts w:ascii="Times New Roman" w:hAnsi="Times New Roman"/>
          <w:sz w:val="26"/>
          <w:lang w:val="nl-NL"/>
        </w:rPr>
        <w:t xml:space="preserve">0.000.000.000 đồng </w:t>
      </w:r>
      <w:r w:rsidRPr="00E72D3D">
        <w:rPr>
          <w:rFonts w:ascii="Times New Roman" w:hAnsi="Times New Roman"/>
          <w:i/>
          <w:sz w:val="26"/>
          <w:lang w:val="nl-NL"/>
        </w:rPr>
        <w:t>(</w:t>
      </w:r>
      <w:r>
        <w:rPr>
          <w:rFonts w:ascii="Times New Roman" w:hAnsi="Times New Roman"/>
          <w:i/>
          <w:sz w:val="26"/>
          <w:lang w:val="nl-NL"/>
        </w:rPr>
        <w:t>Năm mươi</w:t>
      </w:r>
      <w:r w:rsidRPr="00E72D3D">
        <w:rPr>
          <w:rFonts w:ascii="Times New Roman" w:hAnsi="Times New Roman"/>
          <w:i/>
          <w:sz w:val="26"/>
          <w:lang w:val="nl-NL"/>
        </w:rPr>
        <w:t xml:space="preserve"> tỷ đồng)</w:t>
      </w:r>
    </w:p>
    <w:p w:rsidR="00E275BE" w:rsidRPr="005A2515" w:rsidRDefault="00E275BE" w:rsidP="00E275BE">
      <w:pPr>
        <w:numPr>
          <w:ilvl w:val="0"/>
          <w:numId w:val="2"/>
        </w:numPr>
        <w:spacing w:before="120" w:line="312" w:lineRule="auto"/>
        <w:ind w:right="187" w:hanging="720"/>
        <w:jc w:val="both"/>
        <w:rPr>
          <w:rFonts w:ascii="Times New Roman" w:hAnsi="Times New Roman"/>
          <w:b/>
          <w:sz w:val="26"/>
          <w:szCs w:val="26"/>
          <w:lang w:val="nl-NL"/>
        </w:rPr>
      </w:pPr>
      <w:r>
        <w:rPr>
          <w:rFonts w:ascii="Times New Roman" w:hAnsi="Times New Roman"/>
          <w:b/>
          <w:sz w:val="26"/>
          <w:szCs w:val="26"/>
          <w:lang w:val="nl-NL"/>
        </w:rPr>
        <w:t>Phương án tăng vốn điều lệ dự kiến giai đoạn 1:</w:t>
      </w:r>
    </w:p>
    <w:p w:rsidR="00E275BE" w:rsidRPr="00362CFE" w:rsidRDefault="00E275BE" w:rsidP="00E275BE">
      <w:pPr>
        <w:numPr>
          <w:ilvl w:val="0"/>
          <w:numId w:val="4"/>
        </w:numPr>
        <w:tabs>
          <w:tab w:val="left" w:pos="1080"/>
        </w:tabs>
        <w:spacing w:before="120" w:line="312" w:lineRule="auto"/>
        <w:ind w:left="360" w:firstLine="360"/>
        <w:jc w:val="both"/>
        <w:rPr>
          <w:rFonts w:ascii="Times New Roman" w:hAnsi="Times New Roman"/>
          <w:sz w:val="26"/>
          <w:szCs w:val="26"/>
        </w:rPr>
      </w:pPr>
      <w:r w:rsidRPr="00362CFE">
        <w:rPr>
          <w:rFonts w:ascii="Times New Roman" w:hAnsi="Times New Roman"/>
          <w:sz w:val="26"/>
          <w:szCs w:val="26"/>
        </w:rPr>
        <w:t>Phương án phát hành cổ phiếu trả cổ tức năm 2014:</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Mục đích: Tăng vốn điều lệ của công ty, bổ sung nguồn vốn lưu động và tăng số lượng cổ phiếu CSC giao dịch trên thị trường nhằm tạo tính thanh khoản</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Tỷ lệ cổ tức: Phát hành 9% cổ phiếu (10:0,9 - mỗi cổ đông sở hữu 10 cổ phiếu sẽ được nhận 0,9 cổ phiếu mới)</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Số lượng phát hành : 810.000 (tám trăm mười nghìn) cổ phiếu</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 xml:space="preserve">Tổng giá trị phát hành theo mệnh giá: 8.100.000.000 (Tám tỷ, một trăm triệu) đồng </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Nguồn: Lấy từ lợi nhuận sau thuế chưa phân phối thuộc sở hữu của công ty mẹ trên báo cáo tài chính năm 2014 đã được kiểm toán.</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Đối tượng phát hành: Cổ đông hiện hữu nắm giữ cổ phiếu của Công ty cổ phần Đầu tư và Xây dựng Thành Nam tính đến ngày chốt danh sách.</w:t>
      </w:r>
    </w:p>
    <w:p w:rsidR="00E275BE" w:rsidRPr="009140D2" w:rsidRDefault="00E275BE" w:rsidP="00E275BE">
      <w:pPr>
        <w:numPr>
          <w:ilvl w:val="0"/>
          <w:numId w:val="3"/>
        </w:numPr>
        <w:spacing w:before="60" w:line="312" w:lineRule="auto"/>
        <w:ind w:left="1134" w:hanging="450"/>
        <w:jc w:val="both"/>
        <w:rPr>
          <w:rFonts w:ascii="Times New Roman" w:hAnsi="Times New Roman"/>
          <w:sz w:val="26"/>
          <w:lang w:val="nl-NL"/>
        </w:rPr>
      </w:pPr>
      <w:r w:rsidRPr="009146CE">
        <w:rPr>
          <w:rFonts w:ascii="Times New Roman" w:hAnsi="Times New Roman"/>
          <w:sz w:val="26"/>
          <w:lang w:val="nl-NL"/>
        </w:rPr>
        <w:t>Phương án xử lý cổ phiếu lẻ (nếu có): Phương</w:t>
      </w:r>
      <w:r w:rsidRPr="00B80D06">
        <w:rPr>
          <w:rFonts w:ascii="Times New Roman" w:hAnsi="Times New Roman"/>
          <w:sz w:val="26"/>
          <w:lang w:val="nl-NL"/>
        </w:rPr>
        <w:t xml:space="preserve"> án làm tròn - </w:t>
      </w:r>
      <w:r w:rsidRPr="009247E4">
        <w:rPr>
          <w:rFonts w:ascii="Times New Roman" w:hAnsi="Times New Roman"/>
          <w:sz w:val="26"/>
        </w:rPr>
        <w:t xml:space="preserve">Số cổ phiếu mới phân phối cho cổ đông được làm tròn xuống hàng đơn vị, phần lẻ thập phân (nếu có) phát sinh khi thực hiện quyền sẽ được Hội đồng quản trị phân phối cho đối tượng khác theo cách thức và điều kiện phù hợp với giá bán là 10.000 đồng/cổ phiếu. </w:t>
      </w:r>
      <w:r>
        <w:rPr>
          <w:rFonts w:ascii="Times New Roman" w:hAnsi="Times New Roman"/>
          <w:sz w:val="26"/>
        </w:rPr>
        <w:t>Số tiền thu được từ bán cổ phiếu lẻ sẽ được trả cho cổ đông nắm giữ phần cổ phiếu có phần lẻ thập phân đó.</w:t>
      </w:r>
    </w:p>
    <w:p w:rsidR="00E275BE" w:rsidRPr="00343838" w:rsidRDefault="00E275BE" w:rsidP="00E275BE">
      <w:pPr>
        <w:pStyle w:val="ListParagraph"/>
        <w:spacing w:before="120" w:line="312" w:lineRule="auto"/>
        <w:ind w:left="1170"/>
        <w:contextualSpacing w:val="0"/>
        <w:jc w:val="both"/>
        <w:rPr>
          <w:rFonts w:ascii="Times New Roman" w:hAnsi="Times New Roman"/>
          <w:i/>
          <w:color w:val="2E2E2E"/>
          <w:sz w:val="26"/>
          <w:szCs w:val="26"/>
        </w:rPr>
      </w:pPr>
      <w:r w:rsidRPr="00343838">
        <w:rPr>
          <w:rFonts w:ascii="Times New Roman" w:hAnsi="Times New Roman"/>
          <w:i/>
          <w:color w:val="2E2E2E"/>
          <w:sz w:val="26"/>
          <w:szCs w:val="26"/>
        </w:rPr>
        <w:t>Ví dụ: Cổ đông nắm giữ 101 cổ phiếu, tỷ lệ thực hiện 10:0,9. Cổ đông nhận được cổ phiếu mới tương ứng 101*9% = 9,09 cổ phiếu. Do làm tròn đến hàng đơn vị nên số cổ phiếu thực tế nhận được là 9 cổ phiếu và</w:t>
      </w:r>
      <w:r>
        <w:rPr>
          <w:rFonts w:ascii="Times New Roman" w:hAnsi="Times New Roman"/>
          <w:i/>
          <w:color w:val="2E2E2E"/>
          <w:sz w:val="26"/>
          <w:szCs w:val="26"/>
        </w:rPr>
        <w:t xml:space="preserve"> 900 đồng tiền mặt cho 0.09 cổ phiếu lẻ. Số cổ phiếu này sẽ được Hội đồng quản trị phân phối cho đối tượng khác với giá bán 10.000 đồng/cổ phiếu</w:t>
      </w:r>
      <w:r w:rsidRPr="00343838">
        <w:rPr>
          <w:rFonts w:ascii="Times New Roman" w:hAnsi="Times New Roman"/>
          <w:i/>
          <w:color w:val="2E2E2E"/>
          <w:sz w:val="26"/>
          <w:szCs w:val="26"/>
        </w:rPr>
        <w:t>.</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Thời gian: Dự kiến Quý II/2015</w:t>
      </w:r>
    </w:p>
    <w:p w:rsidR="00E275BE" w:rsidRPr="00362CFE" w:rsidRDefault="00E275BE" w:rsidP="00E275BE">
      <w:pPr>
        <w:numPr>
          <w:ilvl w:val="0"/>
          <w:numId w:val="4"/>
        </w:numPr>
        <w:tabs>
          <w:tab w:val="left" w:pos="1080"/>
        </w:tabs>
        <w:spacing w:before="120" w:line="312" w:lineRule="auto"/>
        <w:ind w:firstLine="0"/>
        <w:jc w:val="both"/>
        <w:rPr>
          <w:rFonts w:ascii="Times New Roman" w:hAnsi="Times New Roman"/>
          <w:sz w:val="26"/>
          <w:szCs w:val="26"/>
        </w:rPr>
      </w:pPr>
      <w:r w:rsidRPr="00362CFE">
        <w:rPr>
          <w:rFonts w:ascii="Times New Roman" w:hAnsi="Times New Roman"/>
          <w:sz w:val="26"/>
          <w:szCs w:val="26"/>
        </w:rPr>
        <w:t>Phương án phát hành cổ phiếu chào bán cho CBNV trong công ty theo chương trình lựa chọn cho người lao động:</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Mục đích: Tạo động lực cho cán bộ nhân viên gắn kết lâu dài, chia sẻ sự thành công với Công ty thông qua việc hưởng cổ tức và có cơ hội được sở hữu cổ phần.</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 xml:space="preserve">Số lượng cổ phiếu chào bán: </w:t>
      </w:r>
      <w:r>
        <w:rPr>
          <w:rFonts w:ascii="Times New Roman" w:hAnsi="Times New Roman"/>
          <w:sz w:val="26"/>
          <w:lang w:val="nl-NL"/>
        </w:rPr>
        <w:tab/>
      </w:r>
      <w:r w:rsidRPr="00343838">
        <w:rPr>
          <w:rFonts w:ascii="Times New Roman" w:hAnsi="Times New Roman"/>
          <w:sz w:val="26"/>
          <w:lang w:val="nl-NL"/>
        </w:rPr>
        <w:t xml:space="preserve">190.000 </w:t>
      </w:r>
      <w:r w:rsidRPr="00362CFE">
        <w:rPr>
          <w:rFonts w:ascii="Times New Roman" w:hAnsi="Times New Roman"/>
          <w:i/>
          <w:sz w:val="26"/>
          <w:lang w:val="nl-NL"/>
        </w:rPr>
        <w:t>(một trăm chín mươi nghìn)</w:t>
      </w:r>
      <w:r w:rsidRPr="00343838">
        <w:rPr>
          <w:rFonts w:ascii="Times New Roman" w:hAnsi="Times New Roman"/>
          <w:sz w:val="26"/>
          <w:lang w:val="nl-NL"/>
        </w:rPr>
        <w:t xml:space="preserve"> cổ phiếu</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 xml:space="preserve">Giá chào bán dự kiến: </w:t>
      </w:r>
      <w:r>
        <w:rPr>
          <w:rFonts w:ascii="Times New Roman" w:hAnsi="Times New Roman"/>
          <w:sz w:val="26"/>
          <w:lang w:val="nl-NL"/>
        </w:rPr>
        <w:tab/>
      </w:r>
      <w:r>
        <w:rPr>
          <w:rFonts w:ascii="Times New Roman" w:hAnsi="Times New Roman"/>
          <w:sz w:val="26"/>
          <w:lang w:val="nl-NL"/>
        </w:rPr>
        <w:tab/>
      </w:r>
      <w:r w:rsidRPr="00343838">
        <w:rPr>
          <w:rFonts w:ascii="Times New Roman" w:hAnsi="Times New Roman"/>
          <w:sz w:val="26"/>
          <w:lang w:val="nl-NL"/>
        </w:rPr>
        <w:t xml:space="preserve">10.000 </w:t>
      </w:r>
      <w:r w:rsidRPr="00362CFE">
        <w:rPr>
          <w:rFonts w:ascii="Times New Roman" w:hAnsi="Times New Roman"/>
          <w:i/>
          <w:sz w:val="26"/>
          <w:lang w:val="nl-NL"/>
        </w:rPr>
        <w:t>(mười nghìn)</w:t>
      </w:r>
      <w:r w:rsidRPr="00343838">
        <w:rPr>
          <w:rFonts w:ascii="Times New Roman" w:hAnsi="Times New Roman"/>
          <w:sz w:val="26"/>
          <w:lang w:val="nl-NL"/>
        </w:rPr>
        <w:t xml:space="preserve"> đồng</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 xml:space="preserve">Giá trị phát hành: </w:t>
      </w:r>
      <w:r>
        <w:rPr>
          <w:rFonts w:ascii="Times New Roman" w:hAnsi="Times New Roman"/>
          <w:sz w:val="26"/>
          <w:lang w:val="nl-NL"/>
        </w:rPr>
        <w:tab/>
      </w:r>
      <w:r>
        <w:rPr>
          <w:rFonts w:ascii="Times New Roman" w:hAnsi="Times New Roman"/>
          <w:sz w:val="26"/>
          <w:lang w:val="nl-NL"/>
        </w:rPr>
        <w:tab/>
      </w:r>
      <w:r w:rsidRPr="00343838">
        <w:rPr>
          <w:rFonts w:ascii="Times New Roman" w:hAnsi="Times New Roman"/>
          <w:sz w:val="26"/>
          <w:lang w:val="nl-NL"/>
        </w:rPr>
        <w:t xml:space="preserve">1.900.000.000 </w:t>
      </w:r>
      <w:r w:rsidRPr="00362CFE">
        <w:rPr>
          <w:rFonts w:ascii="Times New Roman" w:hAnsi="Times New Roman"/>
          <w:i/>
          <w:sz w:val="26"/>
          <w:lang w:val="nl-NL"/>
        </w:rPr>
        <w:t>(một tỷ, chín trăm triệu)</w:t>
      </w:r>
      <w:r w:rsidRPr="00343838">
        <w:rPr>
          <w:rFonts w:ascii="Times New Roman" w:hAnsi="Times New Roman"/>
          <w:sz w:val="26"/>
          <w:lang w:val="nl-NL"/>
        </w:rPr>
        <w:t xml:space="preserve"> đồng</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lastRenderedPageBreak/>
        <w:t>Tiêu chuẩn và số cổ phiếu phân phối cho người lao động: Đối tượng người lao động đang làm việc trong Công ty chia làm 5 nhóm chính, mức chào bán sẽ chia đều cho số năm công tác của người lao động.</w:t>
      </w:r>
    </w:p>
    <w:p w:rsidR="00E275BE" w:rsidRPr="00343838" w:rsidRDefault="00E275BE" w:rsidP="00E275BE">
      <w:pPr>
        <w:widowControl w:val="0"/>
        <w:numPr>
          <w:ilvl w:val="0"/>
          <w:numId w:val="5"/>
        </w:numPr>
        <w:tabs>
          <w:tab w:val="left" w:pos="520"/>
          <w:tab w:val="left" w:pos="990"/>
          <w:tab w:val="left" w:pos="1530"/>
        </w:tabs>
        <w:autoSpaceDE w:val="0"/>
        <w:autoSpaceDN w:val="0"/>
        <w:adjustRightInd w:val="0"/>
        <w:spacing w:before="120" w:line="312" w:lineRule="auto"/>
        <w:ind w:left="1530"/>
        <w:jc w:val="both"/>
        <w:rPr>
          <w:rFonts w:ascii="Times New Roman" w:hAnsi="Times New Roman"/>
          <w:i/>
          <w:sz w:val="26"/>
          <w:szCs w:val="26"/>
        </w:rPr>
      </w:pPr>
      <w:r w:rsidRPr="00343838">
        <w:rPr>
          <w:rFonts w:ascii="Times New Roman" w:hAnsi="Times New Roman"/>
          <w:i/>
          <w:color w:val="000000"/>
          <w:sz w:val="26"/>
          <w:szCs w:val="26"/>
        </w:rPr>
        <w:t>Hội đồng quản trị:</w:t>
      </w:r>
      <w:r w:rsidRPr="00343838">
        <w:rPr>
          <w:rFonts w:ascii="Times New Roman" w:hAnsi="Times New Roman"/>
          <w:i/>
          <w:sz w:val="26"/>
          <w:szCs w:val="26"/>
        </w:rPr>
        <w:t xml:space="preserve"> Tổng mức chào bán 20% tương đương 38.000 (Ba mươi tám nghìn) cổ phiếu.</w:t>
      </w:r>
    </w:p>
    <w:p w:rsidR="00E275BE" w:rsidRPr="00343838" w:rsidRDefault="00E275BE" w:rsidP="00E275BE">
      <w:pPr>
        <w:widowControl w:val="0"/>
        <w:numPr>
          <w:ilvl w:val="0"/>
          <w:numId w:val="5"/>
        </w:numPr>
        <w:tabs>
          <w:tab w:val="left" w:pos="520"/>
          <w:tab w:val="left" w:pos="990"/>
          <w:tab w:val="left" w:pos="1530"/>
        </w:tabs>
        <w:autoSpaceDE w:val="0"/>
        <w:autoSpaceDN w:val="0"/>
        <w:adjustRightInd w:val="0"/>
        <w:spacing w:before="120" w:line="312" w:lineRule="auto"/>
        <w:ind w:left="1530"/>
        <w:jc w:val="both"/>
        <w:rPr>
          <w:rFonts w:ascii="Times New Roman" w:hAnsi="Times New Roman"/>
          <w:i/>
          <w:sz w:val="26"/>
          <w:szCs w:val="26"/>
        </w:rPr>
      </w:pPr>
      <w:r w:rsidRPr="00343838">
        <w:rPr>
          <w:rFonts w:ascii="Times New Roman" w:hAnsi="Times New Roman"/>
          <w:i/>
          <w:sz w:val="26"/>
          <w:szCs w:val="26"/>
        </w:rPr>
        <w:t>Ban giám đốc: Tổng mức chào bán 20% tương đương 38.000 (Ba mươi tám nghìn) cổ phiếu.</w:t>
      </w:r>
    </w:p>
    <w:p w:rsidR="00E275BE" w:rsidRPr="00343838" w:rsidRDefault="00E275BE" w:rsidP="00E275BE">
      <w:pPr>
        <w:widowControl w:val="0"/>
        <w:numPr>
          <w:ilvl w:val="0"/>
          <w:numId w:val="5"/>
        </w:numPr>
        <w:tabs>
          <w:tab w:val="left" w:pos="520"/>
          <w:tab w:val="left" w:pos="990"/>
          <w:tab w:val="left" w:pos="1530"/>
        </w:tabs>
        <w:autoSpaceDE w:val="0"/>
        <w:autoSpaceDN w:val="0"/>
        <w:adjustRightInd w:val="0"/>
        <w:spacing w:before="120" w:line="312" w:lineRule="auto"/>
        <w:ind w:left="1530"/>
        <w:jc w:val="both"/>
        <w:rPr>
          <w:rFonts w:ascii="Times New Roman" w:hAnsi="Times New Roman"/>
          <w:i/>
          <w:sz w:val="26"/>
          <w:szCs w:val="26"/>
        </w:rPr>
      </w:pPr>
      <w:r w:rsidRPr="00343838">
        <w:rPr>
          <w:rFonts w:ascii="Times New Roman" w:hAnsi="Times New Roman"/>
          <w:i/>
          <w:color w:val="000000"/>
          <w:sz w:val="26"/>
          <w:szCs w:val="26"/>
        </w:rPr>
        <w:t>Cấp trưởng, phó phòng: Tổng mức chào bán 20% tương đương 38.000 (ba mươi tám nghìn) cổ phiếu.</w:t>
      </w:r>
    </w:p>
    <w:p w:rsidR="00E275BE" w:rsidRPr="00343838" w:rsidRDefault="00E275BE" w:rsidP="00E275BE">
      <w:pPr>
        <w:widowControl w:val="0"/>
        <w:numPr>
          <w:ilvl w:val="0"/>
          <w:numId w:val="5"/>
        </w:numPr>
        <w:tabs>
          <w:tab w:val="left" w:pos="520"/>
          <w:tab w:val="left" w:pos="990"/>
          <w:tab w:val="left" w:pos="1530"/>
        </w:tabs>
        <w:autoSpaceDE w:val="0"/>
        <w:autoSpaceDN w:val="0"/>
        <w:adjustRightInd w:val="0"/>
        <w:spacing w:before="120" w:line="312" w:lineRule="auto"/>
        <w:ind w:left="1530"/>
        <w:jc w:val="both"/>
        <w:rPr>
          <w:rFonts w:ascii="Times New Roman" w:hAnsi="Times New Roman"/>
          <w:i/>
          <w:sz w:val="26"/>
          <w:szCs w:val="26"/>
        </w:rPr>
      </w:pPr>
      <w:r w:rsidRPr="00343838">
        <w:rPr>
          <w:rFonts w:ascii="Times New Roman" w:hAnsi="Times New Roman"/>
          <w:i/>
          <w:color w:val="000000"/>
          <w:sz w:val="26"/>
          <w:szCs w:val="26"/>
        </w:rPr>
        <w:t xml:space="preserve">Cấp chuyên viên có thời gian làm việc từ đủ 2 năm: Tổng mức chào bán 20% tương đương 38.000 (ba mươi tám nghìn )cổ phiếu. </w:t>
      </w:r>
    </w:p>
    <w:p w:rsidR="00E275BE" w:rsidRPr="00343838" w:rsidRDefault="00E275BE" w:rsidP="00E275BE">
      <w:pPr>
        <w:widowControl w:val="0"/>
        <w:numPr>
          <w:ilvl w:val="0"/>
          <w:numId w:val="5"/>
        </w:numPr>
        <w:tabs>
          <w:tab w:val="left" w:pos="520"/>
          <w:tab w:val="left" w:pos="990"/>
          <w:tab w:val="left" w:pos="1530"/>
        </w:tabs>
        <w:autoSpaceDE w:val="0"/>
        <w:autoSpaceDN w:val="0"/>
        <w:adjustRightInd w:val="0"/>
        <w:spacing w:before="120" w:line="312" w:lineRule="auto"/>
        <w:ind w:left="1530"/>
        <w:jc w:val="both"/>
        <w:rPr>
          <w:rFonts w:ascii="Times New Roman" w:hAnsi="Times New Roman"/>
          <w:i/>
          <w:sz w:val="26"/>
          <w:szCs w:val="26"/>
        </w:rPr>
      </w:pPr>
      <w:r w:rsidRPr="00343838">
        <w:rPr>
          <w:rFonts w:ascii="Times New Roman" w:hAnsi="Times New Roman"/>
          <w:i/>
          <w:color w:val="000000"/>
          <w:sz w:val="26"/>
          <w:szCs w:val="26"/>
        </w:rPr>
        <w:t>Các trường hợp còn lại có thời gian làm việc dưới 2 năm: Tổng mức chào bán 20% tương đương 38.000 (Ba mươi tám nghìn) cổ phiếu.</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 xml:space="preserve">Nguyên tắc xác định giá: </w:t>
      </w:r>
    </w:p>
    <w:p w:rsidR="00E275BE" w:rsidRPr="00343838" w:rsidRDefault="00E275BE" w:rsidP="00E275BE">
      <w:pPr>
        <w:widowControl w:val="0"/>
        <w:numPr>
          <w:ilvl w:val="0"/>
          <w:numId w:val="5"/>
        </w:numPr>
        <w:tabs>
          <w:tab w:val="left" w:pos="520"/>
          <w:tab w:val="left" w:pos="990"/>
          <w:tab w:val="left" w:pos="1530"/>
        </w:tabs>
        <w:autoSpaceDE w:val="0"/>
        <w:autoSpaceDN w:val="0"/>
        <w:adjustRightInd w:val="0"/>
        <w:spacing w:before="120" w:line="312" w:lineRule="auto"/>
        <w:ind w:left="1530"/>
        <w:jc w:val="both"/>
        <w:rPr>
          <w:rFonts w:ascii="Times New Roman" w:hAnsi="Times New Roman"/>
          <w:i/>
          <w:color w:val="000000"/>
          <w:sz w:val="26"/>
          <w:szCs w:val="26"/>
        </w:rPr>
      </w:pPr>
      <w:r w:rsidRPr="00343838">
        <w:rPr>
          <w:rFonts w:ascii="Times New Roman" w:hAnsi="Times New Roman"/>
          <w:i/>
          <w:color w:val="000000"/>
          <w:sz w:val="26"/>
          <w:szCs w:val="26"/>
        </w:rPr>
        <w:t>Căn cứ trên BCTC kiểm toán 2014, giá trị sổ sách trên mỗi cổ phiếu là 12.190</w:t>
      </w:r>
      <w:r>
        <w:rPr>
          <w:rFonts w:ascii="Times New Roman" w:hAnsi="Times New Roman"/>
          <w:i/>
          <w:color w:val="000000"/>
          <w:sz w:val="26"/>
          <w:szCs w:val="26"/>
        </w:rPr>
        <w:t xml:space="preserve"> (mười hai nghìn một trăm chín mươi)</w:t>
      </w:r>
      <w:r w:rsidRPr="00343838">
        <w:rPr>
          <w:rFonts w:ascii="Times New Roman" w:hAnsi="Times New Roman"/>
          <w:i/>
          <w:color w:val="000000"/>
          <w:sz w:val="26"/>
          <w:szCs w:val="26"/>
        </w:rPr>
        <w:t xml:space="preserve"> đồng;</w:t>
      </w:r>
    </w:p>
    <w:p w:rsidR="00E275BE" w:rsidRPr="00343838" w:rsidRDefault="00E275BE" w:rsidP="00E275BE">
      <w:pPr>
        <w:widowControl w:val="0"/>
        <w:numPr>
          <w:ilvl w:val="0"/>
          <w:numId w:val="5"/>
        </w:numPr>
        <w:tabs>
          <w:tab w:val="left" w:pos="520"/>
          <w:tab w:val="left" w:pos="990"/>
          <w:tab w:val="left" w:pos="1530"/>
        </w:tabs>
        <w:autoSpaceDE w:val="0"/>
        <w:autoSpaceDN w:val="0"/>
        <w:adjustRightInd w:val="0"/>
        <w:spacing w:before="120" w:line="312" w:lineRule="auto"/>
        <w:ind w:left="1530"/>
        <w:jc w:val="both"/>
        <w:rPr>
          <w:rFonts w:ascii="Times New Roman" w:hAnsi="Times New Roman"/>
          <w:i/>
          <w:color w:val="000000"/>
          <w:sz w:val="26"/>
          <w:szCs w:val="26"/>
        </w:rPr>
      </w:pPr>
      <w:r w:rsidRPr="00343838">
        <w:rPr>
          <w:rFonts w:ascii="Times New Roman" w:hAnsi="Times New Roman"/>
          <w:i/>
          <w:color w:val="000000"/>
          <w:sz w:val="26"/>
          <w:szCs w:val="26"/>
        </w:rPr>
        <w:t>Căn cứ giao giao dịch trung bình 20 phiên gần nhất trên sở giao dịch chứng khoán Hà nội: 13.900</w:t>
      </w:r>
      <w:r>
        <w:rPr>
          <w:rFonts w:ascii="Times New Roman" w:hAnsi="Times New Roman"/>
          <w:i/>
          <w:color w:val="000000"/>
          <w:sz w:val="26"/>
          <w:szCs w:val="26"/>
        </w:rPr>
        <w:t xml:space="preserve"> (mười ba nghìn chín trăm)</w:t>
      </w:r>
      <w:r w:rsidRPr="00343838">
        <w:rPr>
          <w:rFonts w:ascii="Times New Roman" w:hAnsi="Times New Roman"/>
          <w:i/>
          <w:color w:val="000000"/>
          <w:sz w:val="26"/>
          <w:szCs w:val="26"/>
        </w:rPr>
        <w:t xml:space="preserve"> đồng;</w:t>
      </w:r>
    </w:p>
    <w:p w:rsidR="00E275BE" w:rsidRPr="00343838" w:rsidRDefault="00E275BE" w:rsidP="00E275BE">
      <w:pPr>
        <w:widowControl w:val="0"/>
        <w:numPr>
          <w:ilvl w:val="0"/>
          <w:numId w:val="5"/>
        </w:numPr>
        <w:tabs>
          <w:tab w:val="left" w:pos="520"/>
          <w:tab w:val="left" w:pos="990"/>
          <w:tab w:val="left" w:pos="1530"/>
        </w:tabs>
        <w:autoSpaceDE w:val="0"/>
        <w:autoSpaceDN w:val="0"/>
        <w:adjustRightInd w:val="0"/>
        <w:spacing w:before="120" w:line="312" w:lineRule="auto"/>
        <w:ind w:left="1530"/>
        <w:jc w:val="both"/>
        <w:rPr>
          <w:rFonts w:ascii="Times New Roman" w:hAnsi="Times New Roman"/>
          <w:i/>
          <w:color w:val="000000"/>
          <w:sz w:val="26"/>
          <w:szCs w:val="26"/>
        </w:rPr>
      </w:pPr>
      <w:r w:rsidRPr="00343838">
        <w:rPr>
          <w:rFonts w:ascii="Times New Roman" w:hAnsi="Times New Roman"/>
          <w:i/>
          <w:color w:val="000000"/>
          <w:sz w:val="26"/>
          <w:szCs w:val="26"/>
        </w:rPr>
        <w:t>Căn cứ vào chiến lược phát triển của Công ty, đồng thời để khuyến khích người lao động gắn bó và đóng góp cho sự phát triển của Công ty, Hội đồng quản trị đề xuất giá chào bán cho CBNV trong đợt phát hành cổ phiếu theo chương trình lựa chọn cho người lao động lần này là 10.000</w:t>
      </w:r>
      <w:r>
        <w:rPr>
          <w:rFonts w:ascii="Times New Roman" w:hAnsi="Times New Roman"/>
          <w:i/>
          <w:color w:val="000000"/>
          <w:sz w:val="26"/>
          <w:szCs w:val="26"/>
        </w:rPr>
        <w:t xml:space="preserve"> (mười nghìn)</w:t>
      </w:r>
      <w:r w:rsidRPr="00343838">
        <w:rPr>
          <w:rFonts w:ascii="Times New Roman" w:hAnsi="Times New Roman"/>
          <w:i/>
          <w:color w:val="000000"/>
          <w:sz w:val="26"/>
          <w:szCs w:val="26"/>
        </w:rPr>
        <w:t xml:space="preserve"> đồng/cổ phiếu.</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9146CE">
        <w:rPr>
          <w:rFonts w:ascii="Times New Roman" w:hAnsi="Times New Roman"/>
          <w:sz w:val="26"/>
          <w:lang w:val="nl-NL"/>
        </w:rPr>
        <w:t>Phương án xử lý số cổ phiếu không bán hết (nếu có): Số cổ phiếu do người lao động từ chối mua sẽ được Hội đồng quản trị phân phối tiếp cho các đối tượng còn lại trong danh sách người lao động đã được lựa chọn</w:t>
      </w:r>
      <w:r w:rsidRPr="00343838">
        <w:rPr>
          <w:rFonts w:ascii="Times New Roman" w:hAnsi="Times New Roman"/>
          <w:sz w:val="26"/>
          <w:lang w:val="nl-NL"/>
        </w:rPr>
        <w:t xml:space="preserve">. </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Danh sách người lao động: Ủy quyền cho Hội đồng quản trị phê duyệt lập danh sách người lao động và thành viên hội đồng quản trị trên cơ sở đảm bảo tối đa quyền lợi của nhân viên công ty</w:t>
      </w:r>
      <w:r>
        <w:rPr>
          <w:rFonts w:ascii="Times New Roman" w:hAnsi="Times New Roman"/>
          <w:sz w:val="26"/>
          <w:lang w:val="nl-NL"/>
        </w:rPr>
        <w:t>.</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9146CE">
        <w:rPr>
          <w:rFonts w:ascii="Times New Roman" w:hAnsi="Times New Roman"/>
          <w:sz w:val="26"/>
          <w:lang w:val="nl-NL"/>
        </w:rPr>
        <w:t>Hạn chế chuyển nhượng: Toàn bộ số cổ phiếu chào bán cán bộ nhân viên với hình thức chào bán theo chương</w:t>
      </w:r>
      <w:r w:rsidRPr="00651685">
        <w:rPr>
          <w:rFonts w:ascii="Times New Roman" w:hAnsi="Times New Roman"/>
          <w:sz w:val="26"/>
          <w:lang w:val="nl-NL"/>
        </w:rPr>
        <w:t xml:space="preserve"> trình lựa chọn cho người lao độ</w:t>
      </w:r>
      <w:r>
        <w:rPr>
          <w:rFonts w:ascii="Times New Roman" w:hAnsi="Times New Roman"/>
          <w:sz w:val="26"/>
          <w:lang w:val="nl-NL"/>
        </w:rPr>
        <w:t>ng sẽ</w:t>
      </w:r>
      <w:r w:rsidRPr="00651685">
        <w:rPr>
          <w:rFonts w:ascii="Times New Roman" w:hAnsi="Times New Roman"/>
          <w:sz w:val="26"/>
          <w:lang w:val="nl-NL"/>
        </w:rPr>
        <w:t xml:space="preserve"> không bị hạn chế chuyển nhượng</w:t>
      </w:r>
      <w:r>
        <w:rPr>
          <w:rFonts w:ascii="Times New Roman" w:hAnsi="Times New Roman"/>
          <w:sz w:val="26"/>
          <w:lang w:val="nl-NL"/>
        </w:rPr>
        <w:t>.</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Thời gian dự kiến: Quý II/2015</w:t>
      </w:r>
    </w:p>
    <w:p w:rsidR="00E275BE" w:rsidRDefault="00E275BE" w:rsidP="00E275BE">
      <w:pPr>
        <w:numPr>
          <w:ilvl w:val="0"/>
          <w:numId w:val="2"/>
        </w:numPr>
        <w:spacing w:before="120" w:line="312" w:lineRule="auto"/>
        <w:ind w:right="187" w:hanging="720"/>
        <w:jc w:val="both"/>
        <w:rPr>
          <w:rFonts w:ascii="Times New Roman" w:hAnsi="Times New Roman"/>
          <w:b/>
          <w:sz w:val="26"/>
          <w:szCs w:val="26"/>
          <w:lang w:val="nl-NL"/>
        </w:rPr>
      </w:pPr>
      <w:r>
        <w:rPr>
          <w:rFonts w:ascii="Times New Roman" w:hAnsi="Times New Roman"/>
          <w:b/>
          <w:sz w:val="26"/>
          <w:szCs w:val="26"/>
          <w:lang w:val="nl-NL"/>
        </w:rPr>
        <w:t>Phương án tăng vốn điều lệ dự kiến giai đoạn 2:</w:t>
      </w:r>
    </w:p>
    <w:p w:rsidR="00E275BE" w:rsidRPr="00FD066C" w:rsidRDefault="00E275BE" w:rsidP="00E275BE">
      <w:pPr>
        <w:spacing w:before="120" w:line="312" w:lineRule="auto"/>
        <w:ind w:left="720" w:right="187"/>
        <w:jc w:val="both"/>
        <w:rPr>
          <w:rFonts w:ascii="Times New Roman" w:hAnsi="Times New Roman"/>
          <w:sz w:val="26"/>
          <w:szCs w:val="26"/>
          <w:lang w:val="nl-NL"/>
        </w:rPr>
      </w:pPr>
      <w:r>
        <w:rPr>
          <w:rFonts w:ascii="Times New Roman" w:hAnsi="Times New Roman"/>
          <w:sz w:val="26"/>
          <w:szCs w:val="26"/>
          <w:lang w:val="nl-NL"/>
        </w:rPr>
        <w:t>Sau khi hoàn tất việc tăng vốn điều lệ giai đoạn 1 thì tiến hành tiếp giai đoạn 2 với phương thức: phát hành riêng lẻ tối đa là 5.000.000 (năm triệu) cổ phần tương đương với giá trị 50.000.000.000 (năm mươi tỷ) đồng.</w:t>
      </w:r>
    </w:p>
    <w:p w:rsidR="00E275BE" w:rsidRDefault="00E275BE" w:rsidP="00E275BE">
      <w:pPr>
        <w:numPr>
          <w:ilvl w:val="0"/>
          <w:numId w:val="2"/>
        </w:numPr>
        <w:spacing w:before="120" w:line="312" w:lineRule="auto"/>
        <w:ind w:right="187" w:hanging="720"/>
        <w:jc w:val="both"/>
        <w:rPr>
          <w:rFonts w:ascii="Times New Roman" w:hAnsi="Times New Roman"/>
          <w:b/>
          <w:sz w:val="26"/>
          <w:szCs w:val="26"/>
          <w:lang w:val="nl-NL"/>
        </w:rPr>
      </w:pPr>
      <w:r>
        <w:rPr>
          <w:rFonts w:ascii="Times New Roman" w:hAnsi="Times New Roman"/>
          <w:b/>
          <w:sz w:val="26"/>
          <w:szCs w:val="26"/>
          <w:lang w:val="nl-NL"/>
        </w:rPr>
        <w:lastRenderedPageBreak/>
        <w:t>Thời gian thực hiện việc tăng vốn điều lệ dự kiến:</w:t>
      </w:r>
    </w:p>
    <w:p w:rsidR="00E275BE" w:rsidRDefault="00E275BE" w:rsidP="00E275BE">
      <w:pPr>
        <w:numPr>
          <w:ilvl w:val="0"/>
          <w:numId w:val="8"/>
        </w:numPr>
        <w:spacing w:before="120" w:line="312" w:lineRule="auto"/>
        <w:ind w:left="1170" w:right="187" w:hanging="450"/>
        <w:jc w:val="both"/>
        <w:rPr>
          <w:rFonts w:ascii="Times New Roman" w:hAnsi="Times New Roman"/>
          <w:sz w:val="26"/>
          <w:szCs w:val="26"/>
          <w:lang w:val="nl-NL"/>
        </w:rPr>
      </w:pPr>
      <w:r>
        <w:rPr>
          <w:rFonts w:ascii="Times New Roman" w:hAnsi="Times New Roman"/>
          <w:sz w:val="26"/>
          <w:szCs w:val="26"/>
          <w:lang w:val="nl-NL"/>
        </w:rPr>
        <w:t>Giai đoạn 1: Xây dựng phương án tăng vốn chi tiết có sự tư vấn kỹ lưỡng của Công ty cổ phần chứng khoán Châu Á – Thái Bình Dương (APEC) và thực hiện ngay sau khi được Đại hội cổ đông thông qua.</w:t>
      </w:r>
    </w:p>
    <w:p w:rsidR="00E275BE" w:rsidRPr="0095532E" w:rsidRDefault="00E275BE" w:rsidP="00E275BE">
      <w:pPr>
        <w:numPr>
          <w:ilvl w:val="0"/>
          <w:numId w:val="8"/>
        </w:numPr>
        <w:spacing w:before="120" w:line="312" w:lineRule="auto"/>
        <w:ind w:left="1170" w:right="187" w:hanging="450"/>
        <w:jc w:val="both"/>
        <w:rPr>
          <w:rFonts w:ascii="Times New Roman" w:hAnsi="Times New Roman"/>
          <w:sz w:val="26"/>
          <w:szCs w:val="26"/>
          <w:lang w:val="nl-NL"/>
        </w:rPr>
      </w:pPr>
      <w:r>
        <w:rPr>
          <w:rFonts w:ascii="Times New Roman" w:hAnsi="Times New Roman"/>
          <w:sz w:val="26"/>
          <w:szCs w:val="26"/>
          <w:lang w:val="nl-NL"/>
        </w:rPr>
        <w:t>Giai đoạn 2: Xin ý kiến Đại hội cổ đông ủy quyền cho HĐQT lựa chọn thời gian thực hiện, tiêu chí lựa chọn đối tượng mua có thể là quỹ của nước ngoài hoặc tổ chức/cá nhân trong nước và lựa chọn mức giá hợp lý (không thấp hơn mệnh giá 10.000 đồng/cổ phiếu)</w:t>
      </w:r>
    </w:p>
    <w:p w:rsidR="00E275BE" w:rsidRPr="005D1D7D" w:rsidRDefault="00E275BE" w:rsidP="00E275BE">
      <w:pPr>
        <w:numPr>
          <w:ilvl w:val="0"/>
          <w:numId w:val="2"/>
        </w:numPr>
        <w:spacing w:before="120" w:line="312" w:lineRule="auto"/>
        <w:ind w:right="187" w:hanging="720"/>
        <w:jc w:val="both"/>
        <w:rPr>
          <w:rFonts w:ascii="Times New Roman" w:hAnsi="Times New Roman"/>
          <w:b/>
          <w:sz w:val="26"/>
          <w:szCs w:val="26"/>
          <w:lang w:val="nl-NL"/>
        </w:rPr>
      </w:pPr>
      <w:r w:rsidRPr="005D1D7D">
        <w:rPr>
          <w:rFonts w:ascii="Times New Roman" w:hAnsi="Times New Roman"/>
          <w:b/>
          <w:sz w:val="26"/>
          <w:szCs w:val="26"/>
          <w:lang w:val="nl-NL"/>
        </w:rPr>
        <w:t>Ủy quyền cho Hội đồng quản trị</w:t>
      </w:r>
      <w:r>
        <w:rPr>
          <w:rFonts w:ascii="Times New Roman" w:hAnsi="Times New Roman"/>
          <w:b/>
          <w:sz w:val="26"/>
          <w:szCs w:val="26"/>
          <w:lang w:val="nl-NL"/>
        </w:rPr>
        <w:t>:</w:t>
      </w:r>
    </w:p>
    <w:p w:rsidR="00E275BE" w:rsidRPr="00362CFE" w:rsidRDefault="00E275BE" w:rsidP="00E275BE">
      <w:pPr>
        <w:numPr>
          <w:ilvl w:val="0"/>
          <w:numId w:val="6"/>
        </w:numPr>
        <w:tabs>
          <w:tab w:val="left" w:pos="1080"/>
        </w:tabs>
        <w:spacing w:before="120" w:line="312" w:lineRule="auto"/>
        <w:ind w:firstLine="0"/>
        <w:jc w:val="both"/>
        <w:rPr>
          <w:rFonts w:ascii="Times New Roman" w:hAnsi="Times New Roman"/>
          <w:sz w:val="26"/>
          <w:szCs w:val="26"/>
        </w:rPr>
      </w:pPr>
      <w:r w:rsidRPr="00362CFE">
        <w:rPr>
          <w:rFonts w:ascii="Times New Roman" w:hAnsi="Times New Roman"/>
          <w:sz w:val="26"/>
          <w:szCs w:val="26"/>
        </w:rPr>
        <w:t>Triển khai phương án phát hành cổ phiếu trả cổ tức và phát hành cổ phiếu chào bán cho cán bộ nhân viên theo chương trình lựa chọn cho người lao động:</w:t>
      </w:r>
    </w:p>
    <w:p w:rsidR="00E275BE"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Lựa chọn tổ chức tư vấn và lựa chọn thời điểm thích hợp để triển khai phương án phát hành sao cho có lợi nhất cho cổ đông, người lao động và Công ty;</w:t>
      </w:r>
    </w:p>
    <w:p w:rsidR="00E275BE" w:rsidRPr="0059652F" w:rsidRDefault="00E275BE" w:rsidP="00E275BE">
      <w:pPr>
        <w:numPr>
          <w:ilvl w:val="0"/>
          <w:numId w:val="3"/>
        </w:numPr>
        <w:spacing w:before="120" w:line="312" w:lineRule="auto"/>
        <w:ind w:left="1170" w:hanging="450"/>
        <w:jc w:val="both"/>
        <w:rPr>
          <w:rFonts w:ascii="Times New Roman" w:hAnsi="Times New Roman"/>
          <w:sz w:val="26"/>
          <w:lang w:val="nl-NL"/>
        </w:rPr>
      </w:pPr>
      <w:r w:rsidRPr="009146CE">
        <w:rPr>
          <w:rFonts w:ascii="Times New Roman" w:hAnsi="Times New Roman"/>
          <w:sz w:val="26"/>
        </w:rPr>
        <w:t>Phân phối cho đối tượng khác theo cách thức và điều kiện phù hợp trong trường hợp xử lý cổ phiếu lẻ (nếu có)</w:t>
      </w:r>
      <w:r>
        <w:rPr>
          <w:rFonts w:ascii="Times New Roman" w:hAnsi="Times New Roman"/>
          <w:sz w:val="26"/>
        </w:rPr>
        <w:t>.</w:t>
      </w:r>
    </w:p>
    <w:p w:rsidR="00E275BE" w:rsidRPr="00343838" w:rsidRDefault="00E275BE" w:rsidP="00E275BE">
      <w:pPr>
        <w:numPr>
          <w:ilvl w:val="0"/>
          <w:numId w:val="3"/>
        </w:numPr>
        <w:spacing w:before="120" w:line="312" w:lineRule="auto"/>
        <w:ind w:left="1170" w:hanging="450"/>
        <w:jc w:val="both"/>
        <w:rPr>
          <w:rFonts w:ascii="Times New Roman" w:hAnsi="Times New Roman"/>
          <w:sz w:val="26"/>
          <w:lang w:val="nl-NL"/>
        </w:rPr>
      </w:pPr>
      <w:r w:rsidRPr="00343838">
        <w:rPr>
          <w:rFonts w:ascii="Times New Roman" w:hAnsi="Times New Roman"/>
          <w:sz w:val="26"/>
          <w:lang w:val="nl-NL"/>
        </w:rPr>
        <w:t>Thực hiện các thủ tục cần thiết để xin cấp phép phát hành cổ phiếu tại Uỷ ban chứng khoán nhà nước, bao gồm cả việc bổ sung, chỉnh sửa, hoàn chỉnh hồ sơ sao cho việc xin phép phát hành được thực hiện một cách hợp pháp và đúng quy định.</w:t>
      </w:r>
    </w:p>
    <w:p w:rsidR="00E275BE" w:rsidRPr="00362CFE" w:rsidRDefault="00E275BE" w:rsidP="00E275BE">
      <w:pPr>
        <w:widowControl w:val="0"/>
        <w:numPr>
          <w:ilvl w:val="0"/>
          <w:numId w:val="6"/>
        </w:numPr>
        <w:tabs>
          <w:tab w:val="left" w:pos="1080"/>
        </w:tabs>
        <w:autoSpaceDE w:val="0"/>
        <w:autoSpaceDN w:val="0"/>
        <w:adjustRightInd w:val="0"/>
        <w:spacing w:before="120" w:line="312" w:lineRule="auto"/>
        <w:ind w:firstLine="0"/>
        <w:jc w:val="both"/>
        <w:rPr>
          <w:rFonts w:ascii="Times New Roman" w:hAnsi="Times New Roman"/>
          <w:sz w:val="26"/>
          <w:szCs w:val="26"/>
          <w:lang w:val="pt-BR"/>
        </w:rPr>
      </w:pPr>
      <w:r w:rsidRPr="00362CFE">
        <w:rPr>
          <w:rFonts w:ascii="Times New Roman" w:hAnsi="Times New Roman"/>
          <w:sz w:val="26"/>
          <w:szCs w:val="26"/>
        </w:rPr>
        <w:t xml:space="preserve">Lập hồ sơ đăng ký niêm yết bổ sung và đăng ký lưu ký bổ sung: </w:t>
      </w:r>
      <w:r w:rsidRPr="00362CFE">
        <w:rPr>
          <w:rFonts w:ascii="Times New Roman" w:hAnsi="Times New Roman"/>
          <w:sz w:val="26"/>
          <w:szCs w:val="26"/>
          <w:lang w:val="pt-BR"/>
        </w:rPr>
        <w:t>Thực hiện các thủ tục, công việc và lựa chọn thời điểm thích hợp để niêm yết bổ sung trên HNX và đăng ký lưu ký bổ sung tại Trung tâm lưu ký chứng khoán Việt Nam (VSD) số lượng cổ phiếu phát hành theo phương án chào bán đã được ĐHCĐ thông qua nêu trên.</w:t>
      </w:r>
    </w:p>
    <w:p w:rsidR="00E275BE" w:rsidRPr="00362CFE" w:rsidRDefault="00E275BE" w:rsidP="00E275BE">
      <w:pPr>
        <w:numPr>
          <w:ilvl w:val="0"/>
          <w:numId w:val="6"/>
        </w:numPr>
        <w:tabs>
          <w:tab w:val="left" w:pos="1080"/>
        </w:tabs>
        <w:spacing w:before="120" w:line="312" w:lineRule="auto"/>
        <w:ind w:firstLine="0"/>
        <w:jc w:val="both"/>
        <w:rPr>
          <w:rFonts w:ascii="Times New Roman" w:hAnsi="Times New Roman"/>
          <w:sz w:val="26"/>
          <w:szCs w:val="26"/>
        </w:rPr>
      </w:pPr>
      <w:r w:rsidRPr="00362CFE">
        <w:rPr>
          <w:rFonts w:ascii="Times New Roman" w:hAnsi="Times New Roman"/>
          <w:sz w:val="26"/>
          <w:szCs w:val="26"/>
        </w:rPr>
        <w:t>Thực hiện việc sửa đổi, bổ sung Điều lệ Công ty liên quan đến việc thay đổi mức vốn điều lệ theo kết quả thực tế của đợt phát hành.</w:t>
      </w:r>
    </w:p>
    <w:p w:rsidR="00E275BE" w:rsidRDefault="00E275BE" w:rsidP="00E275BE">
      <w:pPr>
        <w:numPr>
          <w:ilvl w:val="0"/>
          <w:numId w:val="6"/>
        </w:numPr>
        <w:tabs>
          <w:tab w:val="left" w:pos="1080"/>
        </w:tabs>
        <w:spacing w:before="120" w:line="312" w:lineRule="auto"/>
        <w:ind w:firstLine="0"/>
        <w:jc w:val="both"/>
        <w:rPr>
          <w:rFonts w:ascii="Times New Roman" w:hAnsi="Times New Roman"/>
          <w:sz w:val="26"/>
          <w:szCs w:val="26"/>
        </w:rPr>
      </w:pPr>
      <w:r w:rsidRPr="00362CFE">
        <w:rPr>
          <w:rFonts w:ascii="Times New Roman" w:hAnsi="Times New Roman"/>
          <w:sz w:val="26"/>
          <w:szCs w:val="26"/>
        </w:rPr>
        <w:t>Thực hiện các thủ tục thay đổi nội dung đăng ký kinh doanh của Công ty liên quan tới việc thay đổi vốn điều lệ theo kết quả phát hành cổ phiếu nêu trên với cơ quan nhà nước có thẩm quyền</w:t>
      </w:r>
    </w:p>
    <w:p w:rsidR="00E275BE" w:rsidRPr="00362CFE" w:rsidRDefault="00E275BE" w:rsidP="00E275BE">
      <w:pPr>
        <w:tabs>
          <w:tab w:val="left" w:pos="1080"/>
        </w:tabs>
        <w:spacing w:before="120" w:line="312" w:lineRule="auto"/>
        <w:ind w:left="720"/>
        <w:jc w:val="both"/>
        <w:rPr>
          <w:rFonts w:ascii="Times New Roman" w:hAnsi="Times New Roman"/>
          <w:sz w:val="26"/>
          <w:szCs w:val="26"/>
        </w:rPr>
      </w:pPr>
    </w:p>
    <w:p w:rsidR="00E275BE" w:rsidRDefault="00E275BE" w:rsidP="00E275BE">
      <w:pPr>
        <w:tabs>
          <w:tab w:val="left" w:pos="9360"/>
        </w:tabs>
        <w:spacing w:before="120" w:line="312" w:lineRule="auto"/>
        <w:jc w:val="both"/>
        <w:rPr>
          <w:rFonts w:ascii="Times New Roman" w:hAnsi="Times New Roman"/>
          <w:sz w:val="26"/>
          <w:szCs w:val="26"/>
        </w:rPr>
      </w:pPr>
      <w:r>
        <w:rPr>
          <w:rFonts w:ascii="Times New Roman" w:hAnsi="Times New Roman"/>
          <w:sz w:val="26"/>
          <w:szCs w:val="26"/>
        </w:rPr>
        <w:t xml:space="preserve">Trên đây là các </w:t>
      </w:r>
      <w:r w:rsidRPr="00B717B3">
        <w:rPr>
          <w:rFonts w:ascii="Times New Roman" w:hAnsi="Times New Roman"/>
          <w:sz w:val="26"/>
          <w:szCs w:val="26"/>
        </w:rPr>
        <w:t>nội dung xin ý kiến biểu quyết của Đại hội. Đề nghị Đại hội xem xét thông qua.</w:t>
      </w:r>
    </w:p>
    <w:p w:rsidR="00E275BE" w:rsidRPr="00C66DB4" w:rsidRDefault="00E275BE" w:rsidP="00E275BE">
      <w:pPr>
        <w:spacing w:before="120" w:line="312" w:lineRule="auto"/>
        <w:ind w:right="187"/>
        <w:jc w:val="both"/>
        <w:rPr>
          <w:rFonts w:ascii="Times New Roman" w:hAnsi="Times New Roman"/>
          <w:b/>
          <w:i/>
          <w:sz w:val="26"/>
          <w:szCs w:val="26"/>
        </w:rPr>
      </w:pPr>
      <w:r w:rsidRPr="00B717B3">
        <w:rPr>
          <w:rFonts w:ascii="Times New Roman" w:hAnsi="Times New Roman"/>
          <w:b/>
          <w:i/>
          <w:sz w:val="26"/>
          <w:szCs w:val="26"/>
        </w:rPr>
        <w:t>Xin trân trọng cảm ơn./.</w:t>
      </w:r>
    </w:p>
    <w:tbl>
      <w:tblPr>
        <w:tblW w:w="0" w:type="auto"/>
        <w:tblLook w:val="04A0"/>
      </w:tblPr>
      <w:tblGrid>
        <w:gridCol w:w="4913"/>
        <w:gridCol w:w="4930"/>
      </w:tblGrid>
      <w:tr w:rsidR="00E275BE" w:rsidRPr="007D4A19" w:rsidTr="00DC5413">
        <w:trPr>
          <w:trHeight w:val="2282"/>
        </w:trPr>
        <w:tc>
          <w:tcPr>
            <w:tcW w:w="4913" w:type="dxa"/>
          </w:tcPr>
          <w:p w:rsidR="00E275BE" w:rsidRPr="00BC0079" w:rsidRDefault="00E275BE" w:rsidP="00DC5413">
            <w:pPr>
              <w:spacing w:line="312" w:lineRule="auto"/>
              <w:ind w:right="180"/>
              <w:jc w:val="both"/>
              <w:rPr>
                <w:rFonts w:ascii="Times New Roman" w:hAnsi="Times New Roman"/>
                <w:sz w:val="22"/>
                <w:szCs w:val="22"/>
              </w:rPr>
            </w:pPr>
          </w:p>
        </w:tc>
        <w:tc>
          <w:tcPr>
            <w:tcW w:w="4930" w:type="dxa"/>
          </w:tcPr>
          <w:p w:rsidR="00E275BE" w:rsidRDefault="00E275BE" w:rsidP="00DC5413">
            <w:pPr>
              <w:ind w:right="187"/>
              <w:rPr>
                <w:rFonts w:ascii="Times New Roman" w:hAnsi="Times New Roman"/>
                <w:b/>
                <w:sz w:val="24"/>
                <w:szCs w:val="24"/>
              </w:rPr>
            </w:pPr>
          </w:p>
          <w:p w:rsidR="00E275BE" w:rsidRPr="00343838" w:rsidRDefault="00E275BE" w:rsidP="00DC5413">
            <w:pPr>
              <w:ind w:right="187"/>
              <w:jc w:val="center"/>
              <w:rPr>
                <w:rFonts w:ascii="Times New Roman" w:hAnsi="Times New Roman"/>
                <w:sz w:val="24"/>
                <w:szCs w:val="24"/>
              </w:rPr>
            </w:pPr>
            <w:r w:rsidRPr="00343838">
              <w:rPr>
                <w:rFonts w:ascii="Times New Roman" w:hAnsi="Times New Roman"/>
                <w:sz w:val="24"/>
                <w:szCs w:val="24"/>
              </w:rPr>
              <w:t>T/M HỘI ĐỒNG QUẢN TRỊ</w:t>
            </w:r>
          </w:p>
          <w:p w:rsidR="00E275BE" w:rsidRDefault="00E275BE" w:rsidP="00DC5413">
            <w:pPr>
              <w:ind w:right="187"/>
              <w:jc w:val="center"/>
              <w:rPr>
                <w:rFonts w:ascii="Times New Roman" w:hAnsi="Times New Roman"/>
                <w:b/>
                <w:sz w:val="24"/>
                <w:szCs w:val="24"/>
              </w:rPr>
            </w:pPr>
            <w:r w:rsidRPr="00BC0079">
              <w:rPr>
                <w:rFonts w:ascii="Times New Roman" w:hAnsi="Times New Roman"/>
                <w:b/>
                <w:sz w:val="24"/>
                <w:szCs w:val="24"/>
              </w:rPr>
              <w:t>CHỦ TỊCH</w:t>
            </w:r>
          </w:p>
          <w:p w:rsidR="00334DD1" w:rsidRDefault="00334DD1" w:rsidP="00DC5413">
            <w:pPr>
              <w:ind w:right="187"/>
              <w:jc w:val="center"/>
              <w:rPr>
                <w:rFonts w:ascii="Times New Roman" w:hAnsi="Times New Roman"/>
                <w:b/>
                <w:sz w:val="24"/>
                <w:szCs w:val="24"/>
              </w:rPr>
            </w:pPr>
            <w:r>
              <w:rPr>
                <w:rFonts w:ascii="Times New Roman" w:hAnsi="Times New Roman"/>
                <w:b/>
                <w:sz w:val="24"/>
                <w:szCs w:val="24"/>
              </w:rPr>
              <w:t>(đã ký)</w:t>
            </w:r>
          </w:p>
          <w:p w:rsidR="00E275BE" w:rsidRDefault="00E275BE" w:rsidP="00DC5413">
            <w:pPr>
              <w:ind w:right="187"/>
              <w:jc w:val="center"/>
              <w:rPr>
                <w:rFonts w:ascii="Times New Roman" w:hAnsi="Times New Roman"/>
                <w:b/>
                <w:sz w:val="24"/>
                <w:szCs w:val="24"/>
              </w:rPr>
            </w:pPr>
          </w:p>
          <w:p w:rsidR="00E275BE" w:rsidRPr="00F9686E" w:rsidRDefault="00E275BE" w:rsidP="00DC5413">
            <w:pPr>
              <w:ind w:right="187"/>
              <w:jc w:val="center"/>
              <w:rPr>
                <w:rFonts w:ascii="Times New Roman" w:hAnsi="Times New Roman"/>
                <w:b/>
                <w:sz w:val="24"/>
                <w:szCs w:val="24"/>
              </w:rPr>
            </w:pPr>
            <w:r w:rsidRPr="00BC0079">
              <w:rPr>
                <w:rFonts w:ascii="Times New Roman" w:hAnsi="Times New Roman"/>
                <w:b/>
                <w:sz w:val="24"/>
                <w:szCs w:val="24"/>
              </w:rPr>
              <w:t>ĐÀO NGỌC THANH</w:t>
            </w:r>
          </w:p>
        </w:tc>
      </w:tr>
    </w:tbl>
    <w:p w:rsidR="00E275BE" w:rsidRPr="007D4A19" w:rsidRDefault="00E275BE" w:rsidP="00E275BE">
      <w:pPr>
        <w:spacing w:line="312" w:lineRule="auto"/>
        <w:ind w:right="180"/>
        <w:jc w:val="both"/>
        <w:rPr>
          <w:rFonts w:ascii="Times New Roman" w:hAnsi="Times New Roman"/>
          <w:sz w:val="22"/>
          <w:szCs w:val="22"/>
        </w:rPr>
      </w:pPr>
    </w:p>
    <w:p w:rsidR="00912F4F" w:rsidRDefault="00912F4F"/>
    <w:sectPr w:rsidR="00912F4F" w:rsidSect="00E75879">
      <w:footerReference w:type="default" r:id="rId8"/>
      <w:pgSz w:w="11907" w:h="16839" w:code="9"/>
      <w:pgMar w:top="450" w:right="747" w:bottom="450" w:left="117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B8C" w:rsidRDefault="00805B8C" w:rsidP="00E275BE">
      <w:r>
        <w:separator/>
      </w:r>
    </w:p>
  </w:endnote>
  <w:endnote w:type="continuationSeparator" w:id="1">
    <w:p w:rsidR="00805B8C" w:rsidRDefault="00805B8C" w:rsidP="00E27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AB" w:rsidRPr="00406080" w:rsidRDefault="009319A0" w:rsidP="003000C6">
    <w:pPr>
      <w:pStyle w:val="Footer"/>
      <w:jc w:val="center"/>
      <w:rPr>
        <w:rFonts w:ascii="Times New Roman" w:hAnsi="Times New Roman"/>
        <w:sz w:val="24"/>
        <w:szCs w:val="24"/>
      </w:rPr>
    </w:pPr>
    <w:r w:rsidRPr="00406080">
      <w:rPr>
        <w:rFonts w:ascii="Times New Roman" w:hAnsi="Times New Roman"/>
        <w:sz w:val="24"/>
        <w:szCs w:val="24"/>
      </w:rPr>
      <w:fldChar w:fldCharType="begin"/>
    </w:r>
    <w:r w:rsidR="00860AF1" w:rsidRPr="00406080">
      <w:rPr>
        <w:rFonts w:ascii="Times New Roman" w:hAnsi="Times New Roman"/>
        <w:sz w:val="24"/>
        <w:szCs w:val="24"/>
      </w:rPr>
      <w:instrText xml:space="preserve"> PAGE   \* MERGEFORMAT </w:instrText>
    </w:r>
    <w:r w:rsidRPr="00406080">
      <w:rPr>
        <w:rFonts w:ascii="Times New Roman" w:hAnsi="Times New Roman"/>
        <w:sz w:val="24"/>
        <w:szCs w:val="24"/>
      </w:rPr>
      <w:fldChar w:fldCharType="separate"/>
    </w:r>
    <w:r w:rsidR="00334DD1">
      <w:rPr>
        <w:rFonts w:ascii="Times New Roman" w:hAnsi="Times New Roman"/>
        <w:noProof/>
        <w:sz w:val="24"/>
        <w:szCs w:val="24"/>
      </w:rPr>
      <w:t>5</w:t>
    </w:r>
    <w:r w:rsidRPr="00406080">
      <w:rPr>
        <w:rFonts w:ascii="Times New Roman" w:hAnsi="Times New Roman"/>
        <w:sz w:val="24"/>
        <w:szCs w:val="24"/>
      </w:rPr>
      <w:fldChar w:fldCharType="end"/>
    </w:r>
  </w:p>
  <w:p w:rsidR="00F102AB" w:rsidRDefault="00805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B8C" w:rsidRDefault="00805B8C" w:rsidP="00E275BE">
      <w:r>
        <w:separator/>
      </w:r>
    </w:p>
  </w:footnote>
  <w:footnote w:type="continuationSeparator" w:id="1">
    <w:p w:rsidR="00805B8C" w:rsidRDefault="00805B8C" w:rsidP="00E27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557A"/>
    <w:multiLevelType w:val="hybridMultilevel"/>
    <w:tmpl w:val="F27033FC"/>
    <w:lvl w:ilvl="0" w:tplc="4C76C3F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8103C1"/>
    <w:multiLevelType w:val="hybridMultilevel"/>
    <w:tmpl w:val="54F46B1A"/>
    <w:lvl w:ilvl="0" w:tplc="4C76C3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A1875"/>
    <w:multiLevelType w:val="hybridMultilevel"/>
    <w:tmpl w:val="CF7E977E"/>
    <w:lvl w:ilvl="0" w:tplc="04090005">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AC4E26"/>
    <w:multiLevelType w:val="hybridMultilevel"/>
    <w:tmpl w:val="FA68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C3D66"/>
    <w:multiLevelType w:val="hybridMultilevel"/>
    <w:tmpl w:val="804A23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5553267C"/>
    <w:multiLevelType w:val="hybridMultilevel"/>
    <w:tmpl w:val="83469870"/>
    <w:lvl w:ilvl="0" w:tplc="4C76C3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5E7ACF"/>
    <w:multiLevelType w:val="hybridMultilevel"/>
    <w:tmpl w:val="F996897C"/>
    <w:lvl w:ilvl="0" w:tplc="DD06BF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C4B1D"/>
    <w:multiLevelType w:val="hybridMultilevel"/>
    <w:tmpl w:val="CC50A452"/>
    <w:lvl w:ilvl="0" w:tplc="815C1A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75BE"/>
    <w:rsid w:val="00334DD1"/>
    <w:rsid w:val="00805B8C"/>
    <w:rsid w:val="00860AF1"/>
    <w:rsid w:val="00912F4F"/>
    <w:rsid w:val="009319A0"/>
    <w:rsid w:val="00E27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B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E275B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275BE"/>
    <w:pPr>
      <w:keepNext/>
      <w:spacing w:before="240" w:after="60"/>
      <w:outlineLvl w:val="1"/>
    </w:pPr>
    <w:rPr>
      <w:rFonts w:ascii="Cambria" w:hAnsi="Cambria"/>
      <w:b/>
      <w:bCs/>
      <w:i/>
      <w:iCs/>
    </w:rPr>
  </w:style>
  <w:style w:type="paragraph" w:styleId="Heading3">
    <w:name w:val="heading 3"/>
    <w:basedOn w:val="Normal"/>
    <w:next w:val="Normal"/>
    <w:link w:val="Heading3Char"/>
    <w:unhideWhenUsed/>
    <w:qFormat/>
    <w:rsid w:val="00E275BE"/>
    <w:pPr>
      <w:keepNext/>
      <w:spacing w:before="240" w:after="60"/>
      <w:outlineLvl w:val="2"/>
    </w:pPr>
    <w:rPr>
      <w:rFonts w:ascii="Cambria" w:hAnsi="Cambria"/>
      <w:b/>
      <w:bCs/>
      <w:sz w:val="26"/>
      <w:szCs w:val="26"/>
    </w:rPr>
  </w:style>
  <w:style w:type="paragraph" w:styleId="Heading9">
    <w:name w:val="heading 9"/>
    <w:basedOn w:val="Normal"/>
    <w:next w:val="Normal"/>
    <w:link w:val="Heading9Char"/>
    <w:uiPriority w:val="9"/>
    <w:unhideWhenUsed/>
    <w:qFormat/>
    <w:rsid w:val="00E275B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5B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275B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E275BE"/>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
    <w:rsid w:val="00E275BE"/>
    <w:rPr>
      <w:rFonts w:ascii="Cambria" w:eastAsia="Times New Roman" w:hAnsi="Cambria" w:cs="Times New Roman"/>
    </w:rPr>
  </w:style>
  <w:style w:type="paragraph" w:styleId="ListParagraph">
    <w:name w:val="List Paragraph"/>
    <w:basedOn w:val="Normal"/>
    <w:qFormat/>
    <w:rsid w:val="00E275BE"/>
    <w:pPr>
      <w:ind w:left="720"/>
      <w:contextualSpacing/>
    </w:pPr>
  </w:style>
  <w:style w:type="paragraph" w:styleId="Footer">
    <w:name w:val="footer"/>
    <w:basedOn w:val="Normal"/>
    <w:link w:val="FooterChar"/>
    <w:uiPriority w:val="99"/>
    <w:unhideWhenUsed/>
    <w:rsid w:val="00E275BE"/>
    <w:pPr>
      <w:tabs>
        <w:tab w:val="center" w:pos="4680"/>
        <w:tab w:val="right" w:pos="9360"/>
      </w:tabs>
    </w:pPr>
  </w:style>
  <w:style w:type="character" w:customStyle="1" w:styleId="FooterChar">
    <w:name w:val="Footer Char"/>
    <w:basedOn w:val="DefaultParagraphFont"/>
    <w:link w:val="Footer"/>
    <w:uiPriority w:val="99"/>
    <w:rsid w:val="00E275BE"/>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275BE"/>
    <w:rPr>
      <w:rFonts w:ascii="Tahoma" w:hAnsi="Tahoma" w:cs="Tahoma"/>
      <w:sz w:val="16"/>
      <w:szCs w:val="16"/>
    </w:rPr>
  </w:style>
  <w:style w:type="character" w:customStyle="1" w:styleId="BalloonTextChar">
    <w:name w:val="Balloon Text Char"/>
    <w:basedOn w:val="DefaultParagraphFont"/>
    <w:link w:val="BalloonText"/>
    <w:uiPriority w:val="99"/>
    <w:semiHidden/>
    <w:rsid w:val="00E275BE"/>
    <w:rPr>
      <w:rFonts w:ascii="Tahoma" w:eastAsia="Times New Roman" w:hAnsi="Tahoma" w:cs="Tahoma"/>
      <w:sz w:val="16"/>
      <w:szCs w:val="16"/>
    </w:rPr>
  </w:style>
  <w:style w:type="paragraph" w:styleId="Header">
    <w:name w:val="header"/>
    <w:basedOn w:val="Normal"/>
    <w:link w:val="HeaderChar"/>
    <w:uiPriority w:val="99"/>
    <w:semiHidden/>
    <w:unhideWhenUsed/>
    <w:rsid w:val="00E275BE"/>
    <w:pPr>
      <w:tabs>
        <w:tab w:val="center" w:pos="4680"/>
        <w:tab w:val="right" w:pos="9360"/>
      </w:tabs>
    </w:pPr>
  </w:style>
  <w:style w:type="character" w:customStyle="1" w:styleId="HeaderChar">
    <w:name w:val="Header Char"/>
    <w:basedOn w:val="DefaultParagraphFont"/>
    <w:link w:val="Header"/>
    <w:uiPriority w:val="99"/>
    <w:semiHidden/>
    <w:rsid w:val="00E275BE"/>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cl5CavI4uJoV/Eli+YeM3iM1A/k=</DigestValue>
    </Reference>
    <Reference URI="#idOfficeObject" Type="http://www.w3.org/2000/09/xmldsig#Object">
      <DigestMethod Algorithm="http://www.w3.org/2000/09/xmldsig#sha1"/>
      <DigestValue>7TNuthK3SLyTXRIegNCCCSfaBVE=</DigestValue>
    </Reference>
  </SignedInfo>
  <SignatureValue>
    hmEhZTT71bNtnK9nKVLgjA4VsNKi1YjsDjXbzhRhZQA8exTxo82EKQ9OqmKYDsiABDc5u8tW
    w07XyPrjSe7RPBY6omQAFuP0h7QZcDuNgaj83UEACQ4/f97gFqoMR7cezqig/uyZ7Qb4lV1O
    UauiAzEm3coez0DdMCPpGtStOEI=
  </SignatureValue>
  <KeyInfo>
    <KeyValue>
      <RSAKeyValue>
        <Modulus>
            rPQHkRK2bOzjAviHoAt1DEfDwouaxoxhOb/igNfmvpOJX9LnrwKPrwlaOqtpS1W4eS8HjTQQ
            RMUJzkDluzop4N+hy2FZ9kt5sJ0hx2ZsLGPRD3oOu1w6oB/b8LNekHwFOaXhRAD/t67G2NJP
            Ga+YwKbXbQJzszEjPmz3e9L6asE=
          </Modulus>
        <Exponent>AQAB</Exponent>
      </RSAKeyValue>
    </KeyValue>
    <X509Data>
      <X509Certificate>
          MIIGODCCBCCgAwIBAgIQVAE61UdyIud3YoE+s7ANWTANBgkqhkiG9w0BAQUFADBpMQswCQYD
          VQQGEwJWTjETMBEGA1UEChMKVk5QVCBHcm91cDEeMBwGA1UECxMVVk5QVC1DQSBUcnVzdCBO
          ZXR3b3JrMSUwIwYDVQQDExxWTlBUIENlcnRpZmljYXRpb24gQXV0aG9yaXR5MB4XDTEyMDMw
          OTAyMTU1MVoXDTE1MDkwOTAyMTU1MVowgfMxCzAJBgNVBAYTAlZOMRIwEAYDVQQIDAlIw6Ag
          TuG7mWkxEzARBgNVBAcMCkjDoCDEkMO0bmcxQzBBBgNVBAoMOkPDlE5HIFRZIEPhu5QgUEjh
          uqZOIMSQ4bqmVSBUxq8gVsOAIFjDglkgROG7sE5HIFRIw4BOSCBOQU0xHTAbBgNVBAsMFFAu
          xJBUIENI4buoTkcgS0hPw4FOMRkwFwYDVQQMDBBUcsaw4bufbmcgcGjDsm5nMRwwGgYDVQQD
          DBNIT8OATkcgVknhu4ZUIEjDmU5HMR4wHAYKCZImiZPyLGQBAQwOQ01ORDowMTI5MTA2MTcw
          gZ8wDQYJKoZIhvcNAQEBBQADgY0AMIGJAoGBAKz0B5EStmzs4wL4h6ALdQxHw8KLmsaMYTm/
          4oDX5r6TiV/S568Cj68JWjqraUtVuHkvB400EETFCc5A5bs6KeDfocthWfZLebCdIcdmbCxj
          0Q96DrtcOqAf2/CzXpB8BTml4UQA/7euxtjSTxmvmMCm120Cc7MxIz5s93vS+mrBAgMBAAGj
          ggHTMIIBzzBwBggrBgEFBQcBAQRkMGIwMgYIKwYBBQUHMAKGJmh0dHA6Ly9wdWIudm5wdC1j
          YS52bi9jZXJ0cy92bnB0Y2EuY2VyMCwGCCsGAQUFBzABhiBodHRwOi8vb2NzcC52bnB0LWNh
          LnZuL3Jlc3BvbmRlcjAdBgNVHQ4EFgQUYHhQksJ1Ve+9zSwJHIC7quHk2ckwDAYDVR0TAQH/
          BAIwADAfBgNVHSMEGDAWgBQGacDV1QKKFY1Gfel84mgKVaxqrzB2BgNVHSAEbzBtMDQGCSsG
          AQQBgfo6AzAnMCUGCCsGAQUFBwIBFhlodHRwOi8vcHViLnZucHQtY2Eudm4vcnBhMDUGCysG
          AQQBgfo6AwECMCYwJAYIKwYBBQUHAgIwGB4WAFMASQBEAC0AUAAxAC4AMAAtADEAeTAxBgNV
          HR8EKjAoMCagJKAihiBodHRwOi8vY3JsLnZucHQtY2Eudm4vdm5wdGNhLmNybDAOBgNVHQ8B
          Af8EBAMCBPAwKQYDVR0lBCIwIAYIKwYBBQUHAwIGCCsGAQUFBwMEBgorBgEEAYI3CgMMMCcG
          A1UdEQQgMB6BHGRhdXR1Y2h1bmdraG9hbmNzY0BnbWFpbC5jb20wDQYJKoZIhvcNAQEFBQAD
          ggIBAF2Nfc1ROXUKT6Te65JVYhnl2V4N8yAxBUgSShbozjjpL0WeS2XCKXOjTiQ+a0A+B9zJ
          MJKqqIKynXJ5akyU6/djBqwIvYkfyKWv1zWIyxR+c/6eGtsD6vA6s1E19ZqyvAXriXqOV7+C
          Zbr2X2irh917SfwrZY4xgkZMsVSms5OUp1x7xuB7CM2FrMwDrulc+28UlwqLg9Y7AxGcLGPU
          6Szvl4A2FEhIPtQjK+kSrXESmW4OjMZAkfvf8mPQN0fmM6yfhPdTOZPGWt16mZfMAlBdSuyB
          u9U5ClUukshF5SNztiz1tCIP6km710TGHw2OcwkrrqyRMRpmcUnOiY4+WXsrVuFU81kK7qJw
          6585yD2h1MuUoZmb3uAgu4QlPE7jM8J/v5JOqRt/Qfz9h/zkWFF3DnD5NSYZYc12/3Y56gea
          +oxlQqEsNCc4PTwPEJ246rlFqDZU8XiD5qeb9wwoS9ssXvtqLNleXBQPahF7UtHZ/uLeWNqG
          wGW83z4b6GxutsKrlv/+vpTSqgpM7Dsiy6sHT+BvaJyHjx93IDTNj2tFv4VphM8VgJOdKGri
          8/fUiKYj7qzic9XBrjKMH26LO/mLk1l4RtUXiyBPhc88AyHC2gVISGbqNLwaFkR2rJNCCwas
          7GSPQtvzPDWwFco+ThYJ4RMJ1GcqB5isSBJRBnzh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G5l0duCBzKmCkt5Vc3SHUsW05Q4=</DigestValue>
      </Reference>
      <Reference URI="/word/document.xml?ContentType=application/vnd.openxmlformats-officedocument.wordprocessingml.document.main+xml">
        <DigestMethod Algorithm="http://www.w3.org/2000/09/xmldsig#sha1"/>
        <DigestValue>2oO3bW28GbWpMs3l5S7mSXK31P4=</DigestValue>
      </Reference>
      <Reference URI="/word/endnotes.xml?ContentType=application/vnd.openxmlformats-officedocument.wordprocessingml.endnotes+xml">
        <DigestMethod Algorithm="http://www.w3.org/2000/09/xmldsig#sha1"/>
        <DigestValue>jqaODbwAa4zH6ihV8Zc3EOrgoxU=</DigestValue>
      </Reference>
      <Reference URI="/word/fontTable.xml?ContentType=application/vnd.openxmlformats-officedocument.wordprocessingml.fontTable+xml">
        <DigestMethod Algorithm="http://www.w3.org/2000/09/xmldsig#sha1"/>
        <DigestValue>H7nznqP/UCwbyNvJinxeXFL2xuQ=</DigestValue>
      </Reference>
      <Reference URI="/word/footer1.xml?ContentType=application/vnd.openxmlformats-officedocument.wordprocessingml.footer+xml">
        <DigestMethod Algorithm="http://www.w3.org/2000/09/xmldsig#sha1"/>
        <DigestValue>EbJoIIp6TNTZMCypyXzxpV65kMY=</DigestValue>
      </Reference>
      <Reference URI="/word/footnotes.xml?ContentType=application/vnd.openxmlformats-officedocument.wordprocessingml.footnotes+xml">
        <DigestMethod Algorithm="http://www.w3.org/2000/09/xmldsig#sha1"/>
        <DigestValue>Q+Q/gwSvJ4x+LqWnpKg8vY7QmvY=</DigestValue>
      </Reference>
      <Reference URI="/word/media/image1.jpeg?ContentType=image/jpeg">
        <DigestMethod Algorithm="http://www.w3.org/2000/09/xmldsig#sha1"/>
        <DigestValue>obFbGPcT/+cJUZvmE6gnhOiwamI=</DigestValue>
      </Reference>
      <Reference URI="/word/numbering.xml?ContentType=application/vnd.openxmlformats-officedocument.wordprocessingml.numbering+xml">
        <DigestMethod Algorithm="http://www.w3.org/2000/09/xmldsig#sha1"/>
        <DigestValue>+qK5+PoiOgEOzvFDen3tPANPUIk=</DigestValue>
      </Reference>
      <Reference URI="/word/settings.xml?ContentType=application/vnd.openxmlformats-officedocument.wordprocessingml.settings+xml">
        <DigestMethod Algorithm="http://www.w3.org/2000/09/xmldsig#sha1"/>
        <DigestValue>OT2aFh2wsxXhMmXdRF1FSaAFe6c=</DigestValue>
      </Reference>
      <Reference URI="/word/styles.xml?ContentType=application/vnd.openxmlformats-officedocument.wordprocessingml.styles+xml">
        <DigestMethod Algorithm="http://www.w3.org/2000/09/xmldsig#sha1"/>
        <DigestValue>JQ5eCpvaLOWsuN36FEI38oKQdm8=</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2015-04-22T01:54:28Z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lamvt</dc:creator>
  <cp:lastModifiedBy>lamvt</cp:lastModifiedBy>
  <cp:revision>2</cp:revision>
  <dcterms:created xsi:type="dcterms:W3CDTF">2015-04-22T01:46:00Z</dcterms:created>
  <dcterms:modified xsi:type="dcterms:W3CDTF">2015-04-22T01:54:00Z</dcterms:modified>
</cp:coreProperties>
</file>