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01528bf9bba4c7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8" w:type="dxa"/>
        <w:tblLook w:val="01E0" w:firstRow="1" w:lastRow="1" w:firstColumn="1" w:lastColumn="1" w:noHBand="0" w:noVBand="0"/>
      </w:tblPr>
      <w:tblGrid>
        <w:gridCol w:w="4248"/>
        <w:gridCol w:w="5190"/>
      </w:tblGrid>
      <w:tr w:rsidR="00866BD8" w:rsidRPr="00180279" w:rsidTr="00180279">
        <w:trPr>
          <w:divId w:val="230509408"/>
        </w:trPr>
        <w:tc>
          <w:tcPr>
            <w:tcW w:w="4248" w:type="dxa"/>
          </w:tcPr>
          <w:p w:rsidR="00866BD8" w:rsidRPr="00180279" w:rsidRDefault="00866BD8" w:rsidP="000B1350">
            <w:pPr>
              <w:jc w:val="center"/>
            </w:pPr>
            <w:r w:rsidRPr="00180279">
              <w:t>TỔNG CÔNG TY CP TÁI BẢO HIẺM</w:t>
            </w:r>
          </w:p>
          <w:p w:rsidR="00866BD8" w:rsidRPr="00180279" w:rsidRDefault="00866BD8" w:rsidP="000B1350">
            <w:pPr>
              <w:jc w:val="center"/>
              <w:rPr>
                <w:lang w:val="pl-PL"/>
              </w:rPr>
            </w:pPr>
            <w:r w:rsidRPr="00180279">
              <w:rPr>
                <w:lang w:val="pl-PL"/>
              </w:rPr>
              <w:t>QUỐC GIA VIỆT NAM</w:t>
            </w:r>
          </w:p>
          <w:p w:rsidR="00866BD8" w:rsidRPr="00180279" w:rsidRDefault="00866BD8" w:rsidP="000B1350">
            <w:pPr>
              <w:jc w:val="center"/>
              <w:rPr>
                <w:b/>
                <w:lang w:val="pl-PL"/>
              </w:rPr>
            </w:pPr>
            <w:r w:rsidRPr="00180279">
              <w:rPr>
                <w:b/>
                <w:lang w:val="pl-PL"/>
              </w:rPr>
              <w:t>BAN KIỂM SOÁT</w:t>
            </w:r>
          </w:p>
          <w:p w:rsidR="00866BD8" w:rsidRPr="00180279" w:rsidRDefault="00866BD8" w:rsidP="000B1350">
            <w:pPr>
              <w:jc w:val="center"/>
            </w:pPr>
          </w:p>
          <w:p w:rsidR="00866BD8" w:rsidRPr="00180279" w:rsidRDefault="00866BD8" w:rsidP="000F2C39">
            <w:pPr>
              <w:rPr>
                <w:b/>
                <w:lang w:val="pl-PL"/>
              </w:rPr>
            </w:pPr>
            <w:r w:rsidRPr="00180279">
              <w:t>Số: 0</w:t>
            </w:r>
            <w:r w:rsidR="005D0D41" w:rsidRPr="00180279">
              <w:t>1</w:t>
            </w:r>
            <w:r w:rsidRPr="00180279">
              <w:t>/201</w:t>
            </w:r>
            <w:r w:rsidR="005D0D41" w:rsidRPr="00180279">
              <w:t>5</w:t>
            </w:r>
            <w:r w:rsidRPr="00180279">
              <w:t>/VNR-BKS</w:t>
            </w:r>
          </w:p>
          <w:p w:rsidR="00866BD8" w:rsidRPr="00180279" w:rsidRDefault="00866BD8" w:rsidP="000B1350">
            <w:pPr>
              <w:jc w:val="center"/>
              <w:rPr>
                <w:b/>
                <w:lang w:val="pl-PL"/>
              </w:rPr>
            </w:pPr>
            <w:bookmarkStart w:id="0" w:name="_GoBack"/>
            <w:bookmarkEnd w:id="0"/>
          </w:p>
        </w:tc>
        <w:tc>
          <w:tcPr>
            <w:tcW w:w="5190" w:type="dxa"/>
          </w:tcPr>
          <w:p w:rsidR="00866BD8" w:rsidRPr="00180279" w:rsidRDefault="00866BD8" w:rsidP="00180279">
            <w:pPr>
              <w:ind w:right="-18"/>
              <w:jc w:val="center"/>
              <w:rPr>
                <w:lang w:val="pl-PL"/>
              </w:rPr>
            </w:pPr>
            <w:r w:rsidRPr="00180279">
              <w:rPr>
                <w:lang w:val="pl-PL"/>
              </w:rPr>
              <w:t>CỘNG HÒA XÃ HỘI CHỦ NGHĨA VIỆT NAM</w:t>
            </w:r>
          </w:p>
          <w:p w:rsidR="00866BD8" w:rsidRPr="00180279" w:rsidRDefault="00866BD8" w:rsidP="000B1350">
            <w:pPr>
              <w:jc w:val="center"/>
              <w:rPr>
                <w:lang w:val="pl-PL"/>
              </w:rPr>
            </w:pPr>
            <w:r w:rsidRPr="00180279">
              <w:rPr>
                <w:lang w:val="pl-PL"/>
              </w:rPr>
              <w:t>Độc lập -  Tự do -  Hạnh Phúc</w:t>
            </w:r>
          </w:p>
          <w:p w:rsidR="00866BD8" w:rsidRPr="00180279" w:rsidRDefault="00866BD8" w:rsidP="000B1350">
            <w:pPr>
              <w:jc w:val="center"/>
              <w:rPr>
                <w:b/>
              </w:rPr>
            </w:pPr>
            <w:r w:rsidRPr="00180279">
              <w:rPr>
                <w:b/>
              </w:rPr>
              <w:t>-----------------***------------------</w:t>
            </w:r>
          </w:p>
          <w:p w:rsidR="00866BD8" w:rsidRPr="00180279" w:rsidRDefault="00866BD8" w:rsidP="000B1350">
            <w:pPr>
              <w:jc w:val="center"/>
              <w:rPr>
                <w:b/>
              </w:rPr>
            </w:pPr>
          </w:p>
          <w:p w:rsidR="00866BD8" w:rsidRPr="00180279" w:rsidRDefault="000F2C39" w:rsidP="005D0D41">
            <w:pPr>
              <w:jc w:val="center"/>
            </w:pPr>
            <w:r w:rsidRPr="00180279">
              <w:rPr>
                <w:i/>
                <w:iCs/>
              </w:rPr>
              <w:t xml:space="preserve">              </w:t>
            </w:r>
            <w:r w:rsidR="00866BD8" w:rsidRPr="00180279">
              <w:rPr>
                <w:i/>
                <w:iCs/>
              </w:rPr>
              <w:t xml:space="preserve">Hà  Nội, ngày </w:t>
            </w:r>
            <w:r w:rsidRPr="00180279">
              <w:rPr>
                <w:i/>
                <w:iCs/>
              </w:rPr>
              <w:t xml:space="preserve">15 </w:t>
            </w:r>
            <w:r w:rsidR="00866BD8" w:rsidRPr="00180279">
              <w:rPr>
                <w:i/>
                <w:iCs/>
              </w:rPr>
              <w:t xml:space="preserve">tháng </w:t>
            </w:r>
            <w:r w:rsidR="008E0108" w:rsidRPr="00180279">
              <w:rPr>
                <w:i/>
                <w:iCs/>
              </w:rPr>
              <w:t>0</w:t>
            </w:r>
            <w:r w:rsidR="005D0D41" w:rsidRPr="00180279">
              <w:rPr>
                <w:i/>
                <w:iCs/>
              </w:rPr>
              <w:t>3</w:t>
            </w:r>
            <w:r w:rsidR="00866BD8" w:rsidRPr="00180279">
              <w:rPr>
                <w:i/>
                <w:iCs/>
              </w:rPr>
              <w:t xml:space="preserve">  năm 201</w:t>
            </w:r>
            <w:r w:rsidR="005D0D41" w:rsidRPr="00180279">
              <w:rPr>
                <w:i/>
                <w:iCs/>
              </w:rPr>
              <w:t>5</w:t>
            </w:r>
          </w:p>
        </w:tc>
      </w:tr>
    </w:tbl>
    <w:p w:rsidR="005A79ED" w:rsidRPr="00180279" w:rsidRDefault="005A79ED" w:rsidP="00180279">
      <w:pPr>
        <w:spacing w:before="120" w:after="120"/>
        <w:jc w:val="center"/>
        <w:divId w:val="230509408"/>
        <w:rPr>
          <w:b/>
          <w:bCs/>
          <w:sz w:val="36"/>
        </w:rPr>
      </w:pPr>
      <w:r w:rsidRPr="00180279">
        <w:rPr>
          <w:b/>
          <w:bCs/>
          <w:sz w:val="36"/>
        </w:rPr>
        <w:t xml:space="preserve">BÁO CÁO </w:t>
      </w:r>
      <w:r w:rsidR="007829A9" w:rsidRPr="00180279">
        <w:rPr>
          <w:b/>
          <w:bCs/>
          <w:sz w:val="36"/>
        </w:rPr>
        <w:t>CỦA BAN KIỂM SOÁT</w:t>
      </w:r>
    </w:p>
    <w:p w:rsidR="007829A9" w:rsidRPr="00180279" w:rsidRDefault="007829A9" w:rsidP="005D0D41">
      <w:pPr>
        <w:pStyle w:val="NormalWeb"/>
        <w:spacing w:before="120" w:beforeAutospacing="0" w:after="120" w:afterAutospacing="0"/>
        <w:jc w:val="center"/>
        <w:divId w:val="230509408"/>
        <w:rPr>
          <w:bCs/>
          <w:i/>
        </w:rPr>
      </w:pPr>
      <w:r w:rsidRPr="00180279">
        <w:rPr>
          <w:bCs/>
          <w:i/>
        </w:rPr>
        <w:t xml:space="preserve">(Trình Đại hội đồng </w:t>
      </w:r>
      <w:r w:rsidR="000F2C39" w:rsidRPr="00180279">
        <w:rPr>
          <w:bCs/>
          <w:i/>
        </w:rPr>
        <w:t xml:space="preserve">cổ đông </w:t>
      </w:r>
      <w:r w:rsidRPr="00180279">
        <w:rPr>
          <w:bCs/>
          <w:i/>
        </w:rPr>
        <w:t>thường niên 2015)</w:t>
      </w:r>
    </w:p>
    <w:p w:rsidR="00231ED6" w:rsidRPr="00180279" w:rsidRDefault="00231ED6" w:rsidP="007B2F54">
      <w:pPr>
        <w:pStyle w:val="NormalWeb"/>
        <w:spacing w:before="120" w:beforeAutospacing="0" w:after="120" w:afterAutospacing="0"/>
        <w:jc w:val="center"/>
        <w:divId w:val="230509408"/>
        <w:rPr>
          <w:b/>
          <w:bCs/>
        </w:rPr>
      </w:pPr>
    </w:p>
    <w:p w:rsidR="007829A9" w:rsidRPr="00180279" w:rsidRDefault="0041691F" w:rsidP="00180279">
      <w:pPr>
        <w:pStyle w:val="NormalWeb"/>
        <w:spacing w:before="120" w:beforeAutospacing="0" w:after="120" w:afterAutospacing="0"/>
        <w:jc w:val="center"/>
        <w:divId w:val="230509408"/>
        <w:rPr>
          <w:b/>
          <w:bCs/>
        </w:rPr>
      </w:pPr>
      <w:r w:rsidRPr="00180279">
        <w:rPr>
          <w:b/>
          <w:bCs/>
          <w:u w:val="single"/>
        </w:rPr>
        <w:t>Kính gửi:</w:t>
      </w:r>
      <w:r w:rsidR="00180279">
        <w:rPr>
          <w:b/>
          <w:bCs/>
        </w:rPr>
        <w:tab/>
      </w:r>
      <w:r w:rsidR="007829A9" w:rsidRPr="00180279">
        <w:rPr>
          <w:b/>
          <w:bCs/>
        </w:rPr>
        <w:t>Đại hội đồng cổ đông TCT CP Tái Bảo hiểm Quốc gia Việt Nam</w:t>
      </w:r>
    </w:p>
    <w:p w:rsidR="00281FB3" w:rsidRPr="00180279" w:rsidRDefault="00180279" w:rsidP="00180279">
      <w:pPr>
        <w:pStyle w:val="NormalWeb"/>
        <w:spacing w:before="120" w:beforeAutospacing="0" w:after="120" w:afterAutospacing="0"/>
        <w:ind w:left="120" w:firstLine="600"/>
        <w:jc w:val="center"/>
        <w:divId w:val="230509408"/>
        <w:rPr>
          <w:b/>
          <w:bCs/>
        </w:rPr>
      </w:pPr>
      <w:r>
        <w:rPr>
          <w:b/>
          <w:bCs/>
        </w:rPr>
        <w:t xml:space="preserve">     </w:t>
      </w:r>
      <w:r w:rsidR="0041691F" w:rsidRPr="00180279">
        <w:rPr>
          <w:b/>
          <w:bCs/>
        </w:rPr>
        <w:t>Hội đồng Quản trị TCT CP Tái Bảo hiểm Quốc gia Việt Nam</w:t>
      </w:r>
    </w:p>
    <w:p w:rsidR="004F7A23" w:rsidRPr="00180279" w:rsidRDefault="005A79ED" w:rsidP="00180279">
      <w:pPr>
        <w:pStyle w:val="NormalWeb"/>
        <w:spacing w:before="120" w:beforeAutospacing="0" w:after="0" w:afterAutospacing="0"/>
        <w:divId w:val="230509408"/>
      </w:pPr>
      <w:r w:rsidRPr="00180279">
        <w:t>Căn cứ:</w:t>
      </w:r>
    </w:p>
    <w:p w:rsidR="005A79ED" w:rsidRPr="00180279" w:rsidRDefault="005A79ED" w:rsidP="00180279">
      <w:pPr>
        <w:pStyle w:val="NormalWeb"/>
        <w:numPr>
          <w:ilvl w:val="0"/>
          <w:numId w:val="1"/>
        </w:numPr>
        <w:spacing w:before="120" w:beforeAutospacing="0" w:after="0" w:afterAutospacing="0"/>
        <w:divId w:val="230509408"/>
      </w:pPr>
      <w:r w:rsidRPr="00180279">
        <w:rPr>
          <w:i/>
          <w:iCs/>
        </w:rPr>
        <w:t>Điều lệ tổ chức và hoạt động của T</w:t>
      </w:r>
      <w:r w:rsidR="0056022D" w:rsidRPr="00180279">
        <w:rPr>
          <w:i/>
          <w:iCs/>
        </w:rPr>
        <w:t>ổng công ty</w:t>
      </w:r>
      <w:r w:rsidRPr="00180279">
        <w:rPr>
          <w:i/>
          <w:iCs/>
        </w:rPr>
        <w:t xml:space="preserve"> Cổ phần Tái bảo hiểm quốc gia Việt Nam</w:t>
      </w:r>
      <w:r w:rsidR="0056022D" w:rsidRPr="00180279">
        <w:rPr>
          <w:i/>
          <w:iCs/>
        </w:rPr>
        <w:t>(</w:t>
      </w:r>
      <w:r w:rsidR="00EF0374" w:rsidRPr="00180279">
        <w:rPr>
          <w:i/>
          <w:iCs/>
        </w:rPr>
        <w:t>VINARE</w:t>
      </w:r>
      <w:r w:rsidR="0056022D" w:rsidRPr="00180279">
        <w:rPr>
          <w:i/>
          <w:iCs/>
        </w:rPr>
        <w:t>)</w:t>
      </w:r>
    </w:p>
    <w:p w:rsidR="005A79ED" w:rsidRPr="00180279" w:rsidRDefault="005A79ED" w:rsidP="00180279">
      <w:pPr>
        <w:numPr>
          <w:ilvl w:val="0"/>
          <w:numId w:val="1"/>
        </w:numPr>
        <w:spacing w:before="120"/>
        <w:jc w:val="both"/>
        <w:divId w:val="230509408"/>
      </w:pPr>
      <w:r w:rsidRPr="00180279">
        <w:rPr>
          <w:i/>
          <w:iCs/>
        </w:rPr>
        <w:t xml:space="preserve">Nghị quyết đại hội đồng cổ đông thường niên </w:t>
      </w:r>
      <w:r w:rsidR="008E0108" w:rsidRPr="00180279">
        <w:rPr>
          <w:i/>
          <w:iCs/>
        </w:rPr>
        <w:t>2014</w:t>
      </w:r>
      <w:r w:rsidRPr="00180279">
        <w:rPr>
          <w:i/>
          <w:iCs/>
        </w:rPr>
        <w:t xml:space="preserve"> của </w:t>
      </w:r>
      <w:r w:rsidR="00EF0374" w:rsidRPr="00180279">
        <w:rPr>
          <w:i/>
          <w:iCs/>
        </w:rPr>
        <w:t>VINARE</w:t>
      </w:r>
    </w:p>
    <w:p w:rsidR="005A79ED" w:rsidRPr="00180279" w:rsidRDefault="005A79ED" w:rsidP="00180279">
      <w:pPr>
        <w:numPr>
          <w:ilvl w:val="0"/>
          <w:numId w:val="1"/>
        </w:numPr>
        <w:spacing w:before="120"/>
        <w:jc w:val="both"/>
        <w:divId w:val="230509408"/>
      </w:pPr>
      <w:r w:rsidRPr="00180279">
        <w:rPr>
          <w:i/>
          <w:iCs/>
        </w:rPr>
        <w:t xml:space="preserve">Báo cáo tài chính </w:t>
      </w:r>
      <w:r w:rsidR="007829A9" w:rsidRPr="00180279">
        <w:rPr>
          <w:i/>
          <w:iCs/>
        </w:rPr>
        <w:t>kiểm toán</w:t>
      </w:r>
      <w:r w:rsidR="00180279">
        <w:rPr>
          <w:i/>
          <w:iCs/>
        </w:rPr>
        <w:t xml:space="preserve"> </w:t>
      </w:r>
      <w:r w:rsidR="008E0108" w:rsidRPr="00180279">
        <w:rPr>
          <w:i/>
          <w:iCs/>
        </w:rPr>
        <w:t>2014</w:t>
      </w:r>
      <w:r w:rsidRPr="00180279">
        <w:rPr>
          <w:i/>
          <w:iCs/>
        </w:rPr>
        <w:t>của </w:t>
      </w:r>
      <w:r w:rsidR="00EF0374" w:rsidRPr="00180279">
        <w:rPr>
          <w:i/>
          <w:iCs/>
        </w:rPr>
        <w:t>VINARE</w:t>
      </w:r>
    </w:p>
    <w:p w:rsidR="005B396C" w:rsidRPr="00180279" w:rsidRDefault="005B396C" w:rsidP="00180279">
      <w:pPr>
        <w:spacing w:before="120"/>
        <w:ind w:left="720"/>
        <w:jc w:val="both"/>
        <w:divId w:val="230509408"/>
      </w:pPr>
    </w:p>
    <w:p w:rsidR="005A79ED" w:rsidRPr="00180279" w:rsidRDefault="00FC5BE7" w:rsidP="007B2F54">
      <w:pPr>
        <w:pStyle w:val="NormalWeb"/>
        <w:spacing w:before="120" w:beforeAutospacing="0" w:after="120" w:afterAutospacing="0"/>
        <w:jc w:val="both"/>
        <w:divId w:val="230509408"/>
      </w:pPr>
      <w:r w:rsidRPr="00180279">
        <w:t>Ban Kiểm soát</w:t>
      </w:r>
      <w:r w:rsidR="00231ED6" w:rsidRPr="00180279">
        <w:t xml:space="preserve"> báo cáo</w:t>
      </w:r>
      <w:r w:rsidR="005B396C" w:rsidRPr="00180279">
        <w:t xml:space="preserve"> Đại hội đồng cổ đông và</w:t>
      </w:r>
      <w:r w:rsidR="00231ED6" w:rsidRPr="00180279">
        <w:t xml:space="preserve"> </w:t>
      </w:r>
      <w:r w:rsidRPr="00180279">
        <w:t>Hội đồng Quản trị</w:t>
      </w:r>
      <w:r w:rsidR="00231ED6" w:rsidRPr="00180279">
        <w:t xml:space="preserve"> như sau</w:t>
      </w:r>
      <w:r w:rsidR="005A79ED" w:rsidRPr="00180279">
        <w:t>:</w:t>
      </w:r>
    </w:p>
    <w:p w:rsidR="005B396C" w:rsidRPr="00180279" w:rsidRDefault="005B396C" w:rsidP="0003573C">
      <w:pPr>
        <w:pStyle w:val="NormalWeb"/>
        <w:spacing w:before="120" w:beforeAutospacing="0" w:after="120" w:afterAutospacing="0"/>
        <w:ind w:right="120"/>
        <w:jc w:val="both"/>
        <w:divId w:val="230509408"/>
        <w:rPr>
          <w:b/>
        </w:rPr>
      </w:pPr>
    </w:p>
    <w:p w:rsidR="005B396C" w:rsidRPr="00180279" w:rsidRDefault="005B396C" w:rsidP="0003573C">
      <w:pPr>
        <w:pStyle w:val="NormalWeb"/>
        <w:spacing w:before="120" w:beforeAutospacing="0" w:after="120" w:afterAutospacing="0"/>
        <w:ind w:right="120"/>
        <w:jc w:val="both"/>
        <w:divId w:val="230509408"/>
        <w:rPr>
          <w:b/>
        </w:rPr>
      </w:pPr>
      <w:r w:rsidRPr="00180279">
        <w:rPr>
          <w:b/>
        </w:rPr>
        <w:t>PHẦN I: HOẠT ĐỘNG CỦA BAN KIỂM SOÁT NĂM 2014</w:t>
      </w:r>
    </w:p>
    <w:p w:rsidR="005A79ED" w:rsidRPr="00180279" w:rsidRDefault="000F2C39" w:rsidP="000F2C39">
      <w:pPr>
        <w:pStyle w:val="NormalWeb"/>
        <w:numPr>
          <w:ilvl w:val="0"/>
          <w:numId w:val="2"/>
        </w:numPr>
        <w:tabs>
          <w:tab w:val="left" w:pos="450"/>
        </w:tabs>
        <w:spacing w:before="120" w:beforeAutospacing="0" w:after="120" w:afterAutospacing="0"/>
        <w:ind w:left="630" w:hanging="630"/>
        <w:jc w:val="both"/>
        <w:divId w:val="230509408"/>
        <w:rPr>
          <w:b/>
        </w:rPr>
      </w:pPr>
      <w:r w:rsidRPr="00180279">
        <w:rPr>
          <w:b/>
        </w:rPr>
        <w:t>B</w:t>
      </w:r>
      <w:r w:rsidR="003365A5" w:rsidRPr="00180279">
        <w:rPr>
          <w:b/>
        </w:rPr>
        <w:t xml:space="preserve">ÁO CÁO </w:t>
      </w:r>
      <w:r w:rsidR="000C3C09" w:rsidRPr="00180279">
        <w:rPr>
          <w:b/>
        </w:rPr>
        <w:t>HOẠT ĐỘNG CỦA B</w:t>
      </w:r>
      <w:r w:rsidR="003365A5" w:rsidRPr="00180279">
        <w:rPr>
          <w:b/>
        </w:rPr>
        <w:t xml:space="preserve">AN </w:t>
      </w:r>
      <w:r w:rsidR="000C3C09" w:rsidRPr="00180279">
        <w:rPr>
          <w:b/>
        </w:rPr>
        <w:t>K</w:t>
      </w:r>
      <w:r w:rsidR="003365A5" w:rsidRPr="00180279">
        <w:rPr>
          <w:b/>
        </w:rPr>
        <w:t xml:space="preserve">IỂM </w:t>
      </w:r>
      <w:r w:rsidR="000C3C09" w:rsidRPr="00180279">
        <w:rPr>
          <w:b/>
        </w:rPr>
        <w:t>S</w:t>
      </w:r>
      <w:r w:rsidR="003365A5" w:rsidRPr="00180279">
        <w:rPr>
          <w:b/>
        </w:rPr>
        <w:t>OÁT</w:t>
      </w:r>
      <w:r w:rsidR="000C3C09" w:rsidRPr="00180279">
        <w:rPr>
          <w:b/>
        </w:rPr>
        <w:t xml:space="preserve"> NĂM </w:t>
      </w:r>
      <w:r w:rsidR="008E0108" w:rsidRPr="00180279">
        <w:rPr>
          <w:b/>
        </w:rPr>
        <w:t>2014</w:t>
      </w:r>
      <w:r w:rsidR="000C3C09" w:rsidRPr="00180279">
        <w:rPr>
          <w:b/>
        </w:rPr>
        <w:t>:</w:t>
      </w:r>
    </w:p>
    <w:p w:rsidR="00DE64E0" w:rsidRPr="00180279" w:rsidRDefault="005A79ED" w:rsidP="008E0108">
      <w:pPr>
        <w:pStyle w:val="NormalWeb"/>
        <w:spacing w:before="120" w:beforeAutospacing="0" w:after="120" w:afterAutospacing="0"/>
        <w:jc w:val="both"/>
        <w:divId w:val="230509408"/>
      </w:pPr>
      <w:r w:rsidRPr="00180279">
        <w:t>      </w:t>
      </w:r>
      <w:r w:rsidR="007829A9" w:rsidRPr="00180279">
        <w:t xml:space="preserve">Trong năm 2014, </w:t>
      </w:r>
      <w:r w:rsidR="00B21037" w:rsidRPr="00180279">
        <w:t xml:space="preserve">Ban kiểm soát đã thực hiện </w:t>
      </w:r>
      <w:r w:rsidR="008236A7" w:rsidRPr="00180279">
        <w:t xml:space="preserve">xem xét và trình Đại hội đồng cổ đông thông qua báo cáo tài chính năm </w:t>
      </w:r>
      <w:r w:rsidR="007D5E37" w:rsidRPr="00180279">
        <w:t>201</w:t>
      </w:r>
      <w:r w:rsidR="008E0108" w:rsidRPr="00180279">
        <w:t>3</w:t>
      </w:r>
      <w:r w:rsidR="008236A7" w:rsidRPr="00180279">
        <w:t>, trình Đại hội đồng cổ đông ủy quyền HĐQT lựa chọn công ty Kiểm toán độc lập kiểm</w:t>
      </w:r>
      <w:r w:rsidR="00F1140D" w:rsidRPr="00180279">
        <w:t xml:space="preserve"> toán báo cáo tài chính năm </w:t>
      </w:r>
      <w:r w:rsidR="008E0108" w:rsidRPr="00180279">
        <w:t>2014</w:t>
      </w:r>
      <w:r w:rsidR="008236A7" w:rsidRPr="00180279">
        <w:t>, tham dự Đạ</w:t>
      </w:r>
      <w:r w:rsidR="008E0108" w:rsidRPr="00180279">
        <w:t>i</w:t>
      </w:r>
      <w:r w:rsidR="008236A7" w:rsidRPr="00180279">
        <w:t xml:space="preserve"> hội đồng cổ đông th</w:t>
      </w:r>
      <w:r w:rsidR="007D5E37" w:rsidRPr="00180279">
        <w:t>ường</w:t>
      </w:r>
      <w:r w:rsidR="008236A7" w:rsidRPr="00180279">
        <w:t xml:space="preserve"> niên </w:t>
      </w:r>
      <w:r w:rsidR="008E0108" w:rsidRPr="00180279">
        <w:t>2014</w:t>
      </w:r>
      <w:r w:rsidR="00F1140D" w:rsidRPr="00180279">
        <w:t xml:space="preserve"> và</w:t>
      </w:r>
      <w:r w:rsidR="007829A9" w:rsidRPr="00180279">
        <w:t xml:space="preserve"> tham gia đầy đủ các cuộc họp HĐQT</w:t>
      </w:r>
      <w:r w:rsidR="008236A7" w:rsidRPr="00180279">
        <w:t>.</w:t>
      </w:r>
    </w:p>
    <w:p w:rsidR="00473151" w:rsidRPr="00180279" w:rsidRDefault="00DE64E0" w:rsidP="007B2F54">
      <w:pPr>
        <w:pStyle w:val="NormalWeb"/>
        <w:spacing w:before="120" w:beforeAutospacing="0" w:after="120" w:afterAutospacing="0"/>
        <w:ind w:left="120" w:firstLine="510"/>
        <w:jc w:val="both"/>
        <w:divId w:val="230509408"/>
      </w:pPr>
      <w:r w:rsidRPr="00180279">
        <w:t>Ngoài ra, t</w:t>
      </w:r>
      <w:r w:rsidR="00B21037" w:rsidRPr="00180279">
        <w:t>hực hiện</w:t>
      </w:r>
      <w:r w:rsidRPr="00180279">
        <w:t xml:space="preserve"> nhiệm vụ và chức năng của Ban kiểm soát, các thành viên Ban kiểm soát</w:t>
      </w:r>
      <w:r w:rsidR="00187CA4" w:rsidRPr="00180279">
        <w:t xml:space="preserve"> thường xuyêngiám sát các hoạt động kinh doanh, công tác quản trị và điều hành của Tổng công ty cổ phần Tái bảo hiểm Quốc gia Việt Nam (VINARE) theo các mảng nghiệp vụ được phân công trong Ban kiểm soát.</w:t>
      </w:r>
    </w:p>
    <w:p w:rsidR="005A79ED" w:rsidRPr="00180279" w:rsidRDefault="005A79ED" w:rsidP="000F2C39">
      <w:pPr>
        <w:pStyle w:val="NormalWeb"/>
        <w:numPr>
          <w:ilvl w:val="0"/>
          <w:numId w:val="2"/>
        </w:numPr>
        <w:tabs>
          <w:tab w:val="left" w:pos="450"/>
        </w:tabs>
        <w:spacing w:before="120" w:beforeAutospacing="0" w:after="120" w:afterAutospacing="0"/>
        <w:ind w:left="360" w:right="120"/>
        <w:jc w:val="both"/>
        <w:divId w:val="230509408"/>
        <w:rPr>
          <w:b/>
        </w:rPr>
      </w:pPr>
      <w:r w:rsidRPr="00180279">
        <w:rPr>
          <w:b/>
        </w:rPr>
        <w:t>BÁO CÁO GIÁM SÁT HOẠT ĐỘNG KINH DOANH</w:t>
      </w:r>
      <w:r w:rsidR="005B396C" w:rsidRPr="00180279">
        <w:rPr>
          <w:b/>
        </w:rPr>
        <w:t xml:space="preserve"> </w:t>
      </w:r>
      <w:r w:rsidR="00EC2479" w:rsidRPr="00180279">
        <w:rPr>
          <w:b/>
        </w:rPr>
        <w:t xml:space="preserve">NĂM </w:t>
      </w:r>
      <w:r w:rsidR="008E0108" w:rsidRPr="00180279">
        <w:rPr>
          <w:b/>
        </w:rPr>
        <w:t>2014</w:t>
      </w:r>
      <w:r w:rsidRPr="00180279">
        <w:rPr>
          <w:b/>
        </w:rPr>
        <w:t>:</w:t>
      </w:r>
    </w:p>
    <w:p w:rsidR="005A79ED" w:rsidRPr="00180279" w:rsidRDefault="005A79ED" w:rsidP="00180279">
      <w:pPr>
        <w:tabs>
          <w:tab w:val="left" w:pos="810"/>
        </w:tabs>
        <w:spacing w:before="120" w:after="120"/>
        <w:ind w:left="990" w:hanging="990"/>
        <w:jc w:val="both"/>
        <w:divId w:val="230509408"/>
      </w:pPr>
      <w:r w:rsidRPr="00180279">
        <w:rPr>
          <w:b/>
          <w:bCs/>
        </w:rPr>
        <w:t>I. T</w:t>
      </w:r>
      <w:r w:rsidR="007829A9" w:rsidRPr="00180279">
        <w:rPr>
          <w:b/>
          <w:bCs/>
        </w:rPr>
        <w:t>hẩm tra báo cáo tài chính</w:t>
      </w:r>
      <w:r w:rsidR="00EC2479" w:rsidRPr="00180279">
        <w:rPr>
          <w:b/>
          <w:bCs/>
        </w:rPr>
        <w:t xml:space="preserve"> năm </w:t>
      </w:r>
      <w:r w:rsidR="008E0108" w:rsidRPr="00180279">
        <w:rPr>
          <w:b/>
          <w:bCs/>
        </w:rPr>
        <w:t>2014</w:t>
      </w:r>
    </w:p>
    <w:p w:rsidR="005A79ED" w:rsidRPr="00180279" w:rsidRDefault="005A79ED" w:rsidP="00180279">
      <w:pPr>
        <w:pStyle w:val="ListParagraph"/>
        <w:numPr>
          <w:ilvl w:val="1"/>
          <w:numId w:val="17"/>
        </w:numPr>
        <w:tabs>
          <w:tab w:val="left" w:pos="360"/>
          <w:tab w:val="left" w:pos="540"/>
        </w:tabs>
        <w:spacing w:before="120" w:after="120"/>
        <w:ind w:left="990" w:right="120" w:hanging="990"/>
        <w:jc w:val="both"/>
        <w:divId w:val="230509408"/>
        <w:rPr>
          <w:rFonts w:ascii="Times New Roman" w:hAnsi="Times New Roman"/>
          <w:b/>
          <w:sz w:val="24"/>
          <w:szCs w:val="24"/>
        </w:rPr>
      </w:pPr>
      <w:r w:rsidRPr="00180279">
        <w:rPr>
          <w:rFonts w:ascii="Times New Roman" w:hAnsi="Times New Roman"/>
          <w:b/>
          <w:bCs/>
          <w:sz w:val="24"/>
          <w:szCs w:val="24"/>
        </w:rPr>
        <w:t xml:space="preserve">Kết quả thực hiện chỉ tiêu </w:t>
      </w:r>
      <w:r w:rsidR="00114DC8" w:rsidRPr="00180279">
        <w:rPr>
          <w:rFonts w:ascii="Times New Roman" w:hAnsi="Times New Roman"/>
          <w:b/>
          <w:bCs/>
          <w:sz w:val="24"/>
          <w:szCs w:val="24"/>
        </w:rPr>
        <w:t>kế hoạch do ĐHĐCĐ giao</w:t>
      </w:r>
    </w:p>
    <w:p w:rsidR="005A79ED" w:rsidRPr="00180279" w:rsidRDefault="005A79ED" w:rsidP="007B2F54">
      <w:pPr>
        <w:pStyle w:val="NormalWeb"/>
        <w:spacing w:before="120" w:beforeAutospacing="0" w:after="120" w:afterAutospacing="0"/>
        <w:jc w:val="both"/>
        <w:divId w:val="230509408"/>
      </w:pPr>
      <w:r w:rsidRPr="00180279">
        <w:t>      </w:t>
      </w:r>
      <w:r w:rsidR="00DC42DA" w:rsidRPr="00180279">
        <w:tab/>
      </w:r>
      <w:r w:rsidRPr="00180279">
        <w:t>Kết quả thực hiện các chỉ tiêu kế hoạch do Đại hội đồng cổ </w:t>
      </w:r>
      <w:r w:rsidR="00482A37" w:rsidRPr="00180279">
        <w:t>đông giao theo Nghị</w:t>
      </w:r>
      <w:proofErr w:type="gramStart"/>
      <w:r w:rsidR="00482A37" w:rsidRPr="00180279">
        <w:t>  quyết</w:t>
      </w:r>
      <w:proofErr w:type="gramEnd"/>
      <w:r w:rsidR="00482A37" w:rsidRPr="00180279">
        <w:t xml:space="preserve"> số 09</w:t>
      </w:r>
      <w:r w:rsidR="00F5556F" w:rsidRPr="00180279">
        <w:t>/</w:t>
      </w:r>
      <w:r w:rsidR="008E0108" w:rsidRPr="00180279">
        <w:t>2014</w:t>
      </w:r>
      <w:r w:rsidR="00482A37" w:rsidRPr="00180279">
        <w:t>/NQ-ĐHĐCĐ ngày 24</w:t>
      </w:r>
      <w:r w:rsidR="00D32976" w:rsidRPr="00180279">
        <w:t>/4/</w:t>
      </w:r>
      <w:r w:rsidR="008E0108" w:rsidRPr="00180279">
        <w:t>2014</w:t>
      </w:r>
      <w:r w:rsidRPr="00180279">
        <w:t xml:space="preserve"> như  sau:</w:t>
      </w:r>
    </w:p>
    <w:p w:rsidR="00D52301" w:rsidRPr="00180279" w:rsidRDefault="00D52301" w:rsidP="007B2F54">
      <w:pPr>
        <w:pStyle w:val="NormalWeb"/>
        <w:spacing w:before="120" w:beforeAutospacing="0" w:after="120" w:afterAutospacing="0"/>
        <w:jc w:val="both"/>
        <w:divId w:val="230509408"/>
      </w:pPr>
    </w:p>
    <w:p w:rsidR="00D52301" w:rsidRPr="00180279" w:rsidRDefault="00D52301" w:rsidP="007B2F54">
      <w:pPr>
        <w:pStyle w:val="NormalWeb"/>
        <w:spacing w:before="120" w:beforeAutospacing="0" w:after="120" w:afterAutospacing="0"/>
        <w:jc w:val="both"/>
        <w:divId w:val="230509408"/>
      </w:pPr>
    </w:p>
    <w:p w:rsidR="00D52301" w:rsidRPr="00180279" w:rsidRDefault="00D52301" w:rsidP="007B2F54">
      <w:pPr>
        <w:pStyle w:val="NormalWeb"/>
        <w:spacing w:before="120" w:beforeAutospacing="0" w:after="120" w:afterAutospacing="0"/>
        <w:jc w:val="both"/>
        <w:divId w:val="230509408"/>
      </w:pPr>
    </w:p>
    <w:tbl>
      <w:tblPr>
        <w:tblW w:w="9255" w:type="dxa"/>
        <w:jc w:val="center"/>
        <w:tblInd w:w="93" w:type="dxa"/>
        <w:tblLook w:val="04A0" w:firstRow="1" w:lastRow="0" w:firstColumn="1" w:lastColumn="0" w:noHBand="0" w:noVBand="1"/>
      </w:tblPr>
      <w:tblGrid>
        <w:gridCol w:w="2770"/>
        <w:gridCol w:w="1260"/>
        <w:gridCol w:w="1176"/>
        <w:gridCol w:w="1350"/>
        <w:gridCol w:w="1349"/>
        <w:gridCol w:w="1350"/>
      </w:tblGrid>
      <w:tr w:rsidR="00341537" w:rsidRPr="00180279">
        <w:trPr>
          <w:divId w:val="230509408"/>
          <w:trHeight w:val="315"/>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341537" w:rsidRPr="00180279" w:rsidRDefault="00341537" w:rsidP="007B2F54">
            <w:pPr>
              <w:spacing w:before="120" w:after="120"/>
              <w:rPr>
                <w:b/>
                <w:bCs/>
                <w:color w:val="000000"/>
              </w:rPr>
            </w:pPr>
            <w:r w:rsidRPr="00180279">
              <w:rPr>
                <w:b/>
                <w:bCs/>
                <w:color w:val="000000"/>
              </w:rPr>
              <w:t xml:space="preserve">Chỉ tiêu </w:t>
            </w:r>
            <w:r w:rsidR="00457C9C" w:rsidRPr="00180279">
              <w:rPr>
                <w:b/>
                <w:bCs/>
                <w:color w:val="000000"/>
              </w:rPr>
              <w:t>(*)</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rsidR="00341537" w:rsidRPr="00180279" w:rsidRDefault="00341537" w:rsidP="007B2F54">
            <w:pPr>
              <w:spacing w:before="120" w:after="120"/>
              <w:jc w:val="center"/>
              <w:rPr>
                <w:b/>
                <w:bCs/>
                <w:color w:val="000000"/>
              </w:rPr>
            </w:pPr>
            <w:r w:rsidRPr="00180279">
              <w:rPr>
                <w:b/>
                <w:bCs/>
                <w:color w:val="000000"/>
              </w:rPr>
              <w:t>Thực hiện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1537" w:rsidRPr="00180279" w:rsidRDefault="00F5556F" w:rsidP="007B2F54">
            <w:pPr>
              <w:spacing w:before="120" w:after="120"/>
              <w:jc w:val="center"/>
              <w:rPr>
                <w:b/>
                <w:bCs/>
                <w:color w:val="000000"/>
              </w:rPr>
            </w:pPr>
            <w:r w:rsidRPr="00180279">
              <w:rPr>
                <w:b/>
                <w:bCs/>
                <w:color w:val="000000"/>
              </w:rPr>
              <w:t xml:space="preserve">Kế  hoạch </w:t>
            </w:r>
            <w:r w:rsidR="008E0108" w:rsidRPr="00180279">
              <w:rPr>
                <w:b/>
                <w:bCs/>
                <w:color w:val="000000"/>
              </w:rPr>
              <w:t>2014</w:t>
            </w:r>
            <w:r w:rsidR="00341537" w:rsidRPr="00180279">
              <w:rPr>
                <w:b/>
                <w:bCs/>
                <w:color w:val="000000"/>
              </w:rPr>
              <w:t xml:space="preserve"> ĐHĐCĐ </w:t>
            </w:r>
            <w:r w:rsidR="00341537" w:rsidRPr="00180279">
              <w:rPr>
                <w:b/>
                <w:bCs/>
                <w:color w:val="000000"/>
              </w:rPr>
              <w:lastRenderedPageBreak/>
              <w:t xml:space="preserve">giao </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341537" w:rsidRPr="00180279" w:rsidRDefault="00341537" w:rsidP="000F53EF">
            <w:pPr>
              <w:spacing w:before="120" w:after="120"/>
              <w:jc w:val="center"/>
              <w:rPr>
                <w:b/>
                <w:bCs/>
                <w:color w:val="000000"/>
              </w:rPr>
            </w:pPr>
            <w:r w:rsidRPr="00180279">
              <w:rPr>
                <w:b/>
                <w:bCs/>
                <w:color w:val="000000"/>
              </w:rPr>
              <w:lastRenderedPageBreak/>
              <w:t xml:space="preserve">% thực hiện </w:t>
            </w:r>
            <w:r w:rsidR="008E0108" w:rsidRPr="00180279">
              <w:rPr>
                <w:b/>
                <w:bCs/>
                <w:color w:val="000000"/>
              </w:rPr>
              <w:t>2014</w:t>
            </w:r>
          </w:p>
        </w:tc>
      </w:tr>
      <w:tr w:rsidR="00FA3FFE" w:rsidRPr="00180279">
        <w:trPr>
          <w:divId w:val="230509408"/>
          <w:trHeight w:val="630"/>
          <w:jc w:val="center"/>
        </w:trPr>
        <w:tc>
          <w:tcPr>
            <w:tcW w:w="2775" w:type="dxa"/>
            <w:tcBorders>
              <w:top w:val="nil"/>
              <w:left w:val="single" w:sz="4" w:space="0" w:color="auto"/>
              <w:bottom w:val="single" w:sz="4" w:space="0" w:color="auto"/>
              <w:right w:val="single" w:sz="4" w:space="0" w:color="auto"/>
            </w:tcBorders>
            <w:shd w:val="clear" w:color="auto" w:fill="auto"/>
            <w:vAlign w:val="center"/>
          </w:tcPr>
          <w:p w:rsidR="00FA3FFE" w:rsidRPr="00180279" w:rsidRDefault="00FA3FFE" w:rsidP="007B2F54">
            <w:pPr>
              <w:spacing w:before="120" w:after="120"/>
              <w:rPr>
                <w:b/>
                <w:bCs/>
                <w:i/>
                <w:iCs/>
                <w:color w:val="000000"/>
              </w:rPr>
            </w:pPr>
            <w:r w:rsidRPr="00180279">
              <w:rPr>
                <w:b/>
                <w:bCs/>
                <w:i/>
                <w:iCs/>
                <w:color w:val="000000"/>
              </w:rPr>
              <w:t>(ĐV tính: triệu đồng)</w:t>
            </w:r>
          </w:p>
        </w:tc>
        <w:tc>
          <w:tcPr>
            <w:tcW w:w="1260" w:type="dxa"/>
            <w:tcBorders>
              <w:top w:val="nil"/>
              <w:left w:val="nil"/>
              <w:bottom w:val="single" w:sz="4" w:space="0" w:color="auto"/>
              <w:right w:val="single" w:sz="4" w:space="0" w:color="auto"/>
            </w:tcBorders>
            <w:shd w:val="clear" w:color="auto" w:fill="auto"/>
            <w:vAlign w:val="center"/>
          </w:tcPr>
          <w:p w:rsidR="00FA3FFE" w:rsidRPr="00180279" w:rsidRDefault="000F53EF" w:rsidP="007B2F54">
            <w:pPr>
              <w:spacing w:before="120" w:after="120"/>
              <w:jc w:val="center"/>
              <w:rPr>
                <w:b/>
                <w:bCs/>
                <w:color w:val="000000"/>
              </w:rPr>
            </w:pPr>
            <w:r w:rsidRPr="00180279">
              <w:rPr>
                <w:b/>
                <w:bCs/>
                <w:color w:val="000000"/>
              </w:rPr>
              <w:t xml:space="preserve">Năm </w:t>
            </w:r>
            <w:r w:rsidR="00482A37" w:rsidRPr="00180279">
              <w:rPr>
                <w:b/>
                <w:bCs/>
                <w:color w:val="000000"/>
              </w:rPr>
              <w:t>2013</w:t>
            </w:r>
          </w:p>
        </w:tc>
        <w:tc>
          <w:tcPr>
            <w:tcW w:w="1170" w:type="dxa"/>
            <w:tcBorders>
              <w:top w:val="nil"/>
              <w:left w:val="nil"/>
              <w:bottom w:val="single" w:sz="4" w:space="0" w:color="auto"/>
              <w:right w:val="single" w:sz="4" w:space="0" w:color="auto"/>
            </w:tcBorders>
            <w:shd w:val="clear" w:color="auto" w:fill="auto"/>
            <w:vAlign w:val="center"/>
          </w:tcPr>
          <w:p w:rsidR="00FA3FFE" w:rsidRPr="00180279" w:rsidRDefault="000F53EF" w:rsidP="007B2F54">
            <w:pPr>
              <w:spacing w:before="120" w:after="120"/>
              <w:jc w:val="center"/>
              <w:rPr>
                <w:b/>
                <w:bCs/>
                <w:color w:val="000000"/>
              </w:rPr>
            </w:pPr>
            <w:r w:rsidRPr="00180279">
              <w:rPr>
                <w:b/>
                <w:bCs/>
                <w:color w:val="000000"/>
              </w:rPr>
              <w:t xml:space="preserve">Năm </w:t>
            </w:r>
            <w:r w:rsidR="008E0108" w:rsidRPr="00180279">
              <w:rPr>
                <w:b/>
                <w:bCs/>
                <w:color w:val="000000"/>
              </w:rPr>
              <w:lastRenderedPageBreak/>
              <w:t>2014</w:t>
            </w:r>
          </w:p>
        </w:tc>
        <w:tc>
          <w:tcPr>
            <w:tcW w:w="1350" w:type="dxa"/>
            <w:vMerge/>
            <w:tcBorders>
              <w:top w:val="single" w:sz="4" w:space="0" w:color="auto"/>
              <w:left w:val="single" w:sz="4" w:space="0" w:color="auto"/>
              <w:bottom w:val="single" w:sz="4" w:space="0" w:color="auto"/>
              <w:right w:val="single" w:sz="4" w:space="0" w:color="auto"/>
            </w:tcBorders>
            <w:vAlign w:val="center"/>
          </w:tcPr>
          <w:p w:rsidR="00FA3FFE" w:rsidRPr="00180279" w:rsidRDefault="00FA3FFE" w:rsidP="007B2F54">
            <w:pPr>
              <w:spacing w:before="120" w:after="120"/>
              <w:rPr>
                <w:b/>
                <w:bCs/>
                <w:color w:val="000000"/>
              </w:rPr>
            </w:pPr>
          </w:p>
        </w:tc>
        <w:tc>
          <w:tcPr>
            <w:tcW w:w="1350" w:type="dxa"/>
            <w:tcBorders>
              <w:top w:val="nil"/>
              <w:left w:val="nil"/>
              <w:bottom w:val="single" w:sz="4" w:space="0" w:color="auto"/>
              <w:right w:val="single" w:sz="4" w:space="0" w:color="auto"/>
            </w:tcBorders>
            <w:shd w:val="clear" w:color="auto" w:fill="auto"/>
            <w:vAlign w:val="center"/>
          </w:tcPr>
          <w:p w:rsidR="00FA3FFE" w:rsidRPr="00180279" w:rsidRDefault="00FA3FFE" w:rsidP="000F53EF">
            <w:pPr>
              <w:spacing w:before="120" w:after="120"/>
              <w:jc w:val="center"/>
              <w:rPr>
                <w:b/>
                <w:bCs/>
                <w:color w:val="000000"/>
              </w:rPr>
            </w:pPr>
            <w:r w:rsidRPr="00180279">
              <w:rPr>
                <w:b/>
                <w:bCs/>
                <w:color w:val="000000"/>
              </w:rPr>
              <w:t xml:space="preserve">So với </w:t>
            </w:r>
            <w:r w:rsidRPr="00180279">
              <w:rPr>
                <w:b/>
                <w:bCs/>
                <w:color w:val="000000"/>
              </w:rPr>
              <w:lastRenderedPageBreak/>
              <w:t>201</w:t>
            </w:r>
            <w:r w:rsidR="00482A37" w:rsidRPr="00180279">
              <w:rPr>
                <w:b/>
                <w:bCs/>
                <w:color w:val="000000"/>
              </w:rPr>
              <w:t>3</w:t>
            </w:r>
          </w:p>
        </w:tc>
        <w:tc>
          <w:tcPr>
            <w:tcW w:w="1350" w:type="dxa"/>
            <w:tcBorders>
              <w:top w:val="nil"/>
              <w:left w:val="nil"/>
              <w:bottom w:val="single" w:sz="4" w:space="0" w:color="auto"/>
              <w:right w:val="single" w:sz="4" w:space="0" w:color="auto"/>
            </w:tcBorders>
            <w:shd w:val="clear" w:color="auto" w:fill="auto"/>
            <w:vAlign w:val="center"/>
          </w:tcPr>
          <w:p w:rsidR="00FA3FFE" w:rsidRPr="00180279" w:rsidRDefault="00FA3FFE" w:rsidP="007B2F54">
            <w:pPr>
              <w:spacing w:before="120" w:after="120"/>
              <w:jc w:val="center"/>
              <w:rPr>
                <w:b/>
                <w:bCs/>
                <w:color w:val="000000"/>
              </w:rPr>
            </w:pPr>
            <w:r w:rsidRPr="00180279">
              <w:rPr>
                <w:b/>
                <w:bCs/>
                <w:color w:val="000000"/>
              </w:rPr>
              <w:lastRenderedPageBreak/>
              <w:t xml:space="preserve">So với Kế  hoạch </w:t>
            </w:r>
            <w:r w:rsidR="008E0108" w:rsidRPr="00180279">
              <w:rPr>
                <w:b/>
                <w:bCs/>
                <w:color w:val="000000"/>
              </w:rPr>
              <w:lastRenderedPageBreak/>
              <w:t>2014</w:t>
            </w:r>
          </w:p>
        </w:tc>
      </w:tr>
      <w:tr w:rsidR="00FA3FFE" w:rsidRPr="00180279">
        <w:trPr>
          <w:divId w:val="230509408"/>
          <w:trHeight w:val="315"/>
          <w:jc w:val="center"/>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FA3FFE" w:rsidRPr="00180279" w:rsidRDefault="00FA3FFE" w:rsidP="007B2F54">
            <w:pPr>
              <w:spacing w:before="120" w:after="120"/>
              <w:rPr>
                <w:color w:val="000000"/>
              </w:rPr>
            </w:pPr>
            <w:r w:rsidRPr="00180279">
              <w:rPr>
                <w:color w:val="000000"/>
              </w:rPr>
              <w:lastRenderedPageBreak/>
              <w:t>Doanh thu phí nhận tái </w:t>
            </w:r>
          </w:p>
        </w:tc>
        <w:tc>
          <w:tcPr>
            <w:tcW w:w="1260" w:type="dxa"/>
            <w:tcBorders>
              <w:top w:val="single" w:sz="4" w:space="0" w:color="auto"/>
              <w:left w:val="nil"/>
              <w:bottom w:val="single" w:sz="4" w:space="0" w:color="auto"/>
              <w:right w:val="single" w:sz="4" w:space="0" w:color="auto"/>
            </w:tcBorders>
            <w:shd w:val="clear" w:color="auto" w:fill="auto"/>
            <w:vAlign w:val="bottom"/>
          </w:tcPr>
          <w:p w:rsidR="00FA3FFE" w:rsidRPr="00180279" w:rsidRDefault="000F53EF" w:rsidP="007B2F54">
            <w:pPr>
              <w:spacing w:before="120" w:after="120"/>
              <w:jc w:val="center"/>
              <w:rPr>
                <w:color w:val="000000"/>
              </w:rPr>
            </w:pPr>
            <w:r w:rsidRPr="00180279">
              <w:rPr>
                <w:color w:val="000000"/>
              </w:rPr>
              <w:t>1.424.959</w:t>
            </w:r>
          </w:p>
        </w:tc>
        <w:tc>
          <w:tcPr>
            <w:tcW w:w="1170" w:type="dxa"/>
            <w:tcBorders>
              <w:top w:val="single" w:sz="4" w:space="0" w:color="auto"/>
              <w:left w:val="nil"/>
              <w:bottom w:val="single" w:sz="4" w:space="0" w:color="auto"/>
              <w:right w:val="single" w:sz="4" w:space="0" w:color="auto"/>
            </w:tcBorders>
            <w:shd w:val="clear" w:color="auto" w:fill="auto"/>
            <w:vAlign w:val="bottom"/>
          </w:tcPr>
          <w:p w:rsidR="00FA3FFE" w:rsidRPr="00180279" w:rsidRDefault="00D116EA" w:rsidP="0045689A">
            <w:pPr>
              <w:spacing w:before="120" w:after="120"/>
              <w:jc w:val="center"/>
              <w:rPr>
                <w:color w:val="000000"/>
              </w:rPr>
            </w:pPr>
            <w:r w:rsidRPr="00180279">
              <w:rPr>
                <w:color w:val="000000"/>
              </w:rPr>
              <w:t>1.512.456</w:t>
            </w:r>
          </w:p>
        </w:tc>
        <w:tc>
          <w:tcPr>
            <w:tcW w:w="1350" w:type="dxa"/>
            <w:tcBorders>
              <w:top w:val="single" w:sz="4" w:space="0" w:color="auto"/>
              <w:left w:val="nil"/>
              <w:bottom w:val="single" w:sz="4" w:space="0" w:color="auto"/>
              <w:right w:val="single" w:sz="4" w:space="0" w:color="auto"/>
            </w:tcBorders>
            <w:shd w:val="clear" w:color="auto" w:fill="auto"/>
            <w:vAlign w:val="bottom"/>
          </w:tcPr>
          <w:p w:rsidR="00FA3FFE" w:rsidRPr="00180279" w:rsidRDefault="00482A37" w:rsidP="00D116EA">
            <w:pPr>
              <w:spacing w:before="120" w:after="120"/>
              <w:jc w:val="center"/>
              <w:rPr>
                <w:color w:val="000000"/>
              </w:rPr>
            </w:pPr>
            <w:r w:rsidRPr="00180279">
              <w:rPr>
                <w:color w:val="000000"/>
              </w:rPr>
              <w:t>1</w:t>
            </w:r>
            <w:r w:rsidR="00D116EA" w:rsidRPr="00180279">
              <w:rPr>
                <w:color w:val="000000"/>
              </w:rPr>
              <w:t>.</w:t>
            </w:r>
            <w:r w:rsidRPr="00180279">
              <w:rPr>
                <w:color w:val="000000"/>
              </w:rPr>
              <w:t>510</w:t>
            </w:r>
            <w:r w:rsidR="00D116EA" w:rsidRPr="00180279">
              <w:rPr>
                <w:color w:val="000000"/>
              </w:rPr>
              <w:t>.</w:t>
            </w:r>
            <w:r w:rsidR="00FA3FFE" w:rsidRPr="00180279">
              <w:rPr>
                <w:color w:val="000000"/>
              </w:rPr>
              <w:t>000</w:t>
            </w:r>
          </w:p>
        </w:tc>
        <w:tc>
          <w:tcPr>
            <w:tcW w:w="1350" w:type="dxa"/>
            <w:tcBorders>
              <w:top w:val="single" w:sz="4" w:space="0" w:color="auto"/>
              <w:left w:val="nil"/>
              <w:bottom w:val="single" w:sz="4" w:space="0" w:color="auto"/>
              <w:right w:val="single" w:sz="4" w:space="0" w:color="auto"/>
            </w:tcBorders>
            <w:shd w:val="clear" w:color="auto" w:fill="auto"/>
            <w:vAlign w:val="bottom"/>
          </w:tcPr>
          <w:p w:rsidR="00FA3FFE" w:rsidRPr="00180279" w:rsidRDefault="00CE110E" w:rsidP="007B2F54">
            <w:pPr>
              <w:spacing w:before="120" w:after="120"/>
              <w:jc w:val="center"/>
              <w:rPr>
                <w:color w:val="000000"/>
              </w:rPr>
            </w:pPr>
            <w:r w:rsidRPr="00180279">
              <w:rPr>
                <w:color w:val="000000"/>
              </w:rPr>
              <w:t>106,1%</w:t>
            </w:r>
          </w:p>
        </w:tc>
        <w:tc>
          <w:tcPr>
            <w:tcW w:w="1350" w:type="dxa"/>
            <w:tcBorders>
              <w:top w:val="single" w:sz="4" w:space="0" w:color="auto"/>
              <w:left w:val="nil"/>
              <w:bottom w:val="single" w:sz="4" w:space="0" w:color="auto"/>
              <w:right w:val="single" w:sz="4" w:space="0" w:color="auto"/>
            </w:tcBorders>
            <w:shd w:val="clear" w:color="auto" w:fill="auto"/>
            <w:vAlign w:val="bottom"/>
          </w:tcPr>
          <w:p w:rsidR="00FA3FFE" w:rsidRPr="00180279" w:rsidRDefault="0043113A" w:rsidP="007B2F54">
            <w:pPr>
              <w:spacing w:before="120" w:after="120"/>
              <w:jc w:val="center"/>
              <w:rPr>
                <w:color w:val="000000"/>
              </w:rPr>
            </w:pPr>
            <w:r w:rsidRPr="00180279">
              <w:rPr>
                <w:color w:val="000000"/>
              </w:rPr>
              <w:t>100,2%</w:t>
            </w:r>
          </w:p>
        </w:tc>
      </w:tr>
      <w:tr w:rsidR="00FA3FFE" w:rsidRPr="00180279">
        <w:trPr>
          <w:divId w:val="230509408"/>
          <w:trHeight w:val="315"/>
          <w:jc w:val="center"/>
        </w:trPr>
        <w:tc>
          <w:tcPr>
            <w:tcW w:w="2775" w:type="dxa"/>
            <w:tcBorders>
              <w:top w:val="nil"/>
              <w:left w:val="single" w:sz="4" w:space="0" w:color="auto"/>
              <w:bottom w:val="single" w:sz="4" w:space="0" w:color="auto"/>
              <w:right w:val="single" w:sz="4" w:space="0" w:color="auto"/>
            </w:tcBorders>
            <w:shd w:val="clear" w:color="auto" w:fill="auto"/>
            <w:vAlign w:val="bottom"/>
          </w:tcPr>
          <w:p w:rsidR="00FA3FFE" w:rsidRPr="00180279" w:rsidRDefault="00FA3FFE" w:rsidP="007B2F54">
            <w:pPr>
              <w:spacing w:before="120" w:after="120"/>
              <w:rPr>
                <w:color w:val="000000"/>
              </w:rPr>
            </w:pPr>
            <w:r w:rsidRPr="00180279">
              <w:rPr>
                <w:color w:val="000000"/>
              </w:rPr>
              <w:t>Doanh thu phí giữ lại</w:t>
            </w:r>
          </w:p>
        </w:tc>
        <w:tc>
          <w:tcPr>
            <w:tcW w:w="1260" w:type="dxa"/>
            <w:tcBorders>
              <w:top w:val="nil"/>
              <w:left w:val="nil"/>
              <w:bottom w:val="single" w:sz="4" w:space="0" w:color="auto"/>
              <w:right w:val="single" w:sz="4" w:space="0" w:color="auto"/>
            </w:tcBorders>
            <w:shd w:val="clear" w:color="auto" w:fill="auto"/>
            <w:vAlign w:val="bottom"/>
          </w:tcPr>
          <w:p w:rsidR="00FA3FFE" w:rsidRPr="00180279" w:rsidRDefault="00171AE9" w:rsidP="007B2F54">
            <w:pPr>
              <w:spacing w:before="120" w:after="120"/>
              <w:jc w:val="center"/>
              <w:rPr>
                <w:color w:val="000000"/>
              </w:rPr>
            </w:pPr>
            <w:r w:rsidRPr="00180279">
              <w:rPr>
                <w:color w:val="000000"/>
              </w:rPr>
              <w:t>500.103</w:t>
            </w:r>
          </w:p>
        </w:tc>
        <w:tc>
          <w:tcPr>
            <w:tcW w:w="1170" w:type="dxa"/>
            <w:tcBorders>
              <w:top w:val="nil"/>
              <w:left w:val="nil"/>
              <w:bottom w:val="single" w:sz="4" w:space="0" w:color="auto"/>
              <w:right w:val="single" w:sz="4" w:space="0" w:color="auto"/>
            </w:tcBorders>
            <w:shd w:val="clear" w:color="auto" w:fill="auto"/>
            <w:vAlign w:val="bottom"/>
          </w:tcPr>
          <w:p w:rsidR="00FA3FFE" w:rsidRPr="00180279" w:rsidRDefault="00171AE9" w:rsidP="007B2F54">
            <w:pPr>
              <w:spacing w:before="120" w:after="120"/>
              <w:jc w:val="center"/>
              <w:rPr>
                <w:color w:val="000000"/>
              </w:rPr>
            </w:pPr>
            <w:r w:rsidRPr="00180279">
              <w:rPr>
                <w:color w:val="000000"/>
              </w:rPr>
              <w:t>558.246</w:t>
            </w:r>
          </w:p>
        </w:tc>
        <w:tc>
          <w:tcPr>
            <w:tcW w:w="1350" w:type="dxa"/>
            <w:tcBorders>
              <w:top w:val="nil"/>
              <w:left w:val="nil"/>
              <w:bottom w:val="single" w:sz="4" w:space="0" w:color="auto"/>
              <w:right w:val="single" w:sz="4" w:space="0" w:color="auto"/>
            </w:tcBorders>
            <w:shd w:val="clear" w:color="auto" w:fill="auto"/>
            <w:vAlign w:val="bottom"/>
          </w:tcPr>
          <w:p w:rsidR="00FA3FFE" w:rsidRPr="00180279" w:rsidRDefault="00482A37" w:rsidP="00D116EA">
            <w:pPr>
              <w:spacing w:before="120" w:after="120"/>
              <w:jc w:val="center"/>
              <w:rPr>
                <w:color w:val="000000"/>
              </w:rPr>
            </w:pPr>
            <w:r w:rsidRPr="00180279">
              <w:rPr>
                <w:color w:val="000000"/>
              </w:rPr>
              <w:t>575</w:t>
            </w:r>
            <w:r w:rsidR="00D116EA" w:rsidRPr="00180279">
              <w:rPr>
                <w:color w:val="000000"/>
              </w:rPr>
              <w:t>.</w:t>
            </w:r>
            <w:r w:rsidR="00FA3FFE" w:rsidRPr="00180279">
              <w:rPr>
                <w:color w:val="000000"/>
              </w:rPr>
              <w:t>000</w:t>
            </w:r>
          </w:p>
        </w:tc>
        <w:tc>
          <w:tcPr>
            <w:tcW w:w="1350" w:type="dxa"/>
            <w:tcBorders>
              <w:top w:val="nil"/>
              <w:left w:val="nil"/>
              <w:bottom w:val="single" w:sz="4" w:space="0" w:color="auto"/>
              <w:right w:val="single" w:sz="4" w:space="0" w:color="auto"/>
            </w:tcBorders>
            <w:shd w:val="clear" w:color="auto" w:fill="auto"/>
            <w:vAlign w:val="bottom"/>
          </w:tcPr>
          <w:p w:rsidR="00FA3FFE" w:rsidRPr="00180279" w:rsidRDefault="0043113A" w:rsidP="007B2F54">
            <w:pPr>
              <w:spacing w:before="120" w:after="120"/>
              <w:jc w:val="center"/>
              <w:rPr>
                <w:color w:val="000000"/>
              </w:rPr>
            </w:pPr>
            <w:r w:rsidRPr="00180279">
              <w:rPr>
                <w:color w:val="000000"/>
              </w:rPr>
              <w:t>111,6%</w:t>
            </w:r>
          </w:p>
        </w:tc>
        <w:tc>
          <w:tcPr>
            <w:tcW w:w="1350" w:type="dxa"/>
            <w:tcBorders>
              <w:top w:val="nil"/>
              <w:left w:val="nil"/>
              <w:bottom w:val="single" w:sz="4" w:space="0" w:color="auto"/>
              <w:right w:val="single" w:sz="4" w:space="0" w:color="auto"/>
            </w:tcBorders>
            <w:shd w:val="clear" w:color="auto" w:fill="auto"/>
            <w:vAlign w:val="bottom"/>
          </w:tcPr>
          <w:p w:rsidR="00FA3FFE" w:rsidRPr="00180279" w:rsidRDefault="0043113A" w:rsidP="007B2F54">
            <w:pPr>
              <w:spacing w:before="120" w:after="120"/>
              <w:jc w:val="center"/>
              <w:rPr>
                <w:color w:val="000000"/>
              </w:rPr>
            </w:pPr>
            <w:r w:rsidRPr="00180279">
              <w:rPr>
                <w:color w:val="000000"/>
              </w:rPr>
              <w:t>97,1%</w:t>
            </w:r>
          </w:p>
        </w:tc>
      </w:tr>
      <w:tr w:rsidR="00FA3FFE" w:rsidRPr="00180279">
        <w:trPr>
          <w:divId w:val="230509408"/>
          <w:trHeight w:val="315"/>
          <w:jc w:val="center"/>
        </w:trPr>
        <w:tc>
          <w:tcPr>
            <w:tcW w:w="2775" w:type="dxa"/>
            <w:tcBorders>
              <w:top w:val="nil"/>
              <w:left w:val="single" w:sz="4" w:space="0" w:color="auto"/>
              <w:bottom w:val="single" w:sz="4" w:space="0" w:color="auto"/>
              <w:right w:val="single" w:sz="4" w:space="0" w:color="auto"/>
            </w:tcBorders>
            <w:shd w:val="clear" w:color="auto" w:fill="auto"/>
            <w:vAlign w:val="bottom"/>
          </w:tcPr>
          <w:p w:rsidR="00FA3FFE" w:rsidRPr="00180279" w:rsidRDefault="00FA3FFE" w:rsidP="00457C9C">
            <w:pPr>
              <w:spacing w:before="120" w:after="120"/>
              <w:rPr>
                <w:color w:val="000000"/>
              </w:rPr>
            </w:pPr>
            <w:r w:rsidRPr="00180279">
              <w:rPr>
                <w:color w:val="000000"/>
              </w:rPr>
              <w:t>Lợi nhuận trước thuế</w:t>
            </w:r>
          </w:p>
        </w:tc>
        <w:tc>
          <w:tcPr>
            <w:tcW w:w="1260" w:type="dxa"/>
            <w:tcBorders>
              <w:top w:val="nil"/>
              <w:left w:val="nil"/>
              <w:bottom w:val="single" w:sz="4" w:space="0" w:color="auto"/>
              <w:right w:val="single" w:sz="4" w:space="0" w:color="auto"/>
            </w:tcBorders>
            <w:shd w:val="clear" w:color="auto" w:fill="auto"/>
            <w:vAlign w:val="bottom"/>
          </w:tcPr>
          <w:p w:rsidR="00FA3FFE" w:rsidRPr="00180279" w:rsidRDefault="00171AE9" w:rsidP="007B2F54">
            <w:pPr>
              <w:spacing w:before="120" w:after="120"/>
              <w:jc w:val="center"/>
              <w:rPr>
                <w:color w:val="000000"/>
              </w:rPr>
            </w:pPr>
            <w:r w:rsidRPr="00180279">
              <w:rPr>
                <w:color w:val="000000"/>
              </w:rPr>
              <w:t>401.839</w:t>
            </w:r>
          </w:p>
        </w:tc>
        <w:tc>
          <w:tcPr>
            <w:tcW w:w="1170" w:type="dxa"/>
            <w:tcBorders>
              <w:top w:val="nil"/>
              <w:left w:val="nil"/>
              <w:bottom w:val="single" w:sz="4" w:space="0" w:color="auto"/>
              <w:right w:val="single" w:sz="4" w:space="0" w:color="auto"/>
            </w:tcBorders>
            <w:shd w:val="clear" w:color="auto" w:fill="auto"/>
            <w:vAlign w:val="bottom"/>
          </w:tcPr>
          <w:p w:rsidR="00FA3FFE" w:rsidRPr="00180279" w:rsidRDefault="00CE110E" w:rsidP="007B2F54">
            <w:pPr>
              <w:spacing w:before="120" w:after="120"/>
              <w:jc w:val="center"/>
              <w:rPr>
                <w:color w:val="000000"/>
              </w:rPr>
            </w:pPr>
            <w:r w:rsidRPr="00180279">
              <w:rPr>
                <w:color w:val="000000"/>
              </w:rPr>
              <w:t>446.352</w:t>
            </w:r>
          </w:p>
        </w:tc>
        <w:tc>
          <w:tcPr>
            <w:tcW w:w="1350" w:type="dxa"/>
            <w:tcBorders>
              <w:top w:val="nil"/>
              <w:left w:val="nil"/>
              <w:bottom w:val="single" w:sz="4" w:space="0" w:color="auto"/>
              <w:right w:val="single" w:sz="4" w:space="0" w:color="auto"/>
            </w:tcBorders>
            <w:shd w:val="clear" w:color="auto" w:fill="auto"/>
            <w:vAlign w:val="bottom"/>
          </w:tcPr>
          <w:p w:rsidR="00FA3FFE" w:rsidRPr="00180279" w:rsidRDefault="00482A37" w:rsidP="007B2F54">
            <w:pPr>
              <w:spacing w:before="120" w:after="120"/>
              <w:jc w:val="center"/>
              <w:rPr>
                <w:color w:val="000000"/>
              </w:rPr>
            </w:pPr>
            <w:r w:rsidRPr="00180279">
              <w:rPr>
                <w:color w:val="000000"/>
              </w:rPr>
              <w:t>445</w:t>
            </w:r>
            <w:r w:rsidR="00D116EA" w:rsidRPr="00180279">
              <w:rPr>
                <w:color w:val="000000"/>
              </w:rPr>
              <w:t>.</w:t>
            </w:r>
            <w:r w:rsidR="00FA3FFE" w:rsidRPr="00180279">
              <w:rPr>
                <w:color w:val="000000"/>
              </w:rPr>
              <w:t>000</w:t>
            </w:r>
          </w:p>
        </w:tc>
        <w:tc>
          <w:tcPr>
            <w:tcW w:w="1350" w:type="dxa"/>
            <w:tcBorders>
              <w:top w:val="nil"/>
              <w:left w:val="nil"/>
              <w:bottom w:val="single" w:sz="4" w:space="0" w:color="auto"/>
              <w:right w:val="single" w:sz="4" w:space="0" w:color="auto"/>
            </w:tcBorders>
            <w:shd w:val="clear" w:color="auto" w:fill="auto"/>
            <w:vAlign w:val="bottom"/>
          </w:tcPr>
          <w:p w:rsidR="00FA3FFE" w:rsidRPr="00180279" w:rsidRDefault="0043113A" w:rsidP="007B2F54">
            <w:pPr>
              <w:spacing w:before="120" w:after="120"/>
              <w:jc w:val="center"/>
              <w:rPr>
                <w:color w:val="000000"/>
              </w:rPr>
            </w:pPr>
            <w:r w:rsidRPr="00180279">
              <w:rPr>
                <w:color w:val="000000"/>
              </w:rPr>
              <w:t>111,1%</w:t>
            </w:r>
          </w:p>
        </w:tc>
        <w:tc>
          <w:tcPr>
            <w:tcW w:w="1350" w:type="dxa"/>
            <w:tcBorders>
              <w:top w:val="nil"/>
              <w:left w:val="nil"/>
              <w:bottom w:val="single" w:sz="4" w:space="0" w:color="auto"/>
              <w:right w:val="single" w:sz="4" w:space="0" w:color="auto"/>
            </w:tcBorders>
            <w:shd w:val="clear" w:color="auto" w:fill="auto"/>
            <w:vAlign w:val="bottom"/>
          </w:tcPr>
          <w:p w:rsidR="00FA3FFE" w:rsidRPr="00180279" w:rsidRDefault="0043113A" w:rsidP="007B2F54">
            <w:pPr>
              <w:spacing w:before="120" w:after="120"/>
              <w:jc w:val="center"/>
              <w:rPr>
                <w:color w:val="000000"/>
              </w:rPr>
            </w:pPr>
            <w:r w:rsidRPr="00180279">
              <w:rPr>
                <w:color w:val="000000"/>
              </w:rPr>
              <w:t>100,3%</w:t>
            </w:r>
          </w:p>
        </w:tc>
      </w:tr>
    </w:tbl>
    <w:p w:rsidR="003678AC" w:rsidRPr="00180279" w:rsidRDefault="00457C9C" w:rsidP="007B2F54">
      <w:pPr>
        <w:spacing w:before="120" w:after="120"/>
        <w:ind w:right="120" w:firstLine="600"/>
        <w:jc w:val="both"/>
        <w:divId w:val="230509408"/>
        <w:rPr>
          <w:i/>
        </w:rPr>
      </w:pPr>
      <w:bookmarkStart w:id="1" w:name="0.1_table02"/>
      <w:bookmarkEnd w:id="1"/>
      <w:r w:rsidRPr="00180279">
        <w:rPr>
          <w:i/>
        </w:rPr>
        <w:t>(*) Không bao gồm hoạt động triển khai thí điểm Bảo hiểm Nông nghiệp</w:t>
      </w:r>
      <w:r w:rsidR="005A79ED" w:rsidRPr="00180279">
        <w:rPr>
          <w:i/>
        </w:rPr>
        <w:t>  </w:t>
      </w:r>
    </w:p>
    <w:p w:rsidR="005A79ED" w:rsidRPr="00180279" w:rsidRDefault="005A79ED" w:rsidP="0043113A">
      <w:pPr>
        <w:pStyle w:val="NormalWeb"/>
        <w:spacing w:before="120" w:beforeAutospacing="0" w:after="120" w:afterAutospacing="0"/>
        <w:jc w:val="both"/>
        <w:divId w:val="230509408"/>
      </w:pPr>
      <w:r w:rsidRPr="00180279">
        <w:rPr>
          <w:lang w:val="vi-VN"/>
        </w:rPr>
        <w:t> </w:t>
      </w:r>
      <w:r w:rsidR="00F27E21" w:rsidRPr="00180279">
        <w:tab/>
      </w:r>
      <w:r w:rsidR="0043113A" w:rsidRPr="00180279">
        <w:t>VINARE đã cơ bản hoàn thành kế hoạch năm 2014 do Đại hội đồng cổ đông giao khi hoàn thành 100% kế hoạch doanh thu phí nhận tái và lợi nhuận trước thuế, duy chỉ có chỉ tiêu doanh thu phí giữ lại đạt 97,1% kế hoạch tuy nhiên vẫn tăng 11,6% so với năm 2013.</w:t>
      </w:r>
    </w:p>
    <w:p w:rsidR="004C5B5C" w:rsidRPr="00180279" w:rsidRDefault="00124693" w:rsidP="00180279">
      <w:pPr>
        <w:pStyle w:val="ListParagraph"/>
        <w:numPr>
          <w:ilvl w:val="1"/>
          <w:numId w:val="17"/>
        </w:numPr>
        <w:tabs>
          <w:tab w:val="left" w:pos="360"/>
        </w:tabs>
        <w:spacing w:before="120" w:after="120"/>
        <w:ind w:right="240" w:hanging="450"/>
        <w:jc w:val="both"/>
        <w:divId w:val="230509408"/>
        <w:rPr>
          <w:rFonts w:asciiTheme="majorHAnsi" w:hAnsiTheme="majorHAnsi" w:cstheme="majorHAnsi"/>
          <w:b/>
          <w:bCs/>
          <w:sz w:val="24"/>
          <w:szCs w:val="24"/>
        </w:rPr>
      </w:pPr>
      <w:r w:rsidRPr="00180279">
        <w:rPr>
          <w:rFonts w:asciiTheme="majorHAnsi" w:hAnsiTheme="majorHAnsi" w:cstheme="majorHAnsi"/>
          <w:b/>
          <w:bCs/>
          <w:sz w:val="24"/>
          <w:szCs w:val="24"/>
        </w:rPr>
        <w:t xml:space="preserve">Một </w:t>
      </w:r>
      <w:r w:rsidR="007B4318" w:rsidRPr="00180279">
        <w:rPr>
          <w:rFonts w:asciiTheme="majorHAnsi" w:hAnsiTheme="majorHAnsi" w:cstheme="majorHAnsi"/>
          <w:b/>
          <w:bCs/>
          <w:sz w:val="24"/>
          <w:szCs w:val="24"/>
        </w:rPr>
        <w:t xml:space="preserve">số chỉ tiêu </w:t>
      </w:r>
      <w:r w:rsidR="004C5B5C" w:rsidRPr="00180279">
        <w:rPr>
          <w:rFonts w:asciiTheme="majorHAnsi" w:hAnsiTheme="majorHAnsi" w:cstheme="majorHAnsi"/>
          <w:b/>
          <w:bCs/>
          <w:sz w:val="24"/>
          <w:szCs w:val="24"/>
        </w:rPr>
        <w:t xml:space="preserve">của </w:t>
      </w:r>
      <w:r w:rsidR="007B4318" w:rsidRPr="00180279">
        <w:rPr>
          <w:rFonts w:asciiTheme="majorHAnsi" w:hAnsiTheme="majorHAnsi" w:cstheme="majorHAnsi"/>
          <w:b/>
          <w:bCs/>
          <w:sz w:val="24"/>
          <w:szCs w:val="24"/>
        </w:rPr>
        <w:t xml:space="preserve">hoạt động kinh doanh chính </w:t>
      </w:r>
    </w:p>
    <w:p w:rsidR="007B4F50" w:rsidRPr="00180279" w:rsidRDefault="007B4F50" w:rsidP="007B2F54">
      <w:pPr>
        <w:spacing w:before="120" w:after="120"/>
        <w:jc w:val="both"/>
        <w:divId w:val="230509408"/>
        <w:rPr>
          <w:b/>
          <w:bCs/>
          <w:i/>
        </w:rPr>
      </w:pPr>
      <w:r w:rsidRPr="00180279">
        <w:rPr>
          <w:b/>
          <w:bCs/>
          <w:i/>
        </w:rPr>
        <w:t>2.1. Báo cáo tài chính riêng</w:t>
      </w:r>
    </w:p>
    <w:p w:rsidR="00816F10" w:rsidRPr="00180279" w:rsidRDefault="00816F10" w:rsidP="00816F10">
      <w:pPr>
        <w:spacing w:before="120" w:after="120"/>
        <w:jc w:val="right"/>
        <w:divId w:val="230509408"/>
        <w:rPr>
          <w:bCs/>
          <w:i/>
        </w:rPr>
      </w:pPr>
      <w:r w:rsidRPr="00180279">
        <w:rPr>
          <w:bCs/>
          <w:i/>
        </w:rPr>
        <w:t>Đơn vị: Triệu đồng</w:t>
      </w:r>
    </w:p>
    <w:tbl>
      <w:tblPr>
        <w:tblW w:w="9301" w:type="dxa"/>
        <w:tblInd w:w="93" w:type="dxa"/>
        <w:tblLook w:val="04A0" w:firstRow="1" w:lastRow="0" w:firstColumn="1" w:lastColumn="0" w:noHBand="0" w:noVBand="1"/>
      </w:tblPr>
      <w:tblGrid>
        <w:gridCol w:w="537"/>
        <w:gridCol w:w="3611"/>
        <w:gridCol w:w="755"/>
        <w:gridCol w:w="1560"/>
        <w:gridCol w:w="1400"/>
        <w:gridCol w:w="1438"/>
      </w:tblGrid>
      <w:tr w:rsidR="00D12B3B" w:rsidRPr="00180279" w:rsidTr="00D12B3B">
        <w:trPr>
          <w:divId w:val="230509408"/>
          <w:trHeight w:val="68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TT</w:t>
            </w:r>
          </w:p>
        </w:tc>
        <w:tc>
          <w:tcPr>
            <w:tcW w:w="3611" w:type="dxa"/>
            <w:tcBorders>
              <w:top w:val="single" w:sz="4" w:space="0" w:color="auto"/>
              <w:left w:val="nil"/>
              <w:bottom w:val="single" w:sz="4" w:space="0" w:color="auto"/>
              <w:right w:val="single" w:sz="4" w:space="0" w:color="auto"/>
            </w:tcBorders>
            <w:shd w:val="clear" w:color="auto" w:fill="auto"/>
            <w:vAlign w:val="center"/>
            <w:hideMark/>
          </w:tcPr>
          <w:p w:rsidR="00D12B3B" w:rsidRPr="00180279" w:rsidRDefault="00D12B3B">
            <w:pPr>
              <w:rPr>
                <w:b/>
                <w:bCs/>
                <w:color w:val="000000"/>
              </w:rPr>
            </w:pPr>
            <w:r w:rsidRPr="00180279">
              <w:rPr>
                <w:b/>
                <w:bCs/>
                <w:color w:val="000000"/>
              </w:rPr>
              <w:t>Chỉ tiêu</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Đơn vị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2013 (trình bày lại)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2014</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 thay đổi</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i/>
                <w:iCs/>
                <w:color w:val="000000"/>
              </w:rPr>
            </w:pPr>
            <w:r w:rsidRPr="00180279">
              <w:rPr>
                <w:i/>
                <w:iCs/>
                <w:color w:val="000000"/>
              </w:rPr>
              <w:t>(1)</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i/>
                <w:iCs/>
                <w:color w:val="000000"/>
              </w:rPr>
            </w:pPr>
            <w:r w:rsidRPr="00180279">
              <w:rPr>
                <w:i/>
                <w:iCs/>
                <w:color w:val="000000"/>
              </w:rPr>
              <w:t>(2)</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i/>
                <w:iCs/>
                <w:color w:val="000000"/>
              </w:rPr>
            </w:pPr>
            <w:r w:rsidRPr="00180279">
              <w:rPr>
                <w:i/>
                <w:iCs/>
                <w:color w:val="000000"/>
              </w:rPr>
              <w:t>(3)</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i/>
                <w:iCs/>
                <w:color w:val="000000"/>
              </w:rPr>
            </w:pPr>
            <w:r w:rsidRPr="00180279">
              <w:rPr>
                <w:i/>
                <w:iCs/>
                <w:color w:val="000000"/>
              </w:rPr>
              <w:t>(4)</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i/>
                <w:iCs/>
                <w:color w:val="000000"/>
              </w:rPr>
            </w:pPr>
            <w:r w:rsidRPr="00180279">
              <w:rPr>
                <w:i/>
                <w:iCs/>
                <w:color w:val="000000"/>
              </w:rPr>
              <w:t>(5)</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i/>
                <w:iCs/>
                <w:color w:val="000000"/>
              </w:rPr>
            </w:pPr>
            <w:r w:rsidRPr="00180279">
              <w:rPr>
                <w:i/>
                <w:iCs/>
                <w:color w:val="000000"/>
              </w:rPr>
              <w:t>(6) = (5)/(4)</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1</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b/>
                <w:bCs/>
                <w:color w:val="000000"/>
              </w:rPr>
            </w:pPr>
            <w:r w:rsidRPr="00180279">
              <w:rPr>
                <w:b/>
                <w:bCs/>
                <w:color w:val="000000"/>
              </w:rPr>
              <w:t>Tổng tài sản</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Trđ</w:t>
            </w:r>
          </w:p>
        </w:tc>
        <w:tc>
          <w:tcPr>
            <w:tcW w:w="156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b/>
                <w:bCs/>
                <w:color w:val="000000"/>
              </w:rPr>
            </w:pPr>
            <w:r w:rsidRPr="00180279">
              <w:rPr>
                <w:b/>
                <w:bCs/>
                <w:color w:val="000000"/>
              </w:rPr>
              <w:t>6</w:t>
            </w:r>
            <w:r w:rsidR="000560A6" w:rsidRPr="00180279">
              <w:rPr>
                <w:b/>
                <w:bCs/>
                <w:color w:val="000000"/>
              </w:rPr>
              <w:t>.</w:t>
            </w:r>
            <w:r w:rsidRPr="00180279">
              <w:rPr>
                <w:b/>
                <w:bCs/>
                <w:color w:val="000000"/>
              </w:rPr>
              <w:t>248</w:t>
            </w:r>
            <w:r w:rsidR="000560A6" w:rsidRPr="00180279">
              <w:rPr>
                <w:b/>
                <w:bCs/>
                <w:color w:val="000000"/>
              </w:rPr>
              <w:t>.</w:t>
            </w:r>
            <w:r w:rsidRPr="00180279">
              <w:rPr>
                <w:b/>
                <w:bCs/>
                <w:color w:val="000000"/>
              </w:rPr>
              <w:t>433</w:t>
            </w:r>
          </w:p>
        </w:tc>
        <w:tc>
          <w:tcPr>
            <w:tcW w:w="140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b/>
                <w:bCs/>
                <w:color w:val="000000"/>
              </w:rPr>
            </w:pPr>
            <w:r w:rsidRPr="00180279">
              <w:rPr>
                <w:b/>
                <w:bCs/>
                <w:color w:val="000000"/>
              </w:rPr>
              <w:t>5</w:t>
            </w:r>
            <w:r w:rsidR="000560A6" w:rsidRPr="00180279">
              <w:rPr>
                <w:b/>
                <w:bCs/>
                <w:color w:val="000000"/>
              </w:rPr>
              <w:t>.</w:t>
            </w:r>
            <w:r w:rsidRPr="00180279">
              <w:rPr>
                <w:b/>
                <w:bCs/>
                <w:color w:val="000000"/>
              </w:rPr>
              <w:t>959</w:t>
            </w:r>
            <w:r w:rsidR="000560A6" w:rsidRPr="00180279">
              <w:rPr>
                <w:b/>
                <w:bCs/>
                <w:color w:val="000000"/>
              </w:rPr>
              <w:t>.</w:t>
            </w:r>
            <w:r w:rsidRPr="00180279">
              <w:rPr>
                <w:b/>
                <w:bCs/>
                <w:color w:val="000000"/>
              </w:rPr>
              <w:t>468</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-4</w:t>
            </w:r>
            <w:r w:rsidR="000560A6" w:rsidRPr="00180279">
              <w:rPr>
                <w:b/>
                <w:bCs/>
                <w:color w:val="000000"/>
              </w:rPr>
              <w:t>,</w:t>
            </w:r>
            <w:r w:rsidRPr="00180279">
              <w:rPr>
                <w:b/>
                <w:bCs/>
                <w:color w:val="000000"/>
              </w:rPr>
              <w:t>6%</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2</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b/>
                <w:bCs/>
                <w:color w:val="000000"/>
              </w:rPr>
            </w:pPr>
            <w:r w:rsidRPr="00180279">
              <w:rPr>
                <w:b/>
                <w:bCs/>
                <w:color w:val="000000"/>
              </w:rPr>
              <w:t>Vốn chủ sở hữu</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b/>
                <w:bCs/>
                <w:color w:val="000000"/>
              </w:rPr>
            </w:pPr>
            <w:r w:rsidRPr="00180279">
              <w:rPr>
                <w:b/>
                <w:bCs/>
                <w:color w:val="000000"/>
              </w:rPr>
              <w:t>2</w:t>
            </w:r>
            <w:r w:rsidR="000560A6" w:rsidRPr="00180279">
              <w:rPr>
                <w:b/>
                <w:bCs/>
                <w:color w:val="000000"/>
              </w:rPr>
              <w:t>.</w:t>
            </w:r>
            <w:r w:rsidRPr="00180279">
              <w:rPr>
                <w:b/>
                <w:bCs/>
                <w:color w:val="000000"/>
              </w:rPr>
              <w:t>349</w:t>
            </w:r>
            <w:r w:rsidR="000560A6" w:rsidRPr="00180279">
              <w:rPr>
                <w:b/>
                <w:bCs/>
                <w:color w:val="000000"/>
              </w:rPr>
              <w:t>.</w:t>
            </w:r>
            <w:r w:rsidRPr="00180279">
              <w:rPr>
                <w:b/>
                <w:bCs/>
                <w:color w:val="000000"/>
              </w:rPr>
              <w:t>796</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rsidP="005117AF">
            <w:pPr>
              <w:jc w:val="right"/>
              <w:rPr>
                <w:b/>
                <w:bCs/>
                <w:color w:val="000000"/>
              </w:rPr>
            </w:pPr>
            <w:r w:rsidRPr="00180279">
              <w:rPr>
                <w:b/>
                <w:bCs/>
                <w:color w:val="000000"/>
              </w:rPr>
              <w:t>2</w:t>
            </w:r>
            <w:r w:rsidR="000560A6" w:rsidRPr="00180279">
              <w:rPr>
                <w:b/>
                <w:bCs/>
                <w:color w:val="000000"/>
              </w:rPr>
              <w:t>.</w:t>
            </w:r>
            <w:r w:rsidRPr="00180279">
              <w:rPr>
                <w:b/>
                <w:bCs/>
                <w:color w:val="000000"/>
              </w:rPr>
              <w:t>604</w:t>
            </w:r>
            <w:r w:rsidR="000560A6" w:rsidRPr="00180279">
              <w:rPr>
                <w:b/>
                <w:bCs/>
                <w:color w:val="000000"/>
              </w:rPr>
              <w:t>.</w:t>
            </w:r>
            <w:r w:rsidR="005117AF" w:rsidRPr="00180279">
              <w:rPr>
                <w:b/>
                <w:bCs/>
                <w:color w:val="000000"/>
              </w:rPr>
              <w:t>983</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rsidP="005117AF">
            <w:pPr>
              <w:jc w:val="center"/>
              <w:rPr>
                <w:b/>
                <w:bCs/>
                <w:color w:val="000000"/>
              </w:rPr>
            </w:pPr>
            <w:r w:rsidRPr="00180279">
              <w:rPr>
                <w:b/>
                <w:bCs/>
                <w:color w:val="000000"/>
              </w:rPr>
              <w:t>10</w:t>
            </w:r>
            <w:r w:rsidR="000560A6" w:rsidRPr="00180279">
              <w:rPr>
                <w:b/>
                <w:bCs/>
                <w:color w:val="000000"/>
              </w:rPr>
              <w:t>,</w:t>
            </w:r>
            <w:r w:rsidR="005117AF" w:rsidRPr="00180279">
              <w:rPr>
                <w:b/>
                <w:bCs/>
                <w:color w:val="000000"/>
              </w:rPr>
              <w:t>9</w:t>
            </w:r>
            <w:r w:rsidRPr="00180279">
              <w:rPr>
                <w:b/>
                <w:bCs/>
                <w:color w:val="000000"/>
              </w:rPr>
              <w:t>%</w:t>
            </w:r>
          </w:p>
        </w:tc>
      </w:tr>
      <w:tr w:rsidR="00D12B3B" w:rsidRPr="00180279" w:rsidTr="00D12B3B">
        <w:trPr>
          <w:divId w:val="230509408"/>
          <w:trHeight w:val="62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3</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b/>
                <w:bCs/>
                <w:color w:val="000000"/>
              </w:rPr>
            </w:pPr>
            <w:r w:rsidRPr="00180279">
              <w:rPr>
                <w:b/>
                <w:bCs/>
                <w:color w:val="000000"/>
              </w:rPr>
              <w:t>Dự phòng nghiệp vụ (theo TNGL)</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b/>
                <w:bCs/>
                <w:color w:val="000000"/>
              </w:rPr>
            </w:pPr>
            <w:r w:rsidRPr="00180279">
              <w:rPr>
                <w:b/>
                <w:bCs/>
                <w:color w:val="000000"/>
              </w:rPr>
              <w:t>689</w:t>
            </w:r>
            <w:r w:rsidR="000560A6" w:rsidRPr="00180279">
              <w:rPr>
                <w:b/>
                <w:bCs/>
                <w:color w:val="000000"/>
              </w:rPr>
              <w:t>.</w:t>
            </w:r>
            <w:r w:rsidRPr="00180279">
              <w:rPr>
                <w:b/>
                <w:bCs/>
                <w:color w:val="000000"/>
              </w:rPr>
              <w:t>292</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BB7F64">
            <w:pPr>
              <w:jc w:val="right"/>
              <w:rPr>
                <w:b/>
                <w:bCs/>
                <w:color w:val="000000"/>
              </w:rPr>
            </w:pPr>
            <w:r w:rsidRPr="00180279">
              <w:rPr>
                <w:b/>
                <w:bCs/>
                <w:color w:val="000000"/>
              </w:rPr>
              <w:t>777.295</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BB7F64">
            <w:pPr>
              <w:jc w:val="center"/>
              <w:rPr>
                <w:b/>
                <w:bCs/>
                <w:color w:val="000000"/>
              </w:rPr>
            </w:pPr>
            <w:r w:rsidRPr="00180279">
              <w:rPr>
                <w:b/>
                <w:bCs/>
                <w:color w:val="000000"/>
              </w:rPr>
              <w:t>12,8%</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3.1</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Dự phòng phí</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218</w:t>
            </w:r>
            <w:r w:rsidR="000560A6" w:rsidRPr="00180279">
              <w:rPr>
                <w:color w:val="000000"/>
              </w:rPr>
              <w:t>.</w:t>
            </w:r>
            <w:r w:rsidRPr="00180279">
              <w:rPr>
                <w:color w:val="000000"/>
              </w:rPr>
              <w:t>192</w:t>
            </w:r>
          </w:p>
        </w:tc>
        <w:tc>
          <w:tcPr>
            <w:tcW w:w="140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235</w:t>
            </w:r>
            <w:r w:rsidR="000560A6" w:rsidRPr="00180279">
              <w:rPr>
                <w:color w:val="000000"/>
              </w:rPr>
              <w:t>.</w:t>
            </w:r>
            <w:r w:rsidRPr="00180279">
              <w:rPr>
                <w:color w:val="000000"/>
              </w:rPr>
              <w:t>834</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8</w:t>
            </w:r>
            <w:r w:rsidR="000560A6" w:rsidRPr="00180279">
              <w:rPr>
                <w:color w:val="000000"/>
              </w:rPr>
              <w:t>,</w:t>
            </w:r>
            <w:r w:rsidRPr="00180279">
              <w:rPr>
                <w:color w:val="000000"/>
              </w:rPr>
              <w:t>1%</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3.2</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Dự phòng bồi thường</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338</w:t>
            </w:r>
            <w:r w:rsidR="000560A6" w:rsidRPr="00180279">
              <w:rPr>
                <w:color w:val="000000"/>
              </w:rPr>
              <w:t>.</w:t>
            </w:r>
            <w:r w:rsidRPr="00180279">
              <w:rPr>
                <w:color w:val="000000"/>
              </w:rPr>
              <w:t>376</w:t>
            </w:r>
          </w:p>
        </w:tc>
        <w:tc>
          <w:tcPr>
            <w:tcW w:w="140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387</w:t>
            </w:r>
            <w:r w:rsidR="000560A6" w:rsidRPr="00180279">
              <w:rPr>
                <w:color w:val="000000"/>
              </w:rPr>
              <w:t>.</w:t>
            </w:r>
            <w:r w:rsidRPr="00180279">
              <w:rPr>
                <w:color w:val="000000"/>
              </w:rPr>
              <w:t>528</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14</w:t>
            </w:r>
            <w:r w:rsidR="000560A6" w:rsidRPr="00180279">
              <w:rPr>
                <w:color w:val="000000"/>
              </w:rPr>
              <w:t>,</w:t>
            </w:r>
            <w:r w:rsidRPr="00180279">
              <w:rPr>
                <w:color w:val="000000"/>
              </w:rPr>
              <w:t>5%</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3.3</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Dự phòng dao động lớn</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132</w:t>
            </w:r>
            <w:r w:rsidR="000560A6" w:rsidRPr="00180279">
              <w:rPr>
                <w:color w:val="000000"/>
              </w:rPr>
              <w:t>.</w:t>
            </w:r>
            <w:r w:rsidRPr="00180279">
              <w:rPr>
                <w:color w:val="000000"/>
              </w:rPr>
              <w:t>725</w:t>
            </w:r>
          </w:p>
        </w:tc>
        <w:tc>
          <w:tcPr>
            <w:tcW w:w="140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153</w:t>
            </w:r>
            <w:r w:rsidR="000560A6" w:rsidRPr="00180279">
              <w:rPr>
                <w:color w:val="000000"/>
              </w:rPr>
              <w:t>.</w:t>
            </w:r>
            <w:r w:rsidRPr="00180279">
              <w:rPr>
                <w:color w:val="000000"/>
              </w:rPr>
              <w:t>933</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16</w:t>
            </w:r>
            <w:r w:rsidR="000560A6" w:rsidRPr="00180279">
              <w:rPr>
                <w:color w:val="000000"/>
              </w:rPr>
              <w:t>,</w:t>
            </w:r>
            <w:r w:rsidRPr="00180279">
              <w:rPr>
                <w:color w:val="000000"/>
              </w:rPr>
              <w:t>0%</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4</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b/>
                <w:bCs/>
                <w:color w:val="000000"/>
              </w:rPr>
            </w:pPr>
            <w:r w:rsidRPr="00180279">
              <w:rPr>
                <w:b/>
                <w:bCs/>
                <w:color w:val="000000"/>
              </w:rPr>
              <w:t>Doanh thu</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b/>
                <w:bCs/>
                <w:color w:val="000000"/>
              </w:rPr>
            </w:pPr>
            <w:r w:rsidRPr="00180279">
              <w:rPr>
                <w:b/>
                <w:bCs/>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b/>
                <w:bCs/>
                <w:color w:val="000000"/>
              </w:rPr>
            </w:pPr>
            <w:r w:rsidRPr="0018027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 </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4.1</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Doanh thu phí nhận tái</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1</w:t>
            </w:r>
            <w:r w:rsidR="000560A6" w:rsidRPr="00180279">
              <w:rPr>
                <w:color w:val="000000"/>
              </w:rPr>
              <w:t>.</w:t>
            </w:r>
            <w:r w:rsidRPr="00180279">
              <w:rPr>
                <w:color w:val="000000"/>
              </w:rPr>
              <w:t>424</w:t>
            </w:r>
            <w:r w:rsidR="000560A6" w:rsidRPr="00180279">
              <w:rPr>
                <w:color w:val="000000"/>
              </w:rPr>
              <w:t>.</w:t>
            </w:r>
            <w:r w:rsidRPr="00180279">
              <w:rPr>
                <w:color w:val="000000"/>
              </w:rPr>
              <w:t>959</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1</w:t>
            </w:r>
            <w:r w:rsidR="000560A6" w:rsidRPr="00180279">
              <w:rPr>
                <w:color w:val="000000"/>
              </w:rPr>
              <w:t>.</w:t>
            </w:r>
            <w:r w:rsidRPr="00180279">
              <w:rPr>
                <w:color w:val="000000"/>
              </w:rPr>
              <w:t>512</w:t>
            </w:r>
            <w:r w:rsidR="000560A6" w:rsidRPr="00180279">
              <w:rPr>
                <w:color w:val="000000"/>
              </w:rPr>
              <w:t>.</w:t>
            </w:r>
            <w:r w:rsidRPr="00180279">
              <w:rPr>
                <w:color w:val="000000"/>
              </w:rPr>
              <w:t>456</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6</w:t>
            </w:r>
            <w:r w:rsidR="000560A6" w:rsidRPr="00180279">
              <w:rPr>
                <w:color w:val="000000"/>
              </w:rPr>
              <w:t>,</w:t>
            </w:r>
            <w:r w:rsidRPr="00180279">
              <w:rPr>
                <w:color w:val="000000"/>
              </w:rPr>
              <w:t>1%</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4.2</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Doanh thu phí bảo hiểm thuần</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568</w:t>
            </w:r>
            <w:r w:rsidR="000560A6" w:rsidRPr="00180279">
              <w:rPr>
                <w:color w:val="000000"/>
              </w:rPr>
              <w:t>.</w:t>
            </w:r>
            <w:r w:rsidRPr="00180279">
              <w:rPr>
                <w:color w:val="000000"/>
              </w:rPr>
              <w:t>372</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537</w:t>
            </w:r>
            <w:r w:rsidR="000560A6" w:rsidRPr="00180279">
              <w:rPr>
                <w:color w:val="000000"/>
              </w:rPr>
              <w:t>.</w:t>
            </w:r>
            <w:r w:rsidRPr="00180279">
              <w:rPr>
                <w:color w:val="000000"/>
              </w:rPr>
              <w:t>897</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-5</w:t>
            </w:r>
            <w:r w:rsidR="000560A6" w:rsidRPr="00180279">
              <w:rPr>
                <w:color w:val="000000"/>
              </w:rPr>
              <w:t>,</w:t>
            </w:r>
            <w:r w:rsidRPr="00180279">
              <w:rPr>
                <w:color w:val="000000"/>
              </w:rPr>
              <w:t>4%</w:t>
            </w:r>
          </w:p>
        </w:tc>
      </w:tr>
      <w:tr w:rsidR="00D12B3B" w:rsidRPr="00180279" w:rsidTr="00D12B3B">
        <w:trPr>
          <w:divId w:val="230509408"/>
          <w:trHeight w:val="62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4.3</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Thu hoa hồng nhượng tái và doanh thu khác từ KDBH</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204</w:t>
            </w:r>
            <w:r w:rsidR="000560A6" w:rsidRPr="00180279">
              <w:rPr>
                <w:color w:val="000000"/>
              </w:rPr>
              <w:t>.</w:t>
            </w:r>
            <w:r w:rsidRPr="00180279">
              <w:rPr>
                <w:color w:val="000000"/>
              </w:rPr>
              <w:t>897</w:t>
            </w:r>
          </w:p>
        </w:tc>
        <w:tc>
          <w:tcPr>
            <w:tcW w:w="140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515</w:t>
            </w:r>
            <w:r w:rsidR="000560A6" w:rsidRPr="00180279">
              <w:rPr>
                <w:color w:val="000000"/>
              </w:rPr>
              <w:t>.</w:t>
            </w:r>
            <w:r w:rsidRPr="00180279">
              <w:rPr>
                <w:color w:val="000000"/>
              </w:rPr>
              <w:t>341</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151</w:t>
            </w:r>
            <w:r w:rsidR="000560A6" w:rsidRPr="00180279">
              <w:rPr>
                <w:color w:val="000000"/>
              </w:rPr>
              <w:t>,</w:t>
            </w:r>
            <w:r w:rsidRPr="00180279">
              <w:rPr>
                <w:color w:val="000000"/>
              </w:rPr>
              <w:t>5%</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rsidP="00D12B3B">
            <w:pPr>
              <w:jc w:val="center"/>
              <w:rPr>
                <w:color w:val="000000"/>
              </w:rPr>
            </w:pPr>
            <w:r w:rsidRPr="00180279">
              <w:rPr>
                <w:color w:val="000000"/>
              </w:rPr>
              <w:t>4.4</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Doanh thu thuần KDBH</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773</w:t>
            </w:r>
            <w:r w:rsidR="000560A6" w:rsidRPr="00180279">
              <w:rPr>
                <w:color w:val="000000"/>
              </w:rPr>
              <w:t>.</w:t>
            </w:r>
            <w:r w:rsidRPr="00180279">
              <w:rPr>
                <w:color w:val="000000"/>
              </w:rPr>
              <w:t>270</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1</w:t>
            </w:r>
            <w:r w:rsidR="000560A6" w:rsidRPr="00180279">
              <w:rPr>
                <w:color w:val="000000"/>
              </w:rPr>
              <w:t>.</w:t>
            </w:r>
            <w:r w:rsidRPr="00180279">
              <w:rPr>
                <w:color w:val="000000"/>
              </w:rPr>
              <w:t>053</w:t>
            </w:r>
            <w:r w:rsidR="000560A6" w:rsidRPr="00180279">
              <w:rPr>
                <w:color w:val="000000"/>
              </w:rPr>
              <w:t>.</w:t>
            </w:r>
            <w:r w:rsidRPr="00180279">
              <w:rPr>
                <w:color w:val="000000"/>
              </w:rPr>
              <w:t>238</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36</w:t>
            </w:r>
            <w:r w:rsidR="000560A6" w:rsidRPr="00180279">
              <w:rPr>
                <w:color w:val="000000"/>
              </w:rPr>
              <w:t>,</w:t>
            </w:r>
            <w:r w:rsidRPr="00180279">
              <w:rPr>
                <w:color w:val="000000"/>
              </w:rPr>
              <w:t>2%</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4.5</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Doanh thu tài chính</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000000" w:fill="FFFFFF"/>
            <w:noWrap/>
            <w:vAlign w:val="center"/>
            <w:hideMark/>
          </w:tcPr>
          <w:p w:rsidR="00D12B3B" w:rsidRPr="00180279" w:rsidRDefault="00D12B3B">
            <w:pPr>
              <w:jc w:val="right"/>
              <w:rPr>
                <w:color w:val="000000"/>
              </w:rPr>
            </w:pPr>
            <w:r w:rsidRPr="00180279">
              <w:rPr>
                <w:color w:val="000000"/>
              </w:rPr>
              <w:t>310</w:t>
            </w:r>
            <w:r w:rsidR="000560A6" w:rsidRPr="00180279">
              <w:rPr>
                <w:color w:val="000000"/>
              </w:rPr>
              <w:t>.</w:t>
            </w:r>
            <w:r w:rsidRPr="00180279">
              <w:rPr>
                <w:color w:val="000000"/>
              </w:rPr>
              <w:t>952</w:t>
            </w:r>
          </w:p>
        </w:tc>
        <w:tc>
          <w:tcPr>
            <w:tcW w:w="1400" w:type="dxa"/>
            <w:tcBorders>
              <w:top w:val="nil"/>
              <w:left w:val="nil"/>
              <w:bottom w:val="single" w:sz="4" w:space="0" w:color="auto"/>
              <w:right w:val="single" w:sz="4" w:space="0" w:color="auto"/>
            </w:tcBorders>
            <w:shd w:val="clear" w:color="000000" w:fill="FFFFFF"/>
            <w:noWrap/>
            <w:vAlign w:val="center"/>
            <w:hideMark/>
          </w:tcPr>
          <w:p w:rsidR="00D12B3B" w:rsidRPr="00180279" w:rsidRDefault="00D23796">
            <w:pPr>
              <w:jc w:val="right"/>
              <w:rPr>
                <w:color w:val="000000"/>
              </w:rPr>
            </w:pPr>
            <w:r w:rsidRPr="00180279">
              <w:rPr>
                <w:color w:val="000000"/>
              </w:rPr>
              <w:t>359.784</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23796">
            <w:pPr>
              <w:jc w:val="center"/>
              <w:rPr>
                <w:color w:val="000000"/>
              </w:rPr>
            </w:pPr>
            <w:r w:rsidRPr="00180279">
              <w:rPr>
                <w:color w:val="000000"/>
              </w:rPr>
              <w:t>15,7%</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5</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b/>
                <w:bCs/>
                <w:color w:val="000000"/>
              </w:rPr>
            </w:pPr>
            <w:r w:rsidRPr="00180279">
              <w:rPr>
                <w:b/>
                <w:bCs/>
                <w:color w:val="000000"/>
              </w:rPr>
              <w:t>Chi phí</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b/>
                <w:bCs/>
                <w:color w:val="000000"/>
              </w:rPr>
            </w:pPr>
            <w:r w:rsidRPr="00180279">
              <w:rPr>
                <w:b/>
                <w:bCs/>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b/>
                <w:bCs/>
                <w:color w:val="000000"/>
              </w:rPr>
            </w:pPr>
            <w:r w:rsidRPr="0018027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 </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5.1</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Chi bồi thường</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231</w:t>
            </w:r>
            <w:r w:rsidR="000560A6" w:rsidRPr="00180279">
              <w:rPr>
                <w:color w:val="000000"/>
              </w:rPr>
              <w:t>.</w:t>
            </w:r>
            <w:r w:rsidRPr="00180279">
              <w:rPr>
                <w:color w:val="000000"/>
              </w:rPr>
              <w:t>968</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321</w:t>
            </w:r>
            <w:r w:rsidR="000560A6" w:rsidRPr="00180279">
              <w:rPr>
                <w:color w:val="000000"/>
              </w:rPr>
              <w:t>.</w:t>
            </w:r>
            <w:r w:rsidRPr="00180279">
              <w:rPr>
                <w:color w:val="000000"/>
              </w:rPr>
              <w:t>185</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38</w:t>
            </w:r>
            <w:r w:rsidR="000560A6" w:rsidRPr="00180279">
              <w:rPr>
                <w:color w:val="000000"/>
              </w:rPr>
              <w:t>,</w:t>
            </w:r>
            <w:r w:rsidRPr="00180279">
              <w:rPr>
                <w:color w:val="000000"/>
              </w:rPr>
              <w:t>5%</w:t>
            </w:r>
          </w:p>
        </w:tc>
      </w:tr>
      <w:tr w:rsidR="00D12B3B" w:rsidRPr="00180279" w:rsidTr="00D12B3B">
        <w:trPr>
          <w:divId w:val="230509408"/>
          <w:trHeight w:val="62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5.2</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Chi phí quản lý và chi khác hoạt động KDBH</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433</w:t>
            </w:r>
            <w:r w:rsidR="000560A6" w:rsidRPr="00180279">
              <w:rPr>
                <w:color w:val="000000"/>
              </w:rPr>
              <w:t>.</w:t>
            </w:r>
            <w:r w:rsidRPr="00180279">
              <w:rPr>
                <w:color w:val="000000"/>
              </w:rPr>
              <w:t>549</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663</w:t>
            </w:r>
            <w:r w:rsidR="000560A6" w:rsidRPr="00180279">
              <w:rPr>
                <w:color w:val="000000"/>
              </w:rPr>
              <w:t>.</w:t>
            </w:r>
            <w:r w:rsidRPr="00180279">
              <w:rPr>
                <w:color w:val="000000"/>
              </w:rPr>
              <w:t>750</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53</w:t>
            </w:r>
            <w:r w:rsidR="000560A6" w:rsidRPr="00180279">
              <w:rPr>
                <w:color w:val="000000"/>
              </w:rPr>
              <w:t>,</w:t>
            </w:r>
            <w:r w:rsidRPr="00180279">
              <w:rPr>
                <w:color w:val="000000"/>
              </w:rPr>
              <w:t>1%</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5.3</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Chi phí tài chính</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10</w:t>
            </w:r>
            <w:r w:rsidR="000560A6" w:rsidRPr="00180279">
              <w:rPr>
                <w:color w:val="000000"/>
              </w:rPr>
              <w:t>.</w:t>
            </w:r>
            <w:r w:rsidRPr="00180279">
              <w:rPr>
                <w:color w:val="000000"/>
              </w:rPr>
              <w:t>744</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FF0000"/>
              </w:rPr>
            </w:pPr>
            <w:r w:rsidRPr="00180279">
              <w:rPr>
                <w:color w:val="FF0000"/>
              </w:rPr>
              <w:t>-18</w:t>
            </w:r>
            <w:r w:rsidR="000560A6" w:rsidRPr="00180279">
              <w:rPr>
                <w:color w:val="FF0000"/>
              </w:rPr>
              <w:t>.</w:t>
            </w:r>
            <w:r w:rsidRPr="00180279">
              <w:rPr>
                <w:color w:val="FF0000"/>
              </w:rPr>
              <w:t>137</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-268</w:t>
            </w:r>
            <w:r w:rsidR="000560A6" w:rsidRPr="00180279">
              <w:rPr>
                <w:color w:val="000000"/>
              </w:rPr>
              <w:t>,</w:t>
            </w:r>
            <w:r w:rsidRPr="00180279">
              <w:rPr>
                <w:color w:val="000000"/>
              </w:rPr>
              <w:t>8%</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6</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b/>
                <w:bCs/>
                <w:color w:val="000000"/>
              </w:rPr>
            </w:pPr>
            <w:r w:rsidRPr="00180279">
              <w:rPr>
                <w:b/>
                <w:bCs/>
                <w:color w:val="000000"/>
              </w:rPr>
              <w:t>Lợi nhuận</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b/>
                <w:bCs/>
                <w:color w:val="000000"/>
              </w:rPr>
            </w:pPr>
            <w:r w:rsidRPr="00180279">
              <w:rPr>
                <w:b/>
                <w:bCs/>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b/>
                <w:bCs/>
                <w:color w:val="000000"/>
              </w:rPr>
            </w:pPr>
            <w:r w:rsidRPr="0018027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b/>
                <w:bCs/>
                <w:color w:val="000000"/>
              </w:rPr>
            </w:pPr>
            <w:r w:rsidRPr="00180279">
              <w:rPr>
                <w:b/>
                <w:bCs/>
                <w:color w:val="000000"/>
              </w:rPr>
              <w:t> </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6.1</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Lợi nhuận gộp từ KDBH</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175</w:t>
            </w:r>
            <w:r w:rsidR="000560A6" w:rsidRPr="00180279">
              <w:rPr>
                <w:color w:val="000000"/>
              </w:rPr>
              <w:t>.</w:t>
            </w:r>
            <w:r w:rsidRPr="00180279">
              <w:rPr>
                <w:color w:val="000000"/>
              </w:rPr>
              <w:t>303</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127</w:t>
            </w:r>
            <w:r w:rsidR="000560A6" w:rsidRPr="00180279">
              <w:rPr>
                <w:color w:val="000000"/>
              </w:rPr>
              <w:t>.</w:t>
            </w:r>
            <w:r w:rsidRPr="00180279">
              <w:rPr>
                <w:color w:val="000000"/>
              </w:rPr>
              <w:t>072</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-27</w:t>
            </w:r>
            <w:r w:rsidR="000560A6" w:rsidRPr="00180279">
              <w:rPr>
                <w:color w:val="000000"/>
              </w:rPr>
              <w:t>,</w:t>
            </w:r>
            <w:r w:rsidRPr="00180279">
              <w:rPr>
                <w:color w:val="000000"/>
              </w:rPr>
              <w:t>5%</w:t>
            </w:r>
          </w:p>
        </w:tc>
      </w:tr>
      <w:tr w:rsidR="00D12B3B" w:rsidRPr="00180279" w:rsidTr="00D12B3B">
        <w:trPr>
          <w:divId w:val="230509408"/>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6.2</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spacing w:val="-6"/>
              </w:rPr>
            </w:pPr>
            <w:r w:rsidRPr="00180279">
              <w:rPr>
                <w:color w:val="000000"/>
                <w:spacing w:val="-6"/>
              </w:rPr>
              <w:t xml:space="preserve">Lợi nhuận gộp từ hoạt động tài chính </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300</w:t>
            </w:r>
            <w:r w:rsidR="000560A6" w:rsidRPr="00180279">
              <w:rPr>
                <w:color w:val="000000"/>
              </w:rPr>
              <w:t>.</w:t>
            </w:r>
            <w:r w:rsidRPr="00180279">
              <w:rPr>
                <w:color w:val="000000"/>
              </w:rPr>
              <w:t>207</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6F5913">
            <w:pPr>
              <w:jc w:val="right"/>
              <w:rPr>
                <w:color w:val="000000"/>
              </w:rPr>
            </w:pPr>
            <w:r w:rsidRPr="00180279">
              <w:rPr>
                <w:color w:val="000000"/>
              </w:rPr>
              <w:t>377.921</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6F5913">
            <w:pPr>
              <w:jc w:val="center"/>
              <w:rPr>
                <w:color w:val="000000"/>
              </w:rPr>
            </w:pPr>
            <w:r w:rsidRPr="00180279">
              <w:rPr>
                <w:color w:val="000000"/>
              </w:rPr>
              <w:t>25,9%</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6.3</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Lợi nhuận trước thuế</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379</w:t>
            </w:r>
            <w:r w:rsidR="000560A6" w:rsidRPr="00180279">
              <w:rPr>
                <w:color w:val="000000"/>
              </w:rPr>
              <w:t>.</w:t>
            </w:r>
            <w:r w:rsidRPr="00180279">
              <w:rPr>
                <w:color w:val="000000"/>
              </w:rPr>
              <w:t>524</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446</w:t>
            </w:r>
            <w:r w:rsidR="000560A6" w:rsidRPr="00180279">
              <w:rPr>
                <w:color w:val="000000"/>
              </w:rPr>
              <w:t>.</w:t>
            </w:r>
            <w:r w:rsidRPr="00180279">
              <w:rPr>
                <w:color w:val="000000"/>
              </w:rPr>
              <w:t>352</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17</w:t>
            </w:r>
            <w:r w:rsidR="000560A6" w:rsidRPr="00180279">
              <w:rPr>
                <w:color w:val="000000"/>
              </w:rPr>
              <w:t>,</w:t>
            </w:r>
            <w:r w:rsidRPr="00180279">
              <w:rPr>
                <w:color w:val="000000"/>
              </w:rPr>
              <w:t>6%</w:t>
            </w:r>
          </w:p>
        </w:tc>
      </w:tr>
      <w:tr w:rsidR="00D12B3B" w:rsidRPr="00180279" w:rsidTr="00D12B3B">
        <w:trPr>
          <w:divId w:val="230509408"/>
          <w:trHeight w:val="31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6.4</w:t>
            </w:r>
          </w:p>
        </w:tc>
        <w:tc>
          <w:tcPr>
            <w:tcW w:w="3611" w:type="dxa"/>
            <w:tcBorders>
              <w:top w:val="nil"/>
              <w:left w:val="nil"/>
              <w:bottom w:val="single" w:sz="4" w:space="0" w:color="auto"/>
              <w:right w:val="single" w:sz="4" w:space="0" w:color="auto"/>
            </w:tcBorders>
            <w:shd w:val="clear" w:color="auto" w:fill="auto"/>
            <w:vAlign w:val="center"/>
            <w:hideMark/>
          </w:tcPr>
          <w:p w:rsidR="00D12B3B" w:rsidRPr="00180279" w:rsidRDefault="00D12B3B">
            <w:pPr>
              <w:rPr>
                <w:color w:val="000000"/>
              </w:rPr>
            </w:pPr>
            <w:r w:rsidRPr="00180279">
              <w:rPr>
                <w:color w:val="000000"/>
              </w:rPr>
              <w:t>Lợi nhuận sau thuế</w:t>
            </w:r>
          </w:p>
        </w:tc>
        <w:tc>
          <w:tcPr>
            <w:tcW w:w="755"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center"/>
              <w:rPr>
                <w:color w:val="000000"/>
              </w:rPr>
            </w:pPr>
            <w:r w:rsidRPr="00180279">
              <w:rPr>
                <w:color w:val="000000"/>
              </w:rPr>
              <w:t>Trđ</w:t>
            </w:r>
          </w:p>
        </w:tc>
        <w:tc>
          <w:tcPr>
            <w:tcW w:w="1560" w:type="dxa"/>
            <w:tcBorders>
              <w:top w:val="nil"/>
              <w:left w:val="nil"/>
              <w:bottom w:val="single" w:sz="4" w:space="0" w:color="auto"/>
              <w:right w:val="single" w:sz="4" w:space="0" w:color="auto"/>
            </w:tcBorders>
            <w:shd w:val="clear" w:color="auto" w:fill="auto"/>
            <w:vAlign w:val="center"/>
            <w:hideMark/>
          </w:tcPr>
          <w:p w:rsidR="00D12B3B" w:rsidRPr="00180279" w:rsidRDefault="00D12B3B">
            <w:pPr>
              <w:jc w:val="right"/>
              <w:rPr>
                <w:color w:val="000000"/>
              </w:rPr>
            </w:pPr>
            <w:r w:rsidRPr="00180279">
              <w:rPr>
                <w:color w:val="000000"/>
              </w:rPr>
              <w:t>310</w:t>
            </w:r>
            <w:r w:rsidR="000560A6" w:rsidRPr="00180279">
              <w:rPr>
                <w:color w:val="000000"/>
              </w:rPr>
              <w:t>.</w:t>
            </w:r>
            <w:r w:rsidRPr="00180279">
              <w:rPr>
                <w:color w:val="000000"/>
              </w:rPr>
              <w:t>217</w:t>
            </w:r>
          </w:p>
        </w:tc>
        <w:tc>
          <w:tcPr>
            <w:tcW w:w="1400" w:type="dxa"/>
            <w:tcBorders>
              <w:top w:val="nil"/>
              <w:left w:val="nil"/>
              <w:bottom w:val="single" w:sz="4" w:space="0" w:color="auto"/>
              <w:right w:val="single" w:sz="4" w:space="0" w:color="auto"/>
            </w:tcBorders>
            <w:shd w:val="clear" w:color="auto" w:fill="auto"/>
            <w:vAlign w:val="center"/>
            <w:hideMark/>
          </w:tcPr>
          <w:p w:rsidR="00D12B3B" w:rsidRPr="00180279" w:rsidRDefault="00D12B3B" w:rsidP="005117AF">
            <w:pPr>
              <w:jc w:val="right"/>
              <w:rPr>
                <w:color w:val="000000"/>
              </w:rPr>
            </w:pPr>
            <w:r w:rsidRPr="00180279">
              <w:rPr>
                <w:color w:val="000000"/>
              </w:rPr>
              <w:t>364</w:t>
            </w:r>
            <w:r w:rsidR="000560A6" w:rsidRPr="00180279">
              <w:rPr>
                <w:color w:val="000000"/>
              </w:rPr>
              <w:t>.</w:t>
            </w:r>
            <w:r w:rsidR="005117AF" w:rsidRPr="00180279">
              <w:rPr>
                <w:color w:val="000000"/>
              </w:rPr>
              <w:t>815</w:t>
            </w:r>
          </w:p>
        </w:tc>
        <w:tc>
          <w:tcPr>
            <w:tcW w:w="1438" w:type="dxa"/>
            <w:tcBorders>
              <w:top w:val="nil"/>
              <w:left w:val="nil"/>
              <w:bottom w:val="single" w:sz="4" w:space="0" w:color="auto"/>
              <w:right w:val="single" w:sz="4" w:space="0" w:color="auto"/>
            </w:tcBorders>
            <w:shd w:val="clear" w:color="auto" w:fill="auto"/>
            <w:vAlign w:val="center"/>
            <w:hideMark/>
          </w:tcPr>
          <w:p w:rsidR="00D12B3B" w:rsidRPr="00180279" w:rsidRDefault="00D12B3B" w:rsidP="005117AF">
            <w:pPr>
              <w:jc w:val="center"/>
              <w:rPr>
                <w:color w:val="000000"/>
              </w:rPr>
            </w:pPr>
            <w:r w:rsidRPr="00180279">
              <w:rPr>
                <w:color w:val="000000"/>
              </w:rPr>
              <w:t>17</w:t>
            </w:r>
            <w:r w:rsidR="000560A6" w:rsidRPr="00180279">
              <w:rPr>
                <w:color w:val="000000"/>
              </w:rPr>
              <w:t>,</w:t>
            </w:r>
            <w:r w:rsidR="005117AF" w:rsidRPr="00180279">
              <w:rPr>
                <w:color w:val="000000"/>
              </w:rPr>
              <w:t>6</w:t>
            </w:r>
            <w:r w:rsidRPr="00180279">
              <w:rPr>
                <w:color w:val="000000"/>
              </w:rPr>
              <w:t>%</w:t>
            </w:r>
          </w:p>
        </w:tc>
      </w:tr>
    </w:tbl>
    <w:p w:rsidR="00816F10" w:rsidRPr="00180279" w:rsidRDefault="00816F10" w:rsidP="000560A6">
      <w:pPr>
        <w:spacing w:before="120" w:after="120"/>
        <w:jc w:val="both"/>
        <w:divId w:val="230509408"/>
        <w:rPr>
          <w:bCs/>
        </w:rPr>
      </w:pPr>
      <w:r w:rsidRPr="00180279">
        <w:rPr>
          <w:bCs/>
        </w:rPr>
        <w:tab/>
      </w:r>
      <w:proofErr w:type="gramStart"/>
      <w:r w:rsidRPr="00180279">
        <w:rPr>
          <w:bCs/>
        </w:rPr>
        <w:t xml:space="preserve">Thực hiện yêu cầu tại Thông tư 232/2012/TT-BTC ngày 28/12/2012 của Bộ Tài chính, VNR đã thực hiện trình bày lại một số chỉ tiêu trên bảng cân đối kế toán </w:t>
      </w:r>
      <w:r w:rsidR="00EE7BE3" w:rsidRPr="00180279">
        <w:rPr>
          <w:bCs/>
        </w:rPr>
        <w:t>tại 31/12/2013</w:t>
      </w:r>
      <w:r w:rsidR="000560A6" w:rsidRPr="00180279">
        <w:rPr>
          <w:bCs/>
        </w:rPr>
        <w:t>.</w:t>
      </w:r>
      <w:proofErr w:type="gramEnd"/>
    </w:p>
    <w:p w:rsidR="00EE7BE3" w:rsidRPr="00180279" w:rsidRDefault="00EE7BE3" w:rsidP="003E2897">
      <w:pPr>
        <w:spacing w:before="120" w:after="120"/>
        <w:jc w:val="both"/>
        <w:divId w:val="230509408"/>
        <w:rPr>
          <w:bCs/>
        </w:rPr>
      </w:pPr>
      <w:r w:rsidRPr="00180279">
        <w:rPr>
          <w:bCs/>
        </w:rPr>
        <w:lastRenderedPageBreak/>
        <w:tab/>
        <w:t xml:space="preserve">Các chỉ tiêu cơ bản như vốn chủ sở hữu, quỹ dự phòng nghiệp vụ, doanh thu tái bảo hiểm, lợi nhuận sau thuế </w:t>
      </w:r>
      <w:r w:rsidR="000560A6" w:rsidRPr="00180279">
        <w:rPr>
          <w:bCs/>
        </w:rPr>
        <w:t>năm 2014 tăng trưởng khá tốt so với năm 2013</w:t>
      </w:r>
      <w:r w:rsidRPr="00180279">
        <w:rPr>
          <w:bCs/>
        </w:rPr>
        <w:t xml:space="preserve">. </w:t>
      </w:r>
      <w:proofErr w:type="gramStart"/>
      <w:r w:rsidRPr="00180279">
        <w:rPr>
          <w:bCs/>
        </w:rPr>
        <w:t xml:space="preserve">Đáng chú ý là chỉ tiêu lợi nhuận gộp </w:t>
      </w:r>
      <w:r w:rsidR="000560A6" w:rsidRPr="00180279">
        <w:rPr>
          <w:bCs/>
        </w:rPr>
        <w:t xml:space="preserve">từ hoạt động tài chính đạt hơn </w:t>
      </w:r>
      <w:r w:rsidR="003E2897" w:rsidRPr="00180279">
        <w:rPr>
          <w:bCs/>
        </w:rPr>
        <w:t>378</w:t>
      </w:r>
      <w:r w:rsidR="000560A6" w:rsidRPr="00180279">
        <w:rPr>
          <w:bCs/>
        </w:rPr>
        <w:t xml:space="preserve">tỷ đồng – tăng </w:t>
      </w:r>
      <w:r w:rsidR="003E2897" w:rsidRPr="00180279">
        <w:rPr>
          <w:bCs/>
        </w:rPr>
        <w:t>26%</w:t>
      </w:r>
      <w:r w:rsidRPr="00180279">
        <w:rPr>
          <w:bCs/>
        </w:rPr>
        <w:t xml:space="preserve"> so với </w:t>
      </w:r>
      <w:r w:rsidR="000560A6" w:rsidRPr="00180279">
        <w:rPr>
          <w:bCs/>
        </w:rPr>
        <w:t>năm</w:t>
      </w:r>
      <w:r w:rsidRPr="00180279">
        <w:rPr>
          <w:bCs/>
        </w:rPr>
        <w:t xml:space="preserve"> 2013.</w:t>
      </w:r>
      <w:proofErr w:type="gramEnd"/>
      <w:r w:rsidRPr="00180279">
        <w:rPr>
          <w:bCs/>
        </w:rPr>
        <w:t xml:space="preserve"> Các chỉ tiêu ROA và ROE năm 2014 lần lượt là </w:t>
      </w:r>
      <w:r w:rsidR="000560A6" w:rsidRPr="00180279">
        <w:rPr>
          <w:bCs/>
        </w:rPr>
        <w:t>6</w:t>
      </w:r>
      <w:proofErr w:type="gramStart"/>
      <w:r w:rsidR="000560A6" w:rsidRPr="00180279">
        <w:rPr>
          <w:bCs/>
        </w:rPr>
        <w:t>,1</w:t>
      </w:r>
      <w:proofErr w:type="gramEnd"/>
      <w:r w:rsidR="000560A6" w:rsidRPr="00180279">
        <w:rPr>
          <w:bCs/>
        </w:rPr>
        <w:t>% và 14,0</w:t>
      </w:r>
      <w:r w:rsidRPr="00180279">
        <w:rPr>
          <w:bCs/>
        </w:rPr>
        <w:t>%</w:t>
      </w:r>
      <w:r w:rsidR="00D8366B" w:rsidRPr="00180279">
        <w:rPr>
          <w:bCs/>
        </w:rPr>
        <w:t xml:space="preserve"> - cao hơn so với mức </w:t>
      </w:r>
      <w:r w:rsidR="000560A6" w:rsidRPr="00180279">
        <w:rPr>
          <w:bCs/>
        </w:rPr>
        <w:t>5,0</w:t>
      </w:r>
      <w:r w:rsidR="00D8366B" w:rsidRPr="00180279">
        <w:rPr>
          <w:bCs/>
        </w:rPr>
        <w:t xml:space="preserve">% và </w:t>
      </w:r>
      <w:r w:rsidR="000560A6" w:rsidRPr="00180279">
        <w:rPr>
          <w:bCs/>
        </w:rPr>
        <w:t>13,2</w:t>
      </w:r>
      <w:r w:rsidR="00D8366B" w:rsidRPr="00180279">
        <w:rPr>
          <w:bCs/>
        </w:rPr>
        <w:t>% của năm 2013.</w:t>
      </w:r>
    </w:p>
    <w:p w:rsidR="00315720" w:rsidRPr="00180279" w:rsidRDefault="00D8366B" w:rsidP="00180279">
      <w:pPr>
        <w:pStyle w:val="NormalWeb"/>
        <w:spacing w:before="120" w:beforeAutospacing="0" w:after="120" w:afterAutospacing="0"/>
        <w:jc w:val="both"/>
        <w:divId w:val="230509408"/>
        <w:rPr>
          <w:b/>
          <w:i/>
        </w:rPr>
      </w:pPr>
      <w:r w:rsidRPr="00180279">
        <w:rPr>
          <w:b/>
          <w:i/>
        </w:rPr>
        <w:t>2.2. Báo cáo hợp nhất</w:t>
      </w:r>
    </w:p>
    <w:tbl>
      <w:tblPr>
        <w:tblW w:w="8826" w:type="dxa"/>
        <w:jc w:val="center"/>
        <w:tblInd w:w="93" w:type="dxa"/>
        <w:tblLook w:val="04A0" w:firstRow="1" w:lastRow="0" w:firstColumn="1" w:lastColumn="0" w:noHBand="0" w:noVBand="1"/>
      </w:tblPr>
      <w:tblGrid>
        <w:gridCol w:w="3723"/>
        <w:gridCol w:w="903"/>
        <w:gridCol w:w="1380"/>
        <w:gridCol w:w="1460"/>
        <w:gridCol w:w="1360"/>
      </w:tblGrid>
      <w:tr w:rsidR="00D8366B" w:rsidRPr="00180279" w:rsidTr="00C4029E">
        <w:trPr>
          <w:divId w:val="230509408"/>
          <w:trHeight w:val="330"/>
          <w:jc w:val="center"/>
        </w:trPr>
        <w:tc>
          <w:tcPr>
            <w:tcW w:w="3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66B" w:rsidRPr="00180279" w:rsidRDefault="00D8366B">
            <w:pPr>
              <w:jc w:val="center"/>
              <w:rPr>
                <w:b/>
                <w:bCs/>
                <w:color w:val="000000"/>
              </w:rPr>
            </w:pPr>
            <w:r w:rsidRPr="00180279">
              <w:rPr>
                <w:b/>
                <w:bCs/>
                <w:color w:val="000000"/>
              </w:rPr>
              <w:t>Chỉ tiêu</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D8366B" w:rsidRPr="00180279" w:rsidRDefault="00D8366B">
            <w:pPr>
              <w:jc w:val="center"/>
              <w:rPr>
                <w:b/>
                <w:bCs/>
              </w:rPr>
            </w:pPr>
            <w:r w:rsidRPr="00180279">
              <w:rPr>
                <w:b/>
                <w:bCs/>
              </w:rPr>
              <w:t>Đơn vị</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366B" w:rsidRPr="00180279" w:rsidRDefault="00D8366B">
            <w:pPr>
              <w:jc w:val="center"/>
              <w:rPr>
                <w:b/>
                <w:bCs/>
              </w:rPr>
            </w:pPr>
            <w:r w:rsidRPr="00180279">
              <w:rPr>
                <w:b/>
                <w:bCs/>
              </w:rPr>
              <w:t>31/12/2013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366B" w:rsidRPr="00180279" w:rsidRDefault="000560A6">
            <w:pPr>
              <w:jc w:val="center"/>
              <w:rPr>
                <w:b/>
                <w:bCs/>
              </w:rPr>
            </w:pPr>
            <w:r w:rsidRPr="00180279">
              <w:rPr>
                <w:b/>
                <w:bCs/>
              </w:rPr>
              <w:t>31/12</w:t>
            </w:r>
            <w:r w:rsidR="00D8366B" w:rsidRPr="00180279">
              <w:rPr>
                <w:b/>
                <w:bCs/>
              </w:rPr>
              <w:t>/2014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8366B" w:rsidRPr="00180279" w:rsidRDefault="00D8366B">
            <w:pPr>
              <w:jc w:val="center"/>
              <w:rPr>
                <w:b/>
                <w:bCs/>
              </w:rPr>
            </w:pPr>
            <w:r w:rsidRPr="00180279">
              <w:rPr>
                <w:b/>
                <w:bCs/>
              </w:rPr>
              <w:t>% thay đổi</w:t>
            </w:r>
          </w:p>
        </w:tc>
      </w:tr>
      <w:tr w:rsidR="00D8366B" w:rsidRPr="00180279" w:rsidTr="00C4029E">
        <w:trPr>
          <w:divId w:val="230509408"/>
          <w:trHeight w:val="278"/>
          <w:jc w:val="center"/>
        </w:trPr>
        <w:tc>
          <w:tcPr>
            <w:tcW w:w="3723" w:type="dxa"/>
            <w:tcBorders>
              <w:top w:val="nil"/>
              <w:left w:val="single" w:sz="4" w:space="0" w:color="auto"/>
              <w:bottom w:val="single" w:sz="4" w:space="0" w:color="auto"/>
              <w:right w:val="single" w:sz="4" w:space="0" w:color="auto"/>
            </w:tcBorders>
            <w:shd w:val="clear" w:color="auto" w:fill="auto"/>
            <w:vAlign w:val="center"/>
            <w:hideMark/>
          </w:tcPr>
          <w:p w:rsidR="00D8366B" w:rsidRPr="00180279" w:rsidRDefault="00D8366B">
            <w:pPr>
              <w:jc w:val="center"/>
              <w:rPr>
                <w:i/>
                <w:color w:val="000000"/>
              </w:rPr>
            </w:pPr>
            <w:r w:rsidRPr="00180279">
              <w:rPr>
                <w:i/>
                <w:color w:val="000000"/>
              </w:rPr>
              <w:t>(1)</w:t>
            </w:r>
          </w:p>
        </w:tc>
        <w:tc>
          <w:tcPr>
            <w:tcW w:w="903" w:type="dxa"/>
            <w:tcBorders>
              <w:top w:val="nil"/>
              <w:left w:val="nil"/>
              <w:bottom w:val="single" w:sz="4" w:space="0" w:color="auto"/>
              <w:right w:val="single" w:sz="4" w:space="0" w:color="auto"/>
            </w:tcBorders>
            <w:shd w:val="clear" w:color="auto" w:fill="auto"/>
            <w:noWrap/>
            <w:vAlign w:val="bottom"/>
            <w:hideMark/>
          </w:tcPr>
          <w:p w:rsidR="00D8366B" w:rsidRPr="00180279" w:rsidRDefault="00D8366B">
            <w:pPr>
              <w:jc w:val="center"/>
              <w:rPr>
                <w:i/>
              </w:rPr>
            </w:pPr>
            <w:r w:rsidRPr="00180279">
              <w:rPr>
                <w:i/>
              </w:rPr>
              <w:t>(2)</w:t>
            </w:r>
          </w:p>
        </w:tc>
        <w:tc>
          <w:tcPr>
            <w:tcW w:w="1380" w:type="dxa"/>
            <w:tcBorders>
              <w:top w:val="nil"/>
              <w:left w:val="nil"/>
              <w:bottom w:val="single" w:sz="4" w:space="0" w:color="auto"/>
              <w:right w:val="single" w:sz="4" w:space="0" w:color="auto"/>
            </w:tcBorders>
            <w:shd w:val="clear" w:color="auto" w:fill="auto"/>
            <w:noWrap/>
            <w:vAlign w:val="bottom"/>
            <w:hideMark/>
          </w:tcPr>
          <w:p w:rsidR="00D8366B" w:rsidRPr="00180279" w:rsidRDefault="00D8366B">
            <w:pPr>
              <w:jc w:val="center"/>
              <w:rPr>
                <w:i/>
              </w:rPr>
            </w:pPr>
            <w:r w:rsidRPr="00180279">
              <w:rPr>
                <w:i/>
              </w:rPr>
              <w:t>(3)</w:t>
            </w:r>
          </w:p>
        </w:tc>
        <w:tc>
          <w:tcPr>
            <w:tcW w:w="1460" w:type="dxa"/>
            <w:tcBorders>
              <w:top w:val="nil"/>
              <w:left w:val="nil"/>
              <w:bottom w:val="single" w:sz="4" w:space="0" w:color="auto"/>
              <w:right w:val="single" w:sz="4" w:space="0" w:color="auto"/>
            </w:tcBorders>
            <w:shd w:val="clear" w:color="auto" w:fill="auto"/>
            <w:noWrap/>
            <w:vAlign w:val="bottom"/>
            <w:hideMark/>
          </w:tcPr>
          <w:p w:rsidR="00D8366B" w:rsidRPr="00180279" w:rsidRDefault="00D8366B">
            <w:pPr>
              <w:jc w:val="center"/>
              <w:rPr>
                <w:i/>
              </w:rPr>
            </w:pPr>
            <w:r w:rsidRPr="00180279">
              <w:rPr>
                <w:i/>
              </w:rPr>
              <w:t>(4)</w:t>
            </w:r>
          </w:p>
        </w:tc>
        <w:tc>
          <w:tcPr>
            <w:tcW w:w="1360" w:type="dxa"/>
            <w:tcBorders>
              <w:top w:val="nil"/>
              <w:left w:val="nil"/>
              <w:bottom w:val="single" w:sz="4" w:space="0" w:color="auto"/>
              <w:right w:val="single" w:sz="4" w:space="0" w:color="auto"/>
            </w:tcBorders>
            <w:shd w:val="clear" w:color="auto" w:fill="auto"/>
            <w:noWrap/>
            <w:vAlign w:val="bottom"/>
            <w:hideMark/>
          </w:tcPr>
          <w:p w:rsidR="00D8366B" w:rsidRPr="00180279" w:rsidRDefault="00D8366B">
            <w:pPr>
              <w:jc w:val="center"/>
              <w:rPr>
                <w:i/>
              </w:rPr>
            </w:pPr>
            <w:r w:rsidRPr="00180279">
              <w:rPr>
                <w:i/>
              </w:rPr>
              <w:t>(5)=(4)/(3)</w:t>
            </w:r>
          </w:p>
        </w:tc>
      </w:tr>
      <w:tr w:rsidR="00D8366B" w:rsidRPr="00180279" w:rsidTr="000560A6">
        <w:trPr>
          <w:divId w:val="230509408"/>
          <w:trHeight w:val="330"/>
          <w:jc w:val="center"/>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rsidR="00D8366B" w:rsidRPr="00180279" w:rsidRDefault="00D8366B">
            <w:r w:rsidRPr="00180279">
              <w:t>Tổng tài sản</w:t>
            </w:r>
          </w:p>
        </w:tc>
        <w:tc>
          <w:tcPr>
            <w:tcW w:w="903" w:type="dxa"/>
            <w:tcBorders>
              <w:top w:val="nil"/>
              <w:left w:val="nil"/>
              <w:bottom w:val="single" w:sz="4" w:space="0" w:color="auto"/>
              <w:right w:val="single" w:sz="4" w:space="0" w:color="auto"/>
            </w:tcBorders>
            <w:shd w:val="clear" w:color="auto" w:fill="auto"/>
            <w:noWrap/>
            <w:vAlign w:val="bottom"/>
            <w:hideMark/>
          </w:tcPr>
          <w:p w:rsidR="00D8366B" w:rsidRPr="00180279" w:rsidRDefault="00D8366B" w:rsidP="00D8366B">
            <w:pPr>
              <w:jc w:val="center"/>
            </w:pPr>
            <w:r w:rsidRPr="00180279">
              <w:t>Trđ</w:t>
            </w:r>
          </w:p>
        </w:tc>
        <w:tc>
          <w:tcPr>
            <w:tcW w:w="1380" w:type="dxa"/>
            <w:tcBorders>
              <w:top w:val="nil"/>
              <w:left w:val="nil"/>
              <w:bottom w:val="single" w:sz="4" w:space="0" w:color="auto"/>
              <w:right w:val="single" w:sz="4" w:space="0" w:color="auto"/>
            </w:tcBorders>
            <w:shd w:val="clear" w:color="auto" w:fill="auto"/>
            <w:noWrap/>
            <w:vAlign w:val="bottom"/>
            <w:hideMark/>
          </w:tcPr>
          <w:p w:rsidR="00D8366B" w:rsidRPr="00180279" w:rsidRDefault="00947769">
            <w:pPr>
              <w:jc w:val="right"/>
            </w:pPr>
            <w:r w:rsidRPr="00180279">
              <w:t>6.362.</w:t>
            </w:r>
            <w:r w:rsidR="00D8366B" w:rsidRPr="00180279">
              <w:t>659</w:t>
            </w:r>
          </w:p>
        </w:tc>
        <w:tc>
          <w:tcPr>
            <w:tcW w:w="1460" w:type="dxa"/>
            <w:tcBorders>
              <w:top w:val="nil"/>
              <w:left w:val="nil"/>
              <w:bottom w:val="single" w:sz="4" w:space="0" w:color="auto"/>
              <w:right w:val="single" w:sz="4" w:space="0" w:color="auto"/>
            </w:tcBorders>
            <w:shd w:val="clear" w:color="auto" w:fill="auto"/>
            <w:noWrap/>
            <w:vAlign w:val="bottom"/>
          </w:tcPr>
          <w:p w:rsidR="000560A6" w:rsidRPr="00180279" w:rsidRDefault="000560A6" w:rsidP="000560A6">
            <w:pPr>
              <w:jc w:val="right"/>
            </w:pPr>
            <w:r w:rsidRPr="00180279">
              <w:t>6.034.510</w:t>
            </w:r>
          </w:p>
        </w:tc>
        <w:tc>
          <w:tcPr>
            <w:tcW w:w="1360" w:type="dxa"/>
            <w:tcBorders>
              <w:top w:val="nil"/>
              <w:left w:val="nil"/>
              <w:bottom w:val="single" w:sz="4" w:space="0" w:color="auto"/>
              <w:right w:val="single" w:sz="4" w:space="0" w:color="auto"/>
            </w:tcBorders>
            <w:shd w:val="clear" w:color="auto" w:fill="auto"/>
            <w:noWrap/>
            <w:vAlign w:val="bottom"/>
            <w:hideMark/>
          </w:tcPr>
          <w:p w:rsidR="00D8366B" w:rsidRPr="00180279" w:rsidRDefault="00947769">
            <w:pPr>
              <w:jc w:val="center"/>
            </w:pPr>
            <w:r w:rsidRPr="00180279">
              <w:t>94,8</w:t>
            </w:r>
          </w:p>
        </w:tc>
      </w:tr>
      <w:tr w:rsidR="00D8366B" w:rsidRPr="00180279" w:rsidTr="000560A6">
        <w:trPr>
          <w:divId w:val="230509408"/>
          <w:trHeight w:val="287"/>
          <w:jc w:val="center"/>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rsidR="00D8366B" w:rsidRPr="00180279" w:rsidRDefault="00D8366B">
            <w:r w:rsidRPr="00180279">
              <w:t>Vốn chủ sở hữu</w:t>
            </w:r>
          </w:p>
        </w:tc>
        <w:tc>
          <w:tcPr>
            <w:tcW w:w="903" w:type="dxa"/>
            <w:tcBorders>
              <w:top w:val="nil"/>
              <w:left w:val="nil"/>
              <w:bottom w:val="single" w:sz="4" w:space="0" w:color="auto"/>
              <w:right w:val="single" w:sz="4" w:space="0" w:color="auto"/>
            </w:tcBorders>
            <w:shd w:val="clear" w:color="auto" w:fill="auto"/>
            <w:noWrap/>
            <w:vAlign w:val="bottom"/>
            <w:hideMark/>
          </w:tcPr>
          <w:p w:rsidR="00D8366B" w:rsidRPr="00180279" w:rsidRDefault="00D8366B" w:rsidP="00D8366B">
            <w:pPr>
              <w:jc w:val="center"/>
            </w:pPr>
            <w:r w:rsidRPr="00180279">
              <w:t>Trđ</w:t>
            </w:r>
          </w:p>
        </w:tc>
        <w:tc>
          <w:tcPr>
            <w:tcW w:w="1380" w:type="dxa"/>
            <w:tcBorders>
              <w:top w:val="nil"/>
              <w:left w:val="nil"/>
              <w:bottom w:val="single" w:sz="4" w:space="0" w:color="auto"/>
              <w:right w:val="single" w:sz="4" w:space="0" w:color="auto"/>
            </w:tcBorders>
            <w:shd w:val="clear" w:color="auto" w:fill="auto"/>
            <w:noWrap/>
            <w:vAlign w:val="bottom"/>
            <w:hideMark/>
          </w:tcPr>
          <w:p w:rsidR="00D8366B" w:rsidRPr="00180279" w:rsidRDefault="00947769">
            <w:pPr>
              <w:jc w:val="right"/>
            </w:pPr>
            <w:r w:rsidRPr="00180279">
              <w:t>2.431.</w:t>
            </w:r>
            <w:r w:rsidR="00D8366B" w:rsidRPr="00180279">
              <w:t>132</w:t>
            </w:r>
          </w:p>
        </w:tc>
        <w:tc>
          <w:tcPr>
            <w:tcW w:w="1460" w:type="dxa"/>
            <w:tcBorders>
              <w:top w:val="nil"/>
              <w:left w:val="nil"/>
              <w:bottom w:val="single" w:sz="4" w:space="0" w:color="auto"/>
              <w:right w:val="single" w:sz="4" w:space="0" w:color="auto"/>
            </w:tcBorders>
            <w:shd w:val="clear" w:color="auto" w:fill="auto"/>
            <w:noWrap/>
            <w:vAlign w:val="bottom"/>
          </w:tcPr>
          <w:p w:rsidR="00D8366B" w:rsidRPr="00180279" w:rsidRDefault="00947769" w:rsidP="00E94690">
            <w:pPr>
              <w:jc w:val="right"/>
            </w:pPr>
            <w:r w:rsidRPr="00180279">
              <w:t>2.64</w:t>
            </w:r>
            <w:r w:rsidR="00E94690" w:rsidRPr="00180279">
              <w:t>7</w:t>
            </w:r>
            <w:r w:rsidRPr="00180279">
              <w:t>.</w:t>
            </w:r>
            <w:r w:rsidR="00E94690" w:rsidRPr="00180279">
              <w:t>289</w:t>
            </w:r>
          </w:p>
        </w:tc>
        <w:tc>
          <w:tcPr>
            <w:tcW w:w="1360" w:type="dxa"/>
            <w:tcBorders>
              <w:top w:val="nil"/>
              <w:left w:val="nil"/>
              <w:bottom w:val="single" w:sz="4" w:space="0" w:color="auto"/>
              <w:right w:val="single" w:sz="4" w:space="0" w:color="auto"/>
            </w:tcBorders>
            <w:shd w:val="clear" w:color="auto" w:fill="auto"/>
            <w:noWrap/>
            <w:vAlign w:val="bottom"/>
            <w:hideMark/>
          </w:tcPr>
          <w:p w:rsidR="00D8366B" w:rsidRPr="00180279" w:rsidRDefault="00D8366B" w:rsidP="00947769">
            <w:pPr>
              <w:jc w:val="center"/>
            </w:pPr>
            <w:r w:rsidRPr="00180279">
              <w:t>10</w:t>
            </w:r>
            <w:r w:rsidR="00947769" w:rsidRPr="00180279">
              <w:t>8,9</w:t>
            </w:r>
          </w:p>
        </w:tc>
      </w:tr>
      <w:tr w:rsidR="00D8366B" w:rsidRPr="00180279" w:rsidTr="000560A6">
        <w:trPr>
          <w:divId w:val="230509408"/>
          <w:trHeight w:val="292"/>
          <w:jc w:val="center"/>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rsidR="00D8366B" w:rsidRPr="00180279" w:rsidRDefault="00D8366B">
            <w:r w:rsidRPr="00180279">
              <w:t>Dự phòng nghiệp vụ (thuộc TNGL)</w:t>
            </w:r>
          </w:p>
        </w:tc>
        <w:tc>
          <w:tcPr>
            <w:tcW w:w="903" w:type="dxa"/>
            <w:tcBorders>
              <w:top w:val="nil"/>
              <w:left w:val="nil"/>
              <w:bottom w:val="single" w:sz="4" w:space="0" w:color="auto"/>
              <w:right w:val="single" w:sz="4" w:space="0" w:color="auto"/>
            </w:tcBorders>
            <w:shd w:val="clear" w:color="auto" w:fill="auto"/>
            <w:noWrap/>
            <w:vAlign w:val="bottom"/>
            <w:hideMark/>
          </w:tcPr>
          <w:p w:rsidR="00D8366B" w:rsidRPr="00180279" w:rsidRDefault="00D8366B" w:rsidP="00D8366B">
            <w:pPr>
              <w:jc w:val="center"/>
            </w:pPr>
            <w:r w:rsidRPr="00180279">
              <w:t>Trđ</w:t>
            </w:r>
          </w:p>
        </w:tc>
        <w:tc>
          <w:tcPr>
            <w:tcW w:w="1380" w:type="dxa"/>
            <w:tcBorders>
              <w:top w:val="nil"/>
              <w:left w:val="nil"/>
              <w:bottom w:val="single" w:sz="4" w:space="0" w:color="auto"/>
              <w:right w:val="single" w:sz="4" w:space="0" w:color="auto"/>
            </w:tcBorders>
            <w:shd w:val="clear" w:color="auto" w:fill="auto"/>
            <w:noWrap/>
            <w:vAlign w:val="bottom"/>
            <w:hideMark/>
          </w:tcPr>
          <w:p w:rsidR="00D8366B" w:rsidRPr="00180279" w:rsidRDefault="00947769">
            <w:pPr>
              <w:jc w:val="right"/>
            </w:pPr>
            <w:r w:rsidRPr="00180279">
              <w:t>689.</w:t>
            </w:r>
            <w:r w:rsidR="00D8366B" w:rsidRPr="00180279">
              <w:t>292</w:t>
            </w:r>
          </w:p>
        </w:tc>
        <w:tc>
          <w:tcPr>
            <w:tcW w:w="1460" w:type="dxa"/>
            <w:tcBorders>
              <w:top w:val="nil"/>
              <w:left w:val="nil"/>
              <w:bottom w:val="single" w:sz="4" w:space="0" w:color="auto"/>
              <w:right w:val="single" w:sz="4" w:space="0" w:color="auto"/>
            </w:tcBorders>
            <w:shd w:val="clear" w:color="auto" w:fill="auto"/>
            <w:noWrap/>
            <w:vAlign w:val="bottom"/>
          </w:tcPr>
          <w:p w:rsidR="00D8366B" w:rsidRPr="00180279" w:rsidRDefault="00947769">
            <w:pPr>
              <w:jc w:val="right"/>
            </w:pPr>
            <w:r w:rsidRPr="00180279">
              <w:t>777.295</w:t>
            </w:r>
          </w:p>
        </w:tc>
        <w:tc>
          <w:tcPr>
            <w:tcW w:w="1360" w:type="dxa"/>
            <w:tcBorders>
              <w:top w:val="nil"/>
              <w:left w:val="nil"/>
              <w:bottom w:val="single" w:sz="4" w:space="0" w:color="auto"/>
              <w:right w:val="single" w:sz="4" w:space="0" w:color="auto"/>
            </w:tcBorders>
            <w:shd w:val="clear" w:color="auto" w:fill="auto"/>
            <w:noWrap/>
            <w:vAlign w:val="bottom"/>
            <w:hideMark/>
          </w:tcPr>
          <w:p w:rsidR="00D8366B" w:rsidRPr="00180279" w:rsidRDefault="00947769">
            <w:pPr>
              <w:jc w:val="center"/>
            </w:pPr>
            <w:r w:rsidRPr="00180279">
              <w:t>112,8</w:t>
            </w:r>
          </w:p>
        </w:tc>
      </w:tr>
    </w:tbl>
    <w:p w:rsidR="00180279" w:rsidRDefault="00180279" w:rsidP="00180279">
      <w:pPr>
        <w:pStyle w:val="NormalWeb"/>
        <w:spacing w:before="120" w:beforeAutospacing="0" w:after="120" w:afterAutospacing="0"/>
        <w:ind w:left="120" w:hanging="120"/>
        <w:jc w:val="both"/>
        <w:divId w:val="230509408"/>
        <w:rPr>
          <w:b/>
        </w:rPr>
      </w:pPr>
    </w:p>
    <w:p w:rsidR="00883EEF" w:rsidRPr="00180279" w:rsidRDefault="00883EEF" w:rsidP="00180279">
      <w:pPr>
        <w:pStyle w:val="NormalWeb"/>
        <w:numPr>
          <w:ilvl w:val="1"/>
          <w:numId w:val="17"/>
        </w:numPr>
        <w:tabs>
          <w:tab w:val="left" w:pos="450"/>
        </w:tabs>
        <w:spacing w:before="120" w:beforeAutospacing="0" w:after="120" w:afterAutospacing="0"/>
        <w:ind w:left="570" w:hanging="570"/>
        <w:jc w:val="both"/>
        <w:divId w:val="230509408"/>
        <w:rPr>
          <w:b/>
          <w:lang w:val="vi-VN"/>
        </w:rPr>
      </w:pPr>
      <w:r w:rsidRPr="00180279">
        <w:rPr>
          <w:b/>
          <w:lang w:val="vi-VN"/>
        </w:rPr>
        <w:t>Hoạt động kinh doanh bảo hiểm và quản lý chi phí</w:t>
      </w:r>
    </w:p>
    <w:p w:rsidR="00040387" w:rsidRPr="00180279" w:rsidRDefault="009708E4" w:rsidP="009105C9">
      <w:pPr>
        <w:spacing w:before="120" w:after="120"/>
        <w:ind w:right="240" w:firstLine="600"/>
        <w:jc w:val="both"/>
        <w:divId w:val="230509408"/>
      </w:pPr>
      <w:r w:rsidRPr="00180279">
        <w:rPr>
          <w:lang w:val="vi-VN"/>
        </w:rPr>
        <w:t> </w:t>
      </w:r>
      <w:r w:rsidR="00BA0010" w:rsidRPr="00180279">
        <w:t xml:space="preserve">Tổng doanh thu phí nhận tái năm 2014 là </w:t>
      </w:r>
      <w:r w:rsidR="005F03DD" w:rsidRPr="00180279">
        <w:t>1.512</w:t>
      </w:r>
      <w:r w:rsidR="00BA0010" w:rsidRPr="00180279">
        <w:t xml:space="preserve"> tỷ đồng – tăng </w:t>
      </w:r>
      <w:r w:rsidR="005F03DD" w:rsidRPr="00180279">
        <w:t>6</w:t>
      </w:r>
      <w:proofErr w:type="gramStart"/>
      <w:r w:rsidR="005F03DD" w:rsidRPr="00180279">
        <w:t>,1</w:t>
      </w:r>
      <w:proofErr w:type="gramEnd"/>
      <w:r w:rsidR="009945F9" w:rsidRPr="00180279">
        <w:t>% so với cùng kỳ năm 2013 nhờ vào sự tăng trưởng mạnh của ng</w:t>
      </w:r>
      <w:r w:rsidR="00BA0010" w:rsidRPr="00180279">
        <w:t>hiệp vụ h</w:t>
      </w:r>
      <w:r w:rsidR="009945F9" w:rsidRPr="00180279">
        <w:t>ỗn hợp</w:t>
      </w:r>
      <w:r w:rsidR="00BA0010" w:rsidRPr="00180279">
        <w:t xml:space="preserve">, doanh thu phí năm 2014 của nghiệp vụ này đạt </w:t>
      </w:r>
      <w:r w:rsidR="007677C3" w:rsidRPr="00180279">
        <w:t>239,8</w:t>
      </w:r>
      <w:r w:rsidR="00BA0010" w:rsidRPr="00180279">
        <w:t xml:space="preserve"> tỷ</w:t>
      </w:r>
      <w:r w:rsidR="007677C3" w:rsidRPr="00180279">
        <w:t xml:space="preserve"> đồng – tăng 14</w:t>
      </w:r>
      <w:r w:rsidR="00BA0010" w:rsidRPr="00180279">
        <w:t>1</w:t>
      </w:r>
      <w:r w:rsidR="007677C3" w:rsidRPr="00180279">
        <w:t>,5</w:t>
      </w:r>
      <w:r w:rsidR="00BA0010" w:rsidRPr="00180279">
        <w:t xml:space="preserve">% so với </w:t>
      </w:r>
      <w:r w:rsidR="007677C3" w:rsidRPr="00180279">
        <w:t>năm</w:t>
      </w:r>
      <w:r w:rsidR="00BA0010" w:rsidRPr="00180279">
        <w:t xml:space="preserve"> 2013 và chiếm tỷ trọng </w:t>
      </w:r>
      <w:r w:rsidR="009105C9" w:rsidRPr="00180279">
        <w:t>15,8%</w:t>
      </w:r>
      <w:r w:rsidR="009945F9" w:rsidRPr="00180279">
        <w:t xml:space="preserve"> trong tổng phí năm 2014 </w:t>
      </w:r>
      <w:r w:rsidR="00BA0010" w:rsidRPr="00180279">
        <w:t xml:space="preserve">- </w:t>
      </w:r>
      <w:r w:rsidR="001E1E10" w:rsidRPr="00180279">
        <w:t>cao hơn rất nhiều so với tỷ trọng 7%</w:t>
      </w:r>
      <w:r w:rsidR="009945F9" w:rsidRPr="00180279">
        <w:t xml:space="preserve"> trong tổng phí năm 2013.</w:t>
      </w:r>
    </w:p>
    <w:p w:rsidR="00BA0010" w:rsidRPr="00180279" w:rsidRDefault="00BA0010" w:rsidP="000A5F0B">
      <w:pPr>
        <w:spacing w:before="120" w:after="120"/>
        <w:ind w:right="240" w:firstLine="600"/>
        <w:jc w:val="both"/>
        <w:divId w:val="230509408"/>
      </w:pPr>
      <w:r w:rsidRPr="00180279">
        <w:t xml:space="preserve">Tổng chi phí bồi thường năm 2014 là </w:t>
      </w:r>
      <w:r w:rsidR="009945F9" w:rsidRPr="00180279">
        <w:t>321</w:t>
      </w:r>
      <w:r w:rsidR="00D91607" w:rsidRPr="00180279">
        <w:t xml:space="preserve"> tỷ đồng – tăng 38</w:t>
      </w:r>
      <w:r w:rsidR="009945F9" w:rsidRPr="00180279">
        <w:t>,5% so với</w:t>
      </w:r>
      <w:r w:rsidR="00D91607" w:rsidRPr="00180279">
        <w:t xml:space="preserve"> năm 2013. Tỷ lệ bồi thường/doanh thu </w:t>
      </w:r>
      <w:r w:rsidR="009945F9" w:rsidRPr="00180279">
        <w:t>phí bảo hiểm thuần</w:t>
      </w:r>
      <w:r w:rsidR="00C61B94" w:rsidRPr="00180279">
        <w:t xml:space="preserve">tăng </w:t>
      </w:r>
      <w:r w:rsidR="009945F9" w:rsidRPr="00180279">
        <w:t xml:space="preserve">mạnh </w:t>
      </w:r>
      <w:r w:rsidR="00C61B94" w:rsidRPr="00180279">
        <w:t xml:space="preserve">từ mức </w:t>
      </w:r>
      <w:r w:rsidR="009945F9" w:rsidRPr="00180279">
        <w:t>40,8</w:t>
      </w:r>
      <w:r w:rsidR="00C61B94" w:rsidRPr="00180279">
        <w:t xml:space="preserve">% của </w:t>
      </w:r>
      <w:r w:rsidR="009945F9" w:rsidRPr="00180279">
        <w:t xml:space="preserve">năm </w:t>
      </w:r>
      <w:r w:rsidR="00C61B94" w:rsidRPr="00180279">
        <w:t xml:space="preserve">2013 lên </w:t>
      </w:r>
      <w:r w:rsidR="009945F9" w:rsidRPr="00180279">
        <w:t>59,7</w:t>
      </w:r>
      <w:r w:rsidR="00C61B94" w:rsidRPr="00180279">
        <w:t xml:space="preserve">% trong </w:t>
      </w:r>
      <w:r w:rsidR="009945F9" w:rsidRPr="00180279">
        <w:t>năm</w:t>
      </w:r>
      <w:r w:rsidR="00C61B94" w:rsidRPr="00180279">
        <w:t xml:space="preserve"> 2014. </w:t>
      </w:r>
      <w:r w:rsidR="00D91607" w:rsidRPr="00180279">
        <w:t>Nguyên nhân</w:t>
      </w:r>
      <w:r w:rsidR="00C61B94" w:rsidRPr="00180279">
        <w:t xml:space="preserve"> chủ yếu</w:t>
      </w:r>
      <w:r w:rsidR="00D91607" w:rsidRPr="00180279">
        <w:t xml:space="preserve"> là do </w:t>
      </w:r>
      <w:r w:rsidR="00C61B94" w:rsidRPr="00180279">
        <w:t>tổn thất t</w:t>
      </w:r>
      <w:r w:rsidR="00D91607" w:rsidRPr="00180279">
        <w:t xml:space="preserve">ừ sự cố biểu tình tại </w:t>
      </w:r>
      <w:r w:rsidR="009945F9" w:rsidRPr="00180279">
        <w:t xml:space="preserve">Bình Dương, Đồng Nai và Hà Tĩnh; </w:t>
      </w:r>
      <w:r w:rsidR="000A5F0B" w:rsidRPr="00180279">
        <w:t>các tổn thất lớn như Mobase, TNA Garment, Hanam Textile, HJC, và thông báo bồi thường bổ sung từ Best Re, tổn thất nhiều từ dịch vụ bảo hiểm hàng gạo xuất đi Philippin – Vinafood 2 (GIC).</w:t>
      </w:r>
    </w:p>
    <w:p w:rsidR="00AA52B7" w:rsidRPr="00180279" w:rsidRDefault="00D91607">
      <w:pPr>
        <w:spacing w:before="120" w:after="120"/>
        <w:ind w:right="240" w:firstLine="600"/>
        <w:jc w:val="both"/>
        <w:divId w:val="230509408"/>
      </w:pPr>
      <w:r w:rsidRPr="00180279">
        <w:t xml:space="preserve">Tổng chi phí quản lý năm 2014 là </w:t>
      </w:r>
      <w:r w:rsidR="00290E21" w:rsidRPr="00180279">
        <w:t>75,5</w:t>
      </w:r>
      <w:r w:rsidRPr="00180279">
        <w:t xml:space="preserve"> tỷ đồng – </w:t>
      </w:r>
      <w:r w:rsidR="00290E21" w:rsidRPr="00180279">
        <w:t>giảm 8,5</w:t>
      </w:r>
      <w:r w:rsidRPr="00180279">
        <w:t xml:space="preserve">% so với </w:t>
      </w:r>
      <w:r w:rsidR="00290E21" w:rsidRPr="00180279">
        <w:t>năm 2013</w:t>
      </w:r>
      <w:r w:rsidRPr="00180279">
        <w:t>.</w:t>
      </w:r>
      <w:r w:rsidR="0019371E" w:rsidRPr="00180279">
        <w:t>DO 2 nguyên nhân  trên nên</w:t>
      </w:r>
      <w:r w:rsidR="00DD1C96" w:rsidRPr="00180279">
        <w:t xml:space="preserve"> t</w:t>
      </w:r>
      <w:r w:rsidR="00C61B94" w:rsidRPr="00180279">
        <w:t xml:space="preserve">ỷ lệ kết hợp </w:t>
      </w:r>
      <w:r w:rsidR="00DD1C96" w:rsidRPr="00180279">
        <w:t>năm</w:t>
      </w:r>
      <w:r w:rsidR="00C61B94" w:rsidRPr="00180279">
        <w:t xml:space="preserve"> 2014 của VINARE là </w:t>
      </w:r>
      <w:r w:rsidR="00DD1C96" w:rsidRPr="00180279">
        <w:t>90,4</w:t>
      </w:r>
      <w:r w:rsidR="00E937B4" w:rsidRPr="00180279">
        <w:t>%</w:t>
      </w:r>
      <w:r w:rsidR="00C61B94" w:rsidRPr="00180279">
        <w:t xml:space="preserve"> </w:t>
      </w:r>
      <w:r w:rsidR="0019371E" w:rsidRPr="00180279">
        <w:t xml:space="preserve">(Năm 2013 là </w:t>
      </w:r>
      <w:r w:rsidR="00DD1C96" w:rsidRPr="00180279">
        <w:t>83,7</w:t>
      </w:r>
      <w:r w:rsidR="00E937B4" w:rsidRPr="00180279">
        <w:t>%</w:t>
      </w:r>
      <w:r w:rsidR="0019371E" w:rsidRPr="00180279">
        <w:t>)</w:t>
      </w:r>
      <w:r w:rsidR="00C61B94" w:rsidRPr="00180279">
        <w:t>.</w:t>
      </w:r>
    </w:p>
    <w:p w:rsidR="00AA52B7" w:rsidRPr="00180279" w:rsidRDefault="000A5F0B" w:rsidP="005B396C">
      <w:pPr>
        <w:spacing w:before="120" w:after="120"/>
        <w:ind w:right="240" w:firstLine="600"/>
        <w:jc w:val="both"/>
        <w:divId w:val="230509408"/>
        <w:rPr>
          <w:lang w:val="vi-VN"/>
        </w:rPr>
      </w:pPr>
      <w:r w:rsidRPr="00180279">
        <w:t xml:space="preserve">Lợi nhuận từ hoạt động kinh doanh bảo hiểm giảm so với năm 2013 nhưng bù lại là mức lợi nhuận cao từ hoạt động tài chính nên kết quả lợi nhuận năm 2014 của VINARE vẫn khả quan. </w:t>
      </w:r>
    </w:p>
    <w:p w:rsidR="00AA52B7" w:rsidRPr="00180279" w:rsidRDefault="00DD1C96">
      <w:pPr>
        <w:spacing w:before="120" w:after="120"/>
        <w:ind w:right="240" w:firstLine="600"/>
        <w:jc w:val="both"/>
        <w:divId w:val="230509408"/>
      </w:pPr>
      <w:r w:rsidRPr="00180279">
        <w:t xml:space="preserve">Tổng số cán bộ đến thời điểm 31/12/2014 là </w:t>
      </w:r>
      <w:r w:rsidR="005117AF" w:rsidRPr="00180279">
        <w:t>94</w:t>
      </w:r>
      <w:r w:rsidRPr="00180279">
        <w:t xml:space="preserve"> cán bộ- so với cuối năm 201</w:t>
      </w:r>
      <w:r w:rsidR="00E217C2" w:rsidRPr="00180279">
        <w:t>3</w:t>
      </w:r>
      <w:r w:rsidRPr="00180279">
        <w:t xml:space="preserve"> là </w:t>
      </w:r>
      <w:r w:rsidR="00E217C2" w:rsidRPr="00180279">
        <w:t>88</w:t>
      </w:r>
      <w:r w:rsidRPr="00180279">
        <w:t xml:space="preserve"> cán bộ</w:t>
      </w:r>
      <w:r w:rsidR="00B7006A" w:rsidRPr="00180279">
        <w:t>.</w:t>
      </w:r>
    </w:p>
    <w:p w:rsidR="009708E4" w:rsidRPr="00180279" w:rsidRDefault="00253C56" w:rsidP="00180279">
      <w:pPr>
        <w:pStyle w:val="NormalWeb"/>
        <w:numPr>
          <w:ilvl w:val="1"/>
          <w:numId w:val="17"/>
        </w:numPr>
        <w:tabs>
          <w:tab w:val="left" w:pos="450"/>
        </w:tabs>
        <w:spacing w:before="120" w:beforeAutospacing="0" w:after="120" w:afterAutospacing="0"/>
        <w:ind w:hanging="450"/>
        <w:jc w:val="both"/>
        <w:divId w:val="230509408"/>
        <w:rPr>
          <w:b/>
        </w:rPr>
      </w:pPr>
      <w:r w:rsidRPr="00180279">
        <w:rPr>
          <w:b/>
        </w:rPr>
        <w:t>Hoạt động đầu tư tài chính</w:t>
      </w:r>
    </w:p>
    <w:p w:rsidR="006B68A3" w:rsidRPr="00180279" w:rsidRDefault="008F793B" w:rsidP="007E0500">
      <w:pPr>
        <w:pStyle w:val="NormalWeb"/>
        <w:numPr>
          <w:ilvl w:val="0"/>
          <w:numId w:val="5"/>
        </w:numPr>
        <w:tabs>
          <w:tab w:val="left" w:pos="450"/>
        </w:tabs>
        <w:spacing w:before="120" w:beforeAutospacing="0" w:after="120" w:afterAutospacing="0"/>
        <w:ind w:left="360" w:right="240"/>
        <w:jc w:val="both"/>
        <w:divId w:val="230509408"/>
        <w:rPr>
          <w:b/>
          <w:i/>
        </w:rPr>
      </w:pPr>
      <w:r w:rsidRPr="00180279">
        <w:rPr>
          <w:b/>
          <w:i/>
        </w:rPr>
        <w:t xml:space="preserve">Cơ cấu danh mục đầu tư tại </w:t>
      </w:r>
      <w:r w:rsidR="00E217C2" w:rsidRPr="00180279">
        <w:rPr>
          <w:b/>
          <w:i/>
        </w:rPr>
        <w:t>31/12</w:t>
      </w:r>
      <w:r w:rsidRPr="00180279">
        <w:rPr>
          <w:b/>
          <w:i/>
        </w:rPr>
        <w:t>/2014</w:t>
      </w:r>
    </w:p>
    <w:p w:rsidR="006B68A3" w:rsidRPr="00180279" w:rsidRDefault="009347CC" w:rsidP="00A7752A">
      <w:pPr>
        <w:ind w:firstLine="600"/>
        <w:jc w:val="both"/>
        <w:divId w:val="230509408"/>
      </w:pPr>
      <w:r w:rsidRPr="00180279">
        <w:t>Tại 31/12</w:t>
      </w:r>
      <w:r w:rsidR="006B68A3" w:rsidRPr="00180279">
        <w:t xml:space="preserve">/2014 tổng danh mục đầu </w:t>
      </w:r>
      <w:proofErr w:type="gramStart"/>
      <w:r w:rsidR="006B68A3" w:rsidRPr="00180279">
        <w:t>tư  của</w:t>
      </w:r>
      <w:proofErr w:type="gramEnd"/>
      <w:r w:rsidR="006B68A3" w:rsidRPr="00180279">
        <w:t xml:space="preserve"> VINARE là </w:t>
      </w:r>
      <w:r w:rsidRPr="00180279">
        <w:t>3.113,2</w:t>
      </w:r>
      <w:r w:rsidR="006B68A3" w:rsidRPr="00180279">
        <w:t xml:space="preserve">tỷ đồng - tăng  </w:t>
      </w:r>
      <w:r w:rsidRPr="00180279">
        <w:t>69,7</w:t>
      </w:r>
      <w:r w:rsidR="006B68A3" w:rsidRPr="00180279">
        <w:t xml:space="preserve"> tỷ đồng so </w:t>
      </w:r>
      <w:r w:rsidRPr="00180279">
        <w:t xml:space="preserve">với </w:t>
      </w:r>
      <w:r w:rsidR="006B68A3" w:rsidRPr="00180279">
        <w:t xml:space="preserve">đầu năm. Trong đó </w:t>
      </w:r>
      <w:r w:rsidRPr="00180279">
        <w:t xml:space="preserve">tăng </w:t>
      </w:r>
      <w:r w:rsidR="006B68A3" w:rsidRPr="00180279">
        <w:t xml:space="preserve">đầu tư vào </w:t>
      </w:r>
      <w:r w:rsidRPr="00180279">
        <w:t xml:space="preserve">các </w:t>
      </w:r>
      <w:r w:rsidR="006B68A3" w:rsidRPr="00180279">
        <w:t>lĩnh vực</w:t>
      </w:r>
      <w:r w:rsidRPr="00180279">
        <w:t>: đầu tư khác và tiền gửi không kỳ hạn (+108</w:t>
      </w:r>
      <w:proofErr w:type="gramStart"/>
      <w:r w:rsidRPr="00180279">
        <w:t>,3</w:t>
      </w:r>
      <w:proofErr w:type="gramEnd"/>
      <w:r w:rsidRPr="00180279">
        <w:t xml:space="preserve"> tỷ đồng); ủy thác đầu tư (+70 tỷ đồng); </w:t>
      </w:r>
      <w:r w:rsidR="006B68A3" w:rsidRPr="00180279">
        <w:t>tiền gửi</w:t>
      </w:r>
      <w:r w:rsidRPr="00180279">
        <w:t xml:space="preserve"> (+45</w:t>
      </w:r>
      <w:r w:rsidR="006B68A3" w:rsidRPr="00180279">
        <w:t xml:space="preserve"> tỷ đồ</w:t>
      </w:r>
      <w:r w:rsidRPr="00180279">
        <w:t>ng);</w:t>
      </w:r>
      <w:r w:rsidR="00A7752A" w:rsidRPr="00180279">
        <w:t xml:space="preserve"> cổ phiếu (+15,7 tỷ đồng);</w:t>
      </w:r>
      <w:r w:rsidRPr="00180279">
        <w:t xml:space="preserve"> và đầu tư Bất động sản (+6,2 tỷ đồng). Giảm đầu tư vào: g</w:t>
      </w:r>
      <w:r w:rsidR="006B68A3" w:rsidRPr="00180279">
        <w:t>óp vốn vào doanh nghiệp khác</w:t>
      </w:r>
      <w:r w:rsidRPr="00180279">
        <w:t xml:space="preserve"> (-</w:t>
      </w:r>
      <w:r w:rsidR="00A7752A" w:rsidRPr="00180279">
        <w:t>125 tỷ đồng)</w:t>
      </w:r>
      <w:proofErr w:type="gramStart"/>
      <w:r w:rsidR="00A7752A" w:rsidRPr="00180279">
        <w:t>;trái</w:t>
      </w:r>
      <w:proofErr w:type="gramEnd"/>
      <w:r w:rsidR="00A7752A" w:rsidRPr="00180279">
        <w:t xml:space="preserve"> phiếu (-50 tỷ đồng).</w:t>
      </w:r>
    </w:p>
    <w:p w:rsidR="006B68A3" w:rsidRPr="00180279" w:rsidRDefault="006B68A3" w:rsidP="006B68A3">
      <w:pPr>
        <w:pStyle w:val="NormalWeb"/>
        <w:spacing w:before="120" w:beforeAutospacing="0" w:after="120" w:afterAutospacing="0"/>
        <w:ind w:left="720" w:right="240"/>
        <w:jc w:val="both"/>
        <w:divId w:val="230509408"/>
      </w:pPr>
    </w:p>
    <w:p w:rsidR="008F793B" w:rsidRPr="00180279" w:rsidRDefault="002834EC" w:rsidP="006B68A3">
      <w:pPr>
        <w:pStyle w:val="NormalWeb"/>
        <w:spacing w:before="120" w:beforeAutospacing="0" w:after="120" w:afterAutospacing="0"/>
        <w:ind w:right="120"/>
        <w:jc w:val="center"/>
        <w:divId w:val="230509408"/>
      </w:pPr>
      <w:r w:rsidRPr="00180279">
        <w:rPr>
          <w:noProof/>
        </w:rPr>
        <w:lastRenderedPageBreak/>
        <w:drawing>
          <wp:inline distT="0" distB="0" distL="0" distR="0" wp14:anchorId="5C932586" wp14:editId="1413764D">
            <wp:extent cx="5311140" cy="27432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68A3" w:rsidRPr="00180279" w:rsidRDefault="006B68A3" w:rsidP="007E0500">
      <w:pPr>
        <w:pStyle w:val="NormalWeb"/>
        <w:numPr>
          <w:ilvl w:val="0"/>
          <w:numId w:val="5"/>
        </w:numPr>
        <w:tabs>
          <w:tab w:val="left" w:pos="450"/>
        </w:tabs>
        <w:spacing w:before="120" w:beforeAutospacing="0" w:after="120" w:afterAutospacing="0"/>
        <w:ind w:left="480" w:right="360"/>
        <w:jc w:val="both"/>
        <w:divId w:val="230509408"/>
        <w:rPr>
          <w:b/>
          <w:i/>
        </w:rPr>
      </w:pPr>
      <w:r w:rsidRPr="00180279">
        <w:rPr>
          <w:b/>
          <w:i/>
        </w:rPr>
        <w:t>Hiệu quả hoạt động đầu tư:</w:t>
      </w:r>
    </w:p>
    <w:p w:rsidR="008F793B" w:rsidRPr="00180279" w:rsidRDefault="002834EC" w:rsidP="007E0500">
      <w:pPr>
        <w:spacing w:before="120" w:after="120"/>
        <w:ind w:firstLine="601"/>
        <w:jc w:val="both"/>
        <w:divId w:val="230509408"/>
      </w:pPr>
      <w:r w:rsidRPr="00180279">
        <w:t>Năm 2014, lợi nhuận gộp hoạt động tài chính đạt 375</w:t>
      </w:r>
      <w:proofErr w:type="gramStart"/>
      <w:r w:rsidRPr="00180279">
        <w:t>,4</w:t>
      </w:r>
      <w:proofErr w:type="gramEnd"/>
      <w:r w:rsidRPr="00180279">
        <w:t xml:space="preserve"> tỷ đồng – tăng 25% so</w:t>
      </w:r>
      <w:r w:rsidR="0077119A" w:rsidRPr="00180279">
        <w:t xml:space="preserve"> với kết quả năm 2013</w:t>
      </w:r>
      <w:r w:rsidR="002509C0" w:rsidRPr="00180279">
        <w:t>, t</w:t>
      </w:r>
      <w:r w:rsidR="0077119A" w:rsidRPr="00180279">
        <w:t>rong đó</w:t>
      </w:r>
      <w:r w:rsidR="002509C0" w:rsidRPr="00180279">
        <w:t xml:space="preserve"> lỗ do chênh lệch tỷ giá lên tới 17,7 tỷ đồng. Các khoản mục mang lại lợi nhuận lớn gồm</w:t>
      </w:r>
      <w:r w:rsidR="0077119A" w:rsidRPr="00180279">
        <w:t xml:space="preserve">: </w:t>
      </w:r>
    </w:p>
    <w:p w:rsidR="0077119A" w:rsidRPr="007E0500" w:rsidRDefault="0077119A" w:rsidP="007E0500">
      <w:pPr>
        <w:pStyle w:val="ListParagraph"/>
        <w:numPr>
          <w:ilvl w:val="0"/>
          <w:numId w:val="18"/>
        </w:numPr>
        <w:spacing w:before="120" w:after="120" w:line="240" w:lineRule="auto"/>
        <w:ind w:right="120"/>
        <w:jc w:val="both"/>
        <w:divId w:val="230509408"/>
        <w:rPr>
          <w:rFonts w:asciiTheme="majorHAnsi" w:hAnsiTheme="majorHAnsi" w:cstheme="majorHAnsi"/>
          <w:sz w:val="24"/>
        </w:rPr>
      </w:pPr>
      <w:r w:rsidRPr="007E0500">
        <w:rPr>
          <w:rFonts w:asciiTheme="majorHAnsi" w:hAnsiTheme="majorHAnsi" w:cstheme="majorHAnsi"/>
          <w:sz w:val="24"/>
        </w:rPr>
        <w:t xml:space="preserve">Hoạt động góp vốn </w:t>
      </w:r>
      <w:r w:rsidR="002509C0" w:rsidRPr="007E0500">
        <w:rPr>
          <w:rFonts w:asciiTheme="majorHAnsi" w:hAnsiTheme="majorHAnsi" w:cstheme="majorHAnsi"/>
          <w:sz w:val="24"/>
        </w:rPr>
        <w:t>có</w:t>
      </w:r>
      <w:r w:rsidRPr="007E0500">
        <w:rPr>
          <w:rFonts w:asciiTheme="majorHAnsi" w:hAnsiTheme="majorHAnsi" w:cstheme="majorHAnsi"/>
          <w:sz w:val="24"/>
        </w:rPr>
        <w:t xml:space="preserve"> lợi nhuận 208,2 tỷ đồng – tăng 115 tỷ đồng so với năm 2013 chủ yếu là do khoản chuyển nhượng 25% vốn góp tại liên doanh SVI cho đối tác SFMI và khoản hoàn nhập dự phòng đối với Tienphongbank</w:t>
      </w:r>
    </w:p>
    <w:p w:rsidR="0077119A" w:rsidRPr="007E0500" w:rsidRDefault="0077119A" w:rsidP="007E0500">
      <w:pPr>
        <w:pStyle w:val="ListParagraph"/>
        <w:numPr>
          <w:ilvl w:val="0"/>
          <w:numId w:val="18"/>
        </w:numPr>
        <w:spacing w:before="120" w:after="120" w:line="240" w:lineRule="auto"/>
        <w:ind w:right="120"/>
        <w:jc w:val="both"/>
        <w:divId w:val="230509408"/>
        <w:rPr>
          <w:rFonts w:asciiTheme="majorHAnsi" w:hAnsiTheme="majorHAnsi" w:cstheme="majorHAnsi"/>
          <w:sz w:val="24"/>
        </w:rPr>
      </w:pPr>
      <w:r w:rsidRPr="007E0500">
        <w:rPr>
          <w:rFonts w:asciiTheme="majorHAnsi" w:hAnsiTheme="majorHAnsi" w:cstheme="majorHAnsi"/>
          <w:sz w:val="24"/>
        </w:rPr>
        <w:t xml:space="preserve">Hoạt động ủy thác đầu tư </w:t>
      </w:r>
      <w:r w:rsidR="002509C0" w:rsidRPr="007E0500">
        <w:rPr>
          <w:rFonts w:asciiTheme="majorHAnsi" w:hAnsiTheme="majorHAnsi" w:cstheme="majorHAnsi"/>
          <w:sz w:val="24"/>
        </w:rPr>
        <w:t>có</w:t>
      </w:r>
      <w:r w:rsidRPr="007E0500">
        <w:rPr>
          <w:rFonts w:asciiTheme="majorHAnsi" w:hAnsiTheme="majorHAnsi" w:cstheme="majorHAnsi"/>
          <w:sz w:val="24"/>
        </w:rPr>
        <w:t xml:space="preserve"> lợi nhuận 10</w:t>
      </w:r>
      <w:proofErr w:type="gramStart"/>
      <w:r w:rsidRPr="007E0500">
        <w:rPr>
          <w:rFonts w:asciiTheme="majorHAnsi" w:hAnsiTheme="majorHAnsi" w:cstheme="majorHAnsi"/>
          <w:sz w:val="24"/>
        </w:rPr>
        <w:t>,3</w:t>
      </w:r>
      <w:proofErr w:type="gramEnd"/>
      <w:r w:rsidRPr="007E0500">
        <w:rPr>
          <w:rFonts w:asciiTheme="majorHAnsi" w:hAnsiTheme="majorHAnsi" w:cstheme="majorHAnsi"/>
          <w:sz w:val="24"/>
        </w:rPr>
        <w:t xml:space="preserve"> tỷ đồng – tăng 8,2 tỷ đồng so với 2013.</w:t>
      </w:r>
    </w:p>
    <w:p w:rsidR="002509C0" w:rsidRPr="007E0500" w:rsidRDefault="002509C0" w:rsidP="007E0500">
      <w:pPr>
        <w:pStyle w:val="ListParagraph"/>
        <w:numPr>
          <w:ilvl w:val="0"/>
          <w:numId w:val="18"/>
        </w:numPr>
        <w:spacing w:before="120" w:after="120" w:line="240" w:lineRule="auto"/>
        <w:ind w:right="120"/>
        <w:jc w:val="both"/>
        <w:divId w:val="230509408"/>
        <w:rPr>
          <w:rFonts w:asciiTheme="majorHAnsi" w:hAnsiTheme="majorHAnsi" w:cstheme="majorHAnsi"/>
          <w:sz w:val="24"/>
        </w:rPr>
      </w:pPr>
      <w:r w:rsidRPr="007E0500">
        <w:rPr>
          <w:rFonts w:asciiTheme="majorHAnsi" w:hAnsiTheme="majorHAnsi" w:cstheme="majorHAnsi"/>
          <w:sz w:val="24"/>
        </w:rPr>
        <w:t>Hoạt động đầu tư tiền gửi có lợi nhuận 161</w:t>
      </w:r>
      <w:proofErr w:type="gramStart"/>
      <w:r w:rsidRPr="007E0500">
        <w:rPr>
          <w:rFonts w:asciiTheme="majorHAnsi" w:hAnsiTheme="majorHAnsi" w:cstheme="majorHAnsi"/>
          <w:sz w:val="24"/>
        </w:rPr>
        <w:t>,5</w:t>
      </w:r>
      <w:proofErr w:type="gramEnd"/>
      <w:r w:rsidRPr="007E0500">
        <w:rPr>
          <w:rFonts w:asciiTheme="majorHAnsi" w:hAnsiTheme="majorHAnsi" w:cstheme="majorHAnsi"/>
          <w:sz w:val="24"/>
        </w:rPr>
        <w:t xml:space="preserve"> tỷ đồng – giảm gần 27 tỷ đồng so với năm 2013, tỷ suất sinh lời ước khoảng 8,2%. </w:t>
      </w:r>
    </w:p>
    <w:p w:rsidR="0077119A" w:rsidRPr="007E0500" w:rsidRDefault="008F793B" w:rsidP="007E0500">
      <w:pPr>
        <w:pStyle w:val="ListParagraph"/>
        <w:numPr>
          <w:ilvl w:val="0"/>
          <w:numId w:val="18"/>
        </w:numPr>
        <w:spacing w:before="120" w:after="120" w:line="240" w:lineRule="auto"/>
        <w:ind w:right="120"/>
        <w:jc w:val="both"/>
        <w:divId w:val="230509408"/>
        <w:rPr>
          <w:rFonts w:asciiTheme="majorHAnsi" w:hAnsiTheme="majorHAnsi" w:cstheme="majorHAnsi"/>
          <w:sz w:val="24"/>
        </w:rPr>
      </w:pPr>
      <w:r w:rsidRPr="007E0500">
        <w:rPr>
          <w:rFonts w:asciiTheme="majorHAnsi" w:hAnsiTheme="majorHAnsi" w:cstheme="majorHAnsi"/>
          <w:sz w:val="24"/>
        </w:rPr>
        <w:t xml:space="preserve">Hoạt động đầu tư trái phiếu công trái </w:t>
      </w:r>
      <w:r w:rsidR="002509C0" w:rsidRPr="007E0500">
        <w:rPr>
          <w:rFonts w:asciiTheme="majorHAnsi" w:hAnsiTheme="majorHAnsi" w:cstheme="majorHAnsi"/>
          <w:sz w:val="24"/>
        </w:rPr>
        <w:t xml:space="preserve">có </w:t>
      </w:r>
      <w:r w:rsidR="0077119A" w:rsidRPr="007E0500">
        <w:rPr>
          <w:rFonts w:asciiTheme="majorHAnsi" w:hAnsiTheme="majorHAnsi" w:cstheme="majorHAnsi"/>
          <w:sz w:val="24"/>
        </w:rPr>
        <w:t>lợi nhuận 15</w:t>
      </w:r>
      <w:proofErr w:type="gramStart"/>
      <w:r w:rsidR="0077119A" w:rsidRPr="007E0500">
        <w:rPr>
          <w:rFonts w:asciiTheme="majorHAnsi" w:hAnsiTheme="majorHAnsi" w:cstheme="majorHAnsi"/>
          <w:sz w:val="24"/>
        </w:rPr>
        <w:t>,7</w:t>
      </w:r>
      <w:proofErr w:type="gramEnd"/>
      <w:r w:rsidR="0077119A" w:rsidRPr="007E0500">
        <w:rPr>
          <w:rFonts w:asciiTheme="majorHAnsi" w:hAnsiTheme="majorHAnsi" w:cstheme="majorHAnsi"/>
          <w:sz w:val="24"/>
        </w:rPr>
        <w:t xml:space="preserve"> tỷ đồng – giảm gần 1 tỷ đồng so với 2013.</w:t>
      </w:r>
    </w:p>
    <w:p w:rsidR="006B68A3" w:rsidRPr="007E0500" w:rsidRDefault="0077119A" w:rsidP="007E0500">
      <w:pPr>
        <w:pStyle w:val="ListParagraph"/>
        <w:numPr>
          <w:ilvl w:val="0"/>
          <w:numId w:val="18"/>
        </w:numPr>
        <w:spacing w:before="120" w:after="120" w:line="240" w:lineRule="auto"/>
        <w:ind w:right="120"/>
        <w:jc w:val="both"/>
        <w:divId w:val="230509408"/>
        <w:rPr>
          <w:rFonts w:asciiTheme="majorHAnsi" w:hAnsiTheme="majorHAnsi" w:cstheme="majorHAnsi"/>
          <w:sz w:val="24"/>
        </w:rPr>
      </w:pPr>
      <w:r w:rsidRPr="007E0500">
        <w:rPr>
          <w:rFonts w:asciiTheme="majorHAnsi" w:hAnsiTheme="majorHAnsi" w:cstheme="majorHAnsi"/>
          <w:sz w:val="24"/>
        </w:rPr>
        <w:t xml:space="preserve">Văn phòng cho thuê </w:t>
      </w:r>
      <w:r w:rsidR="002509C0" w:rsidRPr="007E0500">
        <w:rPr>
          <w:rFonts w:asciiTheme="majorHAnsi" w:hAnsiTheme="majorHAnsi" w:cstheme="majorHAnsi"/>
          <w:sz w:val="24"/>
        </w:rPr>
        <w:t>có</w:t>
      </w:r>
      <w:r w:rsidRPr="007E0500">
        <w:rPr>
          <w:rFonts w:asciiTheme="majorHAnsi" w:hAnsiTheme="majorHAnsi" w:cstheme="majorHAnsi"/>
          <w:sz w:val="24"/>
        </w:rPr>
        <w:t xml:space="preserve"> lợi nhuận 6</w:t>
      </w:r>
      <w:proofErr w:type="gramStart"/>
      <w:r w:rsidRPr="007E0500">
        <w:rPr>
          <w:rFonts w:asciiTheme="majorHAnsi" w:hAnsiTheme="majorHAnsi" w:cstheme="majorHAnsi"/>
          <w:sz w:val="24"/>
        </w:rPr>
        <w:t>,5</w:t>
      </w:r>
      <w:proofErr w:type="gramEnd"/>
      <w:r w:rsidRPr="007E0500">
        <w:rPr>
          <w:rFonts w:asciiTheme="majorHAnsi" w:hAnsiTheme="majorHAnsi" w:cstheme="majorHAnsi"/>
          <w:sz w:val="24"/>
        </w:rPr>
        <w:t xml:space="preserve"> tỷ đồng – giảm 2,4 tỷ đồng so với năm 2014. </w:t>
      </w:r>
    </w:p>
    <w:p w:rsidR="009708E4" w:rsidRDefault="007151E6" w:rsidP="007E0500">
      <w:pPr>
        <w:spacing w:before="120" w:after="120"/>
        <w:ind w:firstLine="600"/>
        <w:jc w:val="both"/>
        <w:divId w:val="230509408"/>
      </w:pPr>
      <w:r w:rsidRPr="00180279">
        <w:t xml:space="preserve">Như vậy, </w:t>
      </w:r>
      <w:r w:rsidR="002509C0" w:rsidRPr="00180279">
        <w:t>hoạt động đầu tư lãi suất cố định (tiền gửi, trái phiếu công trái) vẫn chiếm tỷ trọng lớn nhất trong tổng danh mục nhưng lợi nhuận năm 2014 đều sụt giảm so với 2013 do mặt bằng lãi suất trong năm 2014 vẫn tiếp tục xu hướng giảm</w:t>
      </w:r>
      <w:r w:rsidRPr="00180279">
        <w:t xml:space="preserve">. </w:t>
      </w:r>
      <w:r w:rsidR="002509C0" w:rsidRPr="00180279">
        <w:t xml:space="preserve">Tuy vậy, lợi nhuận hoạt động đầu tư 2014 vẫn đạt cao chủ yếu do khoản </w:t>
      </w:r>
      <w:proofErr w:type="gramStart"/>
      <w:r w:rsidR="002509C0" w:rsidRPr="00180279">
        <w:t>thu</w:t>
      </w:r>
      <w:proofErr w:type="gramEnd"/>
      <w:r w:rsidR="002509C0" w:rsidRPr="00180279">
        <w:t xml:space="preserve"> đột biến liên quan đến góp vốn và do các khoản ủy thác đầu tư có hiệu quả hơn.</w:t>
      </w:r>
      <w:r w:rsidR="005117AF" w:rsidRPr="00180279">
        <w:t xml:space="preserve"> Khoản ủy thác đầu tư là lĩnh vực kinh doanh có khả năng mang lại tỷ suất sinh lời cao nhưng cũng rất rủi ro khi thị trường biến động do đó cần kiểm soát chặt chẽ danh mục này để giảm thiểu rủi ro khi thị trường xuống.</w:t>
      </w:r>
    </w:p>
    <w:p w:rsidR="007E0500" w:rsidRPr="00180279" w:rsidRDefault="007E0500" w:rsidP="007E0500">
      <w:pPr>
        <w:spacing w:before="120" w:after="120"/>
        <w:ind w:firstLine="600"/>
        <w:jc w:val="both"/>
        <w:divId w:val="230509408"/>
      </w:pPr>
    </w:p>
    <w:p w:rsidR="009C3D13" w:rsidRPr="00180279" w:rsidRDefault="009C3D13" w:rsidP="007E0500">
      <w:pPr>
        <w:pStyle w:val="NormalWeb"/>
        <w:numPr>
          <w:ilvl w:val="1"/>
          <w:numId w:val="17"/>
        </w:numPr>
        <w:tabs>
          <w:tab w:val="left" w:pos="450"/>
        </w:tabs>
        <w:spacing w:before="120" w:beforeAutospacing="0" w:after="120" w:afterAutospacing="0"/>
        <w:ind w:left="570" w:right="120" w:hanging="570"/>
        <w:jc w:val="both"/>
        <w:divId w:val="230509408"/>
        <w:rPr>
          <w:b/>
        </w:rPr>
      </w:pPr>
      <w:r w:rsidRPr="00180279">
        <w:rPr>
          <w:b/>
        </w:rPr>
        <w:t>Thực hiện Phương án bổ sung vốn điều lệ</w:t>
      </w:r>
    </w:p>
    <w:p w:rsidR="009C3D13" w:rsidRDefault="009C3D13" w:rsidP="007E0500">
      <w:pPr>
        <w:spacing w:before="120" w:after="120"/>
        <w:ind w:firstLine="600"/>
        <w:jc w:val="both"/>
        <w:divId w:val="230509408"/>
      </w:pPr>
      <w:r w:rsidRPr="00180279">
        <w:t xml:space="preserve">Căn cứ Phương án bổ sung vốn điều lệ đã được Đại hội đồng Cổ đông thường niên 2014 thông qua tại Điều 5 Nghị quyết số 09/2014/NQ-ĐHĐCĐ ngày 24/4/2014, VINARE đã tiến hành các thủ tục chi trả cổ tức bằng tiền đợt 2 năm 2013 (tỷ lệ thực hiện là 10%/cổ phiếu) và trả cổ tức bằng cổ phiếu cho cổ đông hiện hữu (tỷ lệ thực hiện 10:3). Ngày </w:t>
      </w:r>
      <w:r w:rsidR="000F38DF" w:rsidRPr="00180279">
        <w:t>09/09/2014</w:t>
      </w:r>
      <w:r w:rsidRPr="00180279">
        <w:t xml:space="preserve">, 30.248.279 cổ phiếu phát hành thêm đã được niêm yết bổ sung trên Sở Giao dịch chứng khoán, hoàn tất việc tăng vốn điều lệ. </w:t>
      </w:r>
    </w:p>
    <w:p w:rsidR="007E0500" w:rsidRPr="00180279" w:rsidRDefault="007E0500" w:rsidP="007E0500">
      <w:pPr>
        <w:spacing w:before="120" w:after="120"/>
        <w:ind w:firstLine="600"/>
        <w:jc w:val="both"/>
        <w:divId w:val="230509408"/>
      </w:pPr>
    </w:p>
    <w:p w:rsidR="00E77347" w:rsidRPr="00180279" w:rsidRDefault="00E77347" w:rsidP="007E0500">
      <w:pPr>
        <w:pStyle w:val="NormalWeb"/>
        <w:numPr>
          <w:ilvl w:val="1"/>
          <w:numId w:val="17"/>
        </w:numPr>
        <w:tabs>
          <w:tab w:val="left" w:pos="450"/>
        </w:tabs>
        <w:spacing w:before="120" w:beforeAutospacing="0" w:after="120" w:afterAutospacing="0"/>
        <w:ind w:left="690" w:right="240" w:hanging="690"/>
        <w:jc w:val="both"/>
        <w:divId w:val="230509408"/>
        <w:rPr>
          <w:b/>
        </w:rPr>
      </w:pPr>
      <w:r w:rsidRPr="00180279">
        <w:rPr>
          <w:b/>
        </w:rPr>
        <w:t>Thù lao của Ban kiểm soát:</w:t>
      </w:r>
    </w:p>
    <w:p w:rsidR="00E77347" w:rsidRDefault="00E77347" w:rsidP="007E0500">
      <w:pPr>
        <w:spacing w:before="120" w:after="120"/>
        <w:ind w:firstLine="720"/>
        <w:divId w:val="230509408"/>
      </w:pPr>
      <w:proofErr w:type="gramStart"/>
      <w:r w:rsidRPr="00180279">
        <w:lastRenderedPageBreak/>
        <w:t>Trên cơ sở kết quả kinh doanh 2014 của Tổng Công ty.</w:t>
      </w:r>
      <w:proofErr w:type="gramEnd"/>
      <w:r w:rsidRPr="00180279">
        <w:t xml:space="preserve"> Tổng công ty đã chi trả thù lao cho Ban kiểm soát năm 2014 là </w:t>
      </w:r>
      <w:r w:rsidR="00473DAE" w:rsidRPr="00180279">
        <w:t>398</w:t>
      </w:r>
      <w:r w:rsidR="00756A1C" w:rsidRPr="00180279">
        <w:t>,5 triệu</w:t>
      </w:r>
      <w:r w:rsidR="00473DAE" w:rsidRPr="00180279">
        <w:t xml:space="preserve"> đồng</w:t>
      </w:r>
      <w:r w:rsidRPr="00180279">
        <w:t xml:space="preserve"> và chi  thưởng Ban kiểm soát là </w:t>
      </w:r>
      <w:r w:rsidR="00473DAE" w:rsidRPr="00180279">
        <w:t>18</w:t>
      </w:r>
      <w:r w:rsidR="00756A1C" w:rsidRPr="00180279">
        <w:t>8 triệu</w:t>
      </w:r>
      <w:r w:rsidR="00473DAE" w:rsidRPr="00180279">
        <w:t xml:space="preserve"> đồng.</w:t>
      </w:r>
    </w:p>
    <w:p w:rsidR="007E0500" w:rsidRPr="00180279" w:rsidRDefault="007E0500" w:rsidP="007E0500">
      <w:pPr>
        <w:spacing w:before="120" w:after="120"/>
        <w:ind w:firstLine="720"/>
        <w:divId w:val="230509408"/>
      </w:pPr>
    </w:p>
    <w:p w:rsidR="00C912A2" w:rsidRPr="00180279" w:rsidRDefault="00644B23" w:rsidP="007E0500">
      <w:pPr>
        <w:pStyle w:val="NormalWeb"/>
        <w:spacing w:before="120" w:beforeAutospacing="0" w:after="120" w:afterAutospacing="0"/>
        <w:ind w:left="720" w:hanging="720"/>
        <w:jc w:val="both"/>
        <w:divId w:val="230509408"/>
        <w:rPr>
          <w:b/>
          <w:lang w:val="vi-VN"/>
        </w:rPr>
      </w:pPr>
      <w:r w:rsidRPr="00180279">
        <w:rPr>
          <w:b/>
          <w:lang w:val="vi-VN"/>
        </w:rPr>
        <w:t xml:space="preserve">II. </w:t>
      </w:r>
      <w:r w:rsidR="00262B69" w:rsidRPr="00180279">
        <w:rPr>
          <w:b/>
          <w:lang w:val="vi-VN"/>
        </w:rPr>
        <w:t>C</w:t>
      </w:r>
      <w:r w:rsidR="00C912A2" w:rsidRPr="00180279">
        <w:rPr>
          <w:b/>
          <w:lang w:val="vi-VN"/>
        </w:rPr>
        <w:t>ông tác chỉ đạo điều hành của HĐQT và Ban điều hành</w:t>
      </w:r>
    </w:p>
    <w:p w:rsidR="00C9231B" w:rsidRPr="00180279" w:rsidRDefault="00C9231B" w:rsidP="007E0500">
      <w:pPr>
        <w:pStyle w:val="NormalWeb"/>
        <w:numPr>
          <w:ilvl w:val="0"/>
          <w:numId w:val="19"/>
        </w:numPr>
        <w:tabs>
          <w:tab w:val="left" w:pos="450"/>
        </w:tabs>
        <w:spacing w:before="120" w:beforeAutospacing="0" w:after="120" w:afterAutospacing="0"/>
        <w:ind w:right="360" w:hanging="450"/>
        <w:jc w:val="both"/>
        <w:divId w:val="230509408"/>
        <w:rPr>
          <w:b/>
        </w:rPr>
      </w:pPr>
      <w:r w:rsidRPr="00180279">
        <w:rPr>
          <w:b/>
        </w:rPr>
        <w:t>Công tác quản trị, điều hành doanh nghiệp</w:t>
      </w:r>
    </w:p>
    <w:p w:rsidR="000A29C3" w:rsidRPr="00180279" w:rsidRDefault="00183101" w:rsidP="007E0500">
      <w:pPr>
        <w:pStyle w:val="NormalWeb"/>
        <w:spacing w:before="120" w:beforeAutospacing="0" w:after="120" w:afterAutospacing="0"/>
        <w:ind w:left="86" w:right="86" w:firstLine="634"/>
        <w:jc w:val="both"/>
        <w:divId w:val="230509408"/>
      </w:pPr>
      <w:proofErr w:type="gramStart"/>
      <w:r w:rsidRPr="00180279">
        <w:t>VINARE chấp hành nghiêm túc, đầy đủ các quy định của Nhà nước và các quy chế quản</w:t>
      </w:r>
      <w:r w:rsidR="00491A81" w:rsidRPr="00180279">
        <w:t xml:space="preserve"> trị nội bộ</w:t>
      </w:r>
      <w:r w:rsidR="0096502D" w:rsidRPr="00180279">
        <w:t>, đảm bảo hoạt động ổn định của Tổng Công ty</w:t>
      </w:r>
      <w:r w:rsidR="00491A81" w:rsidRPr="00180279">
        <w:t>.</w:t>
      </w:r>
      <w:proofErr w:type="gramEnd"/>
      <w:r w:rsidR="00491A81" w:rsidRPr="00180279">
        <w:t xml:space="preserve"> </w:t>
      </w:r>
    </w:p>
    <w:p w:rsidR="00262B69" w:rsidRPr="00180279" w:rsidRDefault="00262B69" w:rsidP="007E0500">
      <w:pPr>
        <w:pStyle w:val="NormalWeb"/>
        <w:numPr>
          <w:ilvl w:val="0"/>
          <w:numId w:val="19"/>
        </w:numPr>
        <w:tabs>
          <w:tab w:val="left" w:pos="450"/>
        </w:tabs>
        <w:spacing w:before="120" w:beforeAutospacing="0" w:after="120" w:afterAutospacing="0"/>
        <w:ind w:left="570" w:right="480" w:hanging="570"/>
        <w:jc w:val="both"/>
        <w:divId w:val="230509408"/>
        <w:rPr>
          <w:b/>
        </w:rPr>
      </w:pPr>
      <w:r w:rsidRPr="00180279">
        <w:rPr>
          <w:b/>
        </w:rPr>
        <w:t xml:space="preserve">Phối hợp </w:t>
      </w:r>
      <w:r w:rsidR="00AF74D6" w:rsidRPr="00180279">
        <w:rPr>
          <w:b/>
        </w:rPr>
        <w:t>giữa</w:t>
      </w:r>
      <w:r w:rsidRPr="00180279">
        <w:rPr>
          <w:b/>
        </w:rPr>
        <w:t xml:space="preserve"> HĐQT, Ban điều hành, các Phòng và Ban kiểm soát</w:t>
      </w:r>
    </w:p>
    <w:p w:rsidR="00262B69" w:rsidRPr="00180279" w:rsidRDefault="000743A3" w:rsidP="007E0500">
      <w:pPr>
        <w:pStyle w:val="NormalWeb"/>
        <w:spacing w:before="120" w:beforeAutospacing="0" w:after="120" w:afterAutospacing="0"/>
        <w:ind w:right="90" w:firstLine="810"/>
        <w:jc w:val="both"/>
        <w:divId w:val="230509408"/>
      </w:pPr>
      <w:r w:rsidRPr="00180279">
        <w:t xml:space="preserve">HĐQT, </w:t>
      </w:r>
      <w:r w:rsidR="00262B69" w:rsidRPr="00180279">
        <w:t xml:space="preserve">Ban điều hành và các </w:t>
      </w:r>
      <w:r w:rsidR="00464514" w:rsidRPr="00180279">
        <w:t>đơn vịcủa</w:t>
      </w:r>
      <w:r w:rsidR="00262B69" w:rsidRPr="00180279">
        <w:t xml:space="preserve"> VINARE đều tạo điều kiện thuận lợi</w:t>
      </w:r>
      <w:r w:rsidRPr="00180279">
        <w:t xml:space="preserve"> trong quá trình </w:t>
      </w:r>
      <w:r w:rsidR="00A67346" w:rsidRPr="00180279">
        <w:t xml:space="preserve">thực hiện các chức năng nhiệm vụ </w:t>
      </w:r>
      <w:r w:rsidRPr="00180279">
        <w:t xml:space="preserve">của Ban kiểm soát,  </w:t>
      </w:r>
      <w:r w:rsidR="00AF74D6" w:rsidRPr="00180279">
        <w:t xml:space="preserve">thực hiện giải trình </w:t>
      </w:r>
      <w:r w:rsidR="00262B69" w:rsidRPr="00180279">
        <w:t xml:space="preserve">cung cấp số liệu, tài liệu </w:t>
      </w:r>
      <w:r w:rsidR="00AF74D6" w:rsidRPr="00180279">
        <w:t xml:space="preserve">cho Ban kiểm soát kịp thời, </w:t>
      </w:r>
      <w:r w:rsidR="00262B69" w:rsidRPr="00180279">
        <w:t>đầy đủ theo yêu cầu.</w:t>
      </w:r>
    </w:p>
    <w:p w:rsidR="005972F1" w:rsidRPr="00180279" w:rsidRDefault="00262B69" w:rsidP="007E0500">
      <w:pPr>
        <w:pStyle w:val="NormalWeb"/>
        <w:numPr>
          <w:ilvl w:val="0"/>
          <w:numId w:val="19"/>
        </w:numPr>
        <w:tabs>
          <w:tab w:val="left" w:pos="450"/>
        </w:tabs>
        <w:spacing w:before="120" w:beforeAutospacing="0" w:after="120" w:afterAutospacing="0"/>
        <w:ind w:left="690" w:right="600" w:hanging="690"/>
        <w:jc w:val="both"/>
        <w:divId w:val="230509408"/>
      </w:pPr>
      <w:r w:rsidRPr="00180279">
        <w:rPr>
          <w:b/>
        </w:rPr>
        <w:t>Các mặt hoạt động khác</w:t>
      </w:r>
      <w:r w:rsidR="005972F1" w:rsidRPr="00180279">
        <w:tab/>
      </w:r>
    </w:p>
    <w:p w:rsidR="007271F7" w:rsidRPr="007E0500" w:rsidRDefault="007271F7" w:rsidP="007E0500">
      <w:pPr>
        <w:pStyle w:val="ListParagraph"/>
        <w:numPr>
          <w:ilvl w:val="0"/>
          <w:numId w:val="20"/>
        </w:numPr>
        <w:spacing w:before="120" w:after="120"/>
        <w:ind w:right="120"/>
        <w:jc w:val="both"/>
        <w:divId w:val="230509408"/>
        <w:rPr>
          <w:rFonts w:asciiTheme="majorHAnsi" w:hAnsiTheme="majorHAnsi" w:cstheme="majorHAnsi"/>
          <w:sz w:val="24"/>
        </w:rPr>
      </w:pPr>
      <w:r w:rsidRPr="007E0500">
        <w:rPr>
          <w:rFonts w:asciiTheme="majorHAnsi" w:hAnsiTheme="majorHAnsi" w:cstheme="majorHAnsi"/>
          <w:sz w:val="24"/>
        </w:rPr>
        <w:t xml:space="preserve">Quy trình nghiệp vụ: đã rà soát, sửa đổi, hoàn thiện quy trình quản lý nghiệp vụ, quy trình bồi thường. Tiếp tục triển khai các công việc liên quan đến Nat Cat Modeling. </w:t>
      </w:r>
      <w:r w:rsidR="000812E1" w:rsidRPr="007E0500">
        <w:rPr>
          <w:rFonts w:asciiTheme="majorHAnsi" w:hAnsiTheme="majorHAnsi" w:cstheme="majorHAnsi"/>
          <w:sz w:val="24"/>
        </w:rPr>
        <w:t xml:space="preserve">Phối hợp với Swiss Re nghiên cứu Phương pháp trích lập dự phòng nghiệp vụ. Đẩy mạnh hoạt động của các ban không chuyên như: Pháp chế, kiểm toán nội bộ, thành lập ban xử lý nợ. Đẩy mạnh công tác hoạt động </w:t>
      </w:r>
      <w:proofErr w:type="gramStart"/>
      <w:r w:rsidR="000812E1" w:rsidRPr="007E0500">
        <w:rPr>
          <w:rFonts w:asciiTheme="majorHAnsi" w:hAnsiTheme="majorHAnsi" w:cstheme="majorHAnsi"/>
          <w:sz w:val="24"/>
        </w:rPr>
        <w:t>Marketing</w:t>
      </w:r>
      <w:proofErr w:type="gramEnd"/>
      <w:r w:rsidR="000812E1" w:rsidRPr="007E0500">
        <w:rPr>
          <w:rFonts w:asciiTheme="majorHAnsi" w:hAnsiTheme="majorHAnsi" w:cstheme="majorHAnsi"/>
          <w:sz w:val="24"/>
        </w:rPr>
        <w:t xml:space="preserve"> trong nước và nước ngoài.</w:t>
      </w:r>
    </w:p>
    <w:p w:rsidR="000812E1" w:rsidRPr="007E0500" w:rsidRDefault="000812E1" w:rsidP="007E0500">
      <w:pPr>
        <w:pStyle w:val="ListParagraph"/>
        <w:numPr>
          <w:ilvl w:val="0"/>
          <w:numId w:val="20"/>
        </w:numPr>
        <w:spacing w:before="120" w:after="120"/>
        <w:ind w:right="120"/>
        <w:jc w:val="both"/>
        <w:divId w:val="230509408"/>
        <w:rPr>
          <w:rFonts w:asciiTheme="majorHAnsi" w:hAnsiTheme="majorHAnsi" w:cstheme="majorHAnsi"/>
          <w:sz w:val="24"/>
        </w:rPr>
      </w:pPr>
      <w:r w:rsidRPr="007E0500">
        <w:rPr>
          <w:rFonts w:asciiTheme="majorHAnsi" w:hAnsiTheme="majorHAnsi" w:cstheme="majorHAnsi"/>
          <w:sz w:val="24"/>
        </w:rPr>
        <w:t xml:space="preserve">Công tác quản lý rủi ro: Sử dụng chương trình Ricasso phục vụ đánh giá sếp hạng và nghiệp vụ, tham gia tình toán số liệu trích lập dự phòng. Chủ động tham gia đánh giá rủi ro các nhà máy khách hàng lớn nâng cao vị thế của Vinare với khách hàng. </w:t>
      </w:r>
    </w:p>
    <w:p w:rsidR="007271F7" w:rsidRPr="007E0500" w:rsidRDefault="007271F7" w:rsidP="007E0500">
      <w:pPr>
        <w:pStyle w:val="ListParagraph"/>
        <w:numPr>
          <w:ilvl w:val="0"/>
          <w:numId w:val="20"/>
        </w:numPr>
        <w:spacing w:before="120" w:after="120"/>
        <w:ind w:right="120"/>
        <w:jc w:val="both"/>
        <w:divId w:val="230509408"/>
        <w:rPr>
          <w:rFonts w:asciiTheme="majorHAnsi" w:hAnsiTheme="majorHAnsi" w:cstheme="majorHAnsi"/>
          <w:sz w:val="24"/>
        </w:rPr>
      </w:pPr>
      <w:r w:rsidRPr="007E0500">
        <w:rPr>
          <w:rFonts w:asciiTheme="majorHAnsi" w:hAnsiTheme="majorHAnsi" w:cstheme="majorHAnsi"/>
          <w:sz w:val="24"/>
        </w:rPr>
        <w:t xml:space="preserve">Tổ chức cán bộ, </w:t>
      </w:r>
      <w:proofErr w:type="gramStart"/>
      <w:r w:rsidRPr="007E0500">
        <w:rPr>
          <w:rFonts w:asciiTheme="majorHAnsi" w:hAnsiTheme="majorHAnsi" w:cstheme="majorHAnsi"/>
          <w:sz w:val="24"/>
        </w:rPr>
        <w:t>lao</w:t>
      </w:r>
      <w:proofErr w:type="gramEnd"/>
      <w:r w:rsidRPr="007E0500">
        <w:rPr>
          <w:rFonts w:asciiTheme="majorHAnsi" w:hAnsiTheme="majorHAnsi" w:cstheme="majorHAnsi"/>
          <w:sz w:val="24"/>
        </w:rPr>
        <w:t xml:space="preserve"> động tiền lương, thi đua khen thưởng: thực hiện đúng theo các quy định của TCT đã đề ra. Tiến hành đánh giá kết quả tái cấu trúc bộ máy giai đoạn 2. Đã có kế hoạch đào tạo nội bộ chi tiết để nâng cao năng lực cán bộ của TCT</w:t>
      </w:r>
    </w:p>
    <w:p w:rsidR="007271F7" w:rsidRPr="007E0500" w:rsidRDefault="007271F7" w:rsidP="007E0500">
      <w:pPr>
        <w:pStyle w:val="ListParagraph"/>
        <w:numPr>
          <w:ilvl w:val="0"/>
          <w:numId w:val="20"/>
        </w:numPr>
        <w:spacing w:before="120" w:after="120"/>
        <w:ind w:right="120"/>
        <w:jc w:val="both"/>
        <w:divId w:val="230509408"/>
        <w:rPr>
          <w:rFonts w:asciiTheme="majorHAnsi" w:hAnsiTheme="majorHAnsi" w:cstheme="majorHAnsi"/>
          <w:sz w:val="24"/>
        </w:rPr>
      </w:pPr>
      <w:r w:rsidRPr="007E0500">
        <w:rPr>
          <w:rFonts w:asciiTheme="majorHAnsi" w:hAnsiTheme="majorHAnsi" w:cstheme="majorHAnsi"/>
          <w:sz w:val="24"/>
        </w:rPr>
        <w:t>Công nghệ thông tin: đưa vào vận hành quy trình quản lý và giám sát hoạt động hệ thống công nghệ thông tin của TCT. Hoàn thiện và sửa lỗi còn lại, hỗ trợ người dùng trên WebXL</w:t>
      </w:r>
      <w:r w:rsidR="00E77347" w:rsidRPr="007E0500">
        <w:rPr>
          <w:rFonts w:asciiTheme="majorHAnsi" w:hAnsiTheme="majorHAnsi" w:cstheme="majorHAnsi"/>
          <w:sz w:val="24"/>
        </w:rPr>
        <w:t xml:space="preserve">. </w:t>
      </w:r>
      <w:r w:rsidR="000A5F0B" w:rsidRPr="007E0500">
        <w:rPr>
          <w:rFonts w:asciiTheme="majorHAnsi" w:hAnsiTheme="majorHAnsi" w:cstheme="majorHAnsi"/>
          <w:sz w:val="24"/>
        </w:rPr>
        <w:t>Xây dựng trung tâm dữ liệu</w:t>
      </w:r>
      <w:r w:rsidR="000812E1" w:rsidRPr="007E0500">
        <w:rPr>
          <w:rFonts w:asciiTheme="majorHAnsi" w:hAnsiTheme="majorHAnsi" w:cstheme="majorHAnsi"/>
          <w:sz w:val="24"/>
        </w:rPr>
        <w:t xml:space="preserve"> và kết lối hệ thống WebXl và báo cáo BO.</w:t>
      </w:r>
    </w:p>
    <w:p w:rsidR="00262B69" w:rsidRDefault="007271F7" w:rsidP="007E0500">
      <w:pPr>
        <w:pStyle w:val="ListParagraph"/>
        <w:numPr>
          <w:ilvl w:val="0"/>
          <w:numId w:val="20"/>
        </w:numPr>
        <w:spacing w:before="120" w:after="120"/>
        <w:ind w:right="120"/>
        <w:jc w:val="both"/>
        <w:divId w:val="230509408"/>
        <w:rPr>
          <w:rFonts w:asciiTheme="majorHAnsi" w:hAnsiTheme="majorHAnsi" w:cstheme="majorHAnsi"/>
          <w:sz w:val="24"/>
        </w:rPr>
      </w:pPr>
      <w:r w:rsidRPr="007E0500">
        <w:rPr>
          <w:rFonts w:asciiTheme="majorHAnsi" w:hAnsiTheme="majorHAnsi" w:cstheme="majorHAnsi"/>
          <w:sz w:val="24"/>
        </w:rPr>
        <w:t xml:space="preserve">Tuân thủ và thông báo kịp thời các thông tin bắt buộc phải công bố trên phương tiện truyền thông. Gửi các báo cáo đúng hạn </w:t>
      </w:r>
      <w:proofErr w:type="gramStart"/>
      <w:r w:rsidRPr="007E0500">
        <w:rPr>
          <w:rFonts w:asciiTheme="majorHAnsi" w:hAnsiTheme="majorHAnsi" w:cstheme="majorHAnsi"/>
          <w:sz w:val="24"/>
        </w:rPr>
        <w:t>theo</w:t>
      </w:r>
      <w:proofErr w:type="gramEnd"/>
      <w:r w:rsidRPr="007E0500">
        <w:rPr>
          <w:rFonts w:asciiTheme="majorHAnsi" w:hAnsiTheme="majorHAnsi" w:cstheme="majorHAnsi"/>
          <w:sz w:val="24"/>
        </w:rPr>
        <w:t xml:space="preserve"> quy định về UBCKNN và Sở Giao dịch chứng khoán</w:t>
      </w:r>
      <w:r w:rsidR="009C3D13" w:rsidRPr="007E0500">
        <w:rPr>
          <w:rFonts w:asciiTheme="majorHAnsi" w:hAnsiTheme="majorHAnsi" w:cstheme="majorHAnsi"/>
          <w:sz w:val="24"/>
        </w:rPr>
        <w:t>.</w:t>
      </w:r>
    </w:p>
    <w:p w:rsidR="007E0500" w:rsidRPr="007E0500" w:rsidRDefault="007E0500" w:rsidP="007E0500">
      <w:pPr>
        <w:pStyle w:val="ListParagraph"/>
        <w:numPr>
          <w:ilvl w:val="0"/>
          <w:numId w:val="20"/>
        </w:numPr>
        <w:spacing w:before="120" w:after="120"/>
        <w:ind w:right="120"/>
        <w:jc w:val="both"/>
        <w:divId w:val="230509408"/>
        <w:rPr>
          <w:rFonts w:asciiTheme="majorHAnsi" w:hAnsiTheme="majorHAnsi" w:cstheme="majorHAnsi"/>
          <w:sz w:val="24"/>
        </w:rPr>
      </w:pPr>
    </w:p>
    <w:p w:rsidR="00262B69" w:rsidRPr="00180279" w:rsidRDefault="00262B69" w:rsidP="007E0500">
      <w:pPr>
        <w:pStyle w:val="NormalWeb"/>
        <w:numPr>
          <w:ilvl w:val="0"/>
          <w:numId w:val="21"/>
        </w:numPr>
        <w:spacing w:before="120" w:beforeAutospacing="0" w:after="120" w:afterAutospacing="0"/>
        <w:ind w:left="540" w:right="360" w:hanging="540"/>
        <w:jc w:val="both"/>
        <w:divId w:val="230509408"/>
        <w:rPr>
          <w:b/>
        </w:rPr>
      </w:pPr>
      <w:r w:rsidRPr="00180279">
        <w:rPr>
          <w:b/>
        </w:rPr>
        <w:t>Đánh giá kết quả</w:t>
      </w:r>
    </w:p>
    <w:p w:rsidR="00262B69" w:rsidRPr="00180279" w:rsidRDefault="00262B69" w:rsidP="007E0500">
      <w:pPr>
        <w:pStyle w:val="NormalWeb"/>
        <w:spacing w:before="120" w:beforeAutospacing="0" w:after="120" w:afterAutospacing="0"/>
        <w:ind w:firstLine="600"/>
        <w:jc w:val="both"/>
        <w:divId w:val="230509408"/>
      </w:pPr>
      <w:r w:rsidRPr="00180279">
        <w:t xml:space="preserve">Căn cứ kết quả thẩm định </w:t>
      </w:r>
      <w:r w:rsidR="00E77347" w:rsidRPr="00180279">
        <w:t>trên báo cáo tài chính, báo cáo nghiệp vụ và kết quả làm việc với Ban Tổng Giám đốc</w:t>
      </w:r>
      <w:r w:rsidRPr="00180279">
        <w:t>. Ban kiểm soát đánh giá như sau:</w:t>
      </w:r>
    </w:p>
    <w:p w:rsidR="00262B69" w:rsidRPr="00180279" w:rsidRDefault="00464514" w:rsidP="007E0500">
      <w:pPr>
        <w:pStyle w:val="NormalWeb"/>
        <w:tabs>
          <w:tab w:val="left" w:pos="630"/>
        </w:tabs>
        <w:spacing w:before="120" w:beforeAutospacing="0" w:after="120" w:afterAutospacing="0"/>
        <w:ind w:left="630" w:right="240"/>
        <w:jc w:val="both"/>
        <w:divId w:val="230509408"/>
        <w:rPr>
          <w:b/>
          <w:i/>
        </w:rPr>
      </w:pPr>
      <w:r w:rsidRPr="00180279">
        <w:rPr>
          <w:b/>
          <w:i/>
        </w:rPr>
        <w:t>Về hoạt động kinh doanh:</w:t>
      </w:r>
    </w:p>
    <w:p w:rsidR="005F226D" w:rsidRPr="00180279" w:rsidRDefault="005F226D" w:rsidP="00B92A14">
      <w:pPr>
        <w:pStyle w:val="NormalWeb"/>
        <w:numPr>
          <w:ilvl w:val="0"/>
          <w:numId w:val="22"/>
        </w:numPr>
        <w:spacing w:before="120" w:beforeAutospacing="0" w:after="0" w:afterAutospacing="0"/>
        <w:ind w:left="990"/>
        <w:jc w:val="both"/>
        <w:divId w:val="230509408"/>
      </w:pPr>
      <w:r w:rsidRPr="00180279">
        <w:t xml:space="preserve">Tình hình tài chính lành mạnh, danh mục đầu tư </w:t>
      </w:r>
      <w:proofErr w:type="gramStart"/>
      <w:r w:rsidRPr="00180279">
        <w:t>an</w:t>
      </w:r>
      <w:proofErr w:type="gramEnd"/>
      <w:r w:rsidRPr="00180279">
        <w:t xml:space="preserve"> toàn, mức sinh lời tương đối tốt. </w:t>
      </w:r>
      <w:r w:rsidR="004860C3" w:rsidRPr="00180279">
        <w:t xml:space="preserve">Quản lý công nợ chặt chẽ và đã </w:t>
      </w:r>
      <w:proofErr w:type="gramStart"/>
      <w:r w:rsidR="004860C3" w:rsidRPr="00180279">
        <w:t>thu</w:t>
      </w:r>
      <w:proofErr w:type="gramEnd"/>
      <w:r w:rsidR="004860C3" w:rsidRPr="00180279">
        <w:t xml:space="preserve"> hồi được một số khoản công nợ lớn</w:t>
      </w:r>
      <w:r w:rsidR="000A5F0B" w:rsidRPr="00180279">
        <w:t xml:space="preserve"> mặc dù chưa đạt được như kỳ vọng</w:t>
      </w:r>
      <w:r w:rsidR="004860C3" w:rsidRPr="00180279">
        <w:t>.</w:t>
      </w:r>
    </w:p>
    <w:p w:rsidR="005F226D" w:rsidRPr="00180279" w:rsidRDefault="005F226D" w:rsidP="00B92A14">
      <w:pPr>
        <w:pStyle w:val="NormalWeb"/>
        <w:numPr>
          <w:ilvl w:val="0"/>
          <w:numId w:val="22"/>
        </w:numPr>
        <w:spacing w:before="120" w:beforeAutospacing="0" w:after="0" w:afterAutospacing="0"/>
        <w:ind w:left="990"/>
        <w:jc w:val="both"/>
        <w:divId w:val="230509408"/>
      </w:pPr>
      <w:r w:rsidRPr="00180279">
        <w:t>Tiếp tục đẩy mạnh các dự án nâng cao nghiệp vụ, quản trị điều hành để tiến tới đáp ứng các yêu cầu theo chuẩn mực quốc tế</w:t>
      </w:r>
    </w:p>
    <w:p w:rsidR="00262B69" w:rsidRPr="007E0500" w:rsidRDefault="00464514" w:rsidP="00B92A14">
      <w:pPr>
        <w:pStyle w:val="NormalWeb"/>
        <w:numPr>
          <w:ilvl w:val="0"/>
          <w:numId w:val="22"/>
        </w:numPr>
        <w:spacing w:before="120" w:beforeAutospacing="0" w:after="0" w:afterAutospacing="0"/>
        <w:ind w:left="990"/>
        <w:jc w:val="both"/>
        <w:divId w:val="230509408"/>
      </w:pPr>
      <w:r w:rsidRPr="00180279">
        <w:t>T</w:t>
      </w:r>
      <w:r w:rsidR="00262B69" w:rsidRPr="00180279">
        <w:t>hực hiện nghiêm túc</w:t>
      </w:r>
      <w:r w:rsidRPr="00180279">
        <w:t xml:space="preserve"> các quy định liên quan đến công tác tài chính, trích lập dự phòng đầy đủ và </w:t>
      </w:r>
      <w:proofErr w:type="gramStart"/>
      <w:r w:rsidRPr="00180279">
        <w:t>theo</w:t>
      </w:r>
      <w:proofErr w:type="gramEnd"/>
      <w:r w:rsidRPr="00180279">
        <w:t xml:space="preserve"> nguyên tắc thận trọng.</w:t>
      </w:r>
    </w:p>
    <w:p w:rsidR="00464514" w:rsidRPr="00180279" w:rsidRDefault="00464514" w:rsidP="007E0500">
      <w:pPr>
        <w:pStyle w:val="NormalWeb"/>
        <w:tabs>
          <w:tab w:val="left" w:pos="630"/>
        </w:tabs>
        <w:spacing w:before="120" w:beforeAutospacing="0" w:after="120" w:afterAutospacing="0"/>
        <w:ind w:left="750" w:right="360"/>
        <w:jc w:val="both"/>
        <w:divId w:val="230509408"/>
        <w:rPr>
          <w:b/>
          <w:i/>
        </w:rPr>
      </w:pPr>
      <w:r w:rsidRPr="00180279">
        <w:rPr>
          <w:b/>
          <w:i/>
        </w:rPr>
        <w:t xml:space="preserve">Về Quản trị điều hành: </w:t>
      </w:r>
    </w:p>
    <w:p w:rsidR="00624140" w:rsidRPr="00180279" w:rsidRDefault="00464514" w:rsidP="00B92A14">
      <w:pPr>
        <w:pStyle w:val="NormalWeb"/>
        <w:numPr>
          <w:ilvl w:val="0"/>
          <w:numId w:val="22"/>
        </w:numPr>
        <w:spacing w:before="120" w:beforeAutospacing="0" w:after="0" w:afterAutospacing="0"/>
        <w:ind w:left="1110"/>
        <w:jc w:val="both"/>
        <w:divId w:val="230509408"/>
      </w:pPr>
      <w:r w:rsidRPr="00180279">
        <w:lastRenderedPageBreak/>
        <w:t>Hội đồng quản trị và Ban điều hành sát sao, quan điểm minh bạch rõ ràng</w:t>
      </w:r>
      <w:r w:rsidR="00837B30" w:rsidRPr="00180279">
        <w:t xml:space="preserve">. </w:t>
      </w:r>
    </w:p>
    <w:p w:rsidR="00DE42F3" w:rsidRPr="00180279" w:rsidRDefault="00624140" w:rsidP="00B92A14">
      <w:pPr>
        <w:pStyle w:val="NormalWeb"/>
        <w:numPr>
          <w:ilvl w:val="0"/>
          <w:numId w:val="22"/>
        </w:numPr>
        <w:spacing w:before="120" w:beforeAutospacing="0" w:after="0" w:afterAutospacing="0"/>
        <w:ind w:left="1110"/>
        <w:jc w:val="both"/>
        <w:divId w:val="230509408"/>
      </w:pPr>
      <w:r w:rsidRPr="00180279">
        <w:t>Các vấn đề ra quyết định đều được thảo luận và thông báo đầy đủ tới ban điều hành và Ban kiểm soát</w:t>
      </w:r>
      <w:r w:rsidR="00DE42F3" w:rsidRPr="00180279">
        <w:t>.</w:t>
      </w:r>
    </w:p>
    <w:p w:rsidR="00DE42F3" w:rsidRPr="00180279" w:rsidRDefault="00DE42F3" w:rsidP="00B92A14">
      <w:pPr>
        <w:pStyle w:val="NormalWeb"/>
        <w:numPr>
          <w:ilvl w:val="0"/>
          <w:numId w:val="22"/>
        </w:numPr>
        <w:spacing w:before="120" w:beforeAutospacing="0" w:after="0" w:afterAutospacing="0"/>
        <w:ind w:left="1110"/>
        <w:jc w:val="both"/>
        <w:divId w:val="230509408"/>
      </w:pPr>
      <w:r w:rsidRPr="00180279">
        <w:t>Ban điều hành chấp hành nghiêm túc các Nghị quyết, chỉ đạo từ HĐQT.</w:t>
      </w:r>
    </w:p>
    <w:p w:rsidR="00464514" w:rsidRPr="00180279" w:rsidRDefault="000A29C3" w:rsidP="00B92A14">
      <w:pPr>
        <w:pStyle w:val="NormalWeb"/>
        <w:numPr>
          <w:ilvl w:val="0"/>
          <w:numId w:val="22"/>
        </w:numPr>
        <w:spacing w:before="120" w:beforeAutospacing="0" w:after="0" w:afterAutospacing="0"/>
        <w:ind w:left="1110"/>
        <w:jc w:val="both"/>
        <w:divId w:val="230509408"/>
      </w:pPr>
      <w:r w:rsidRPr="00180279">
        <w:t>Tiếp tục phát huy vị thế là</w:t>
      </w:r>
      <w:r w:rsidR="00837B30" w:rsidRPr="00180279">
        <w:t xml:space="preserve"> đơn vị kết nối, hỗ trợ nghiệp vụ TBH cho thị trường bảo hiểm Việt nam</w:t>
      </w:r>
      <w:r w:rsidR="00940600" w:rsidRPr="00180279">
        <w:t>.</w:t>
      </w:r>
    </w:p>
    <w:p w:rsidR="000A5F0B" w:rsidRPr="00180279" w:rsidRDefault="000A5F0B" w:rsidP="00B92A14">
      <w:pPr>
        <w:pStyle w:val="NormalWeb"/>
        <w:tabs>
          <w:tab w:val="left" w:pos="630"/>
        </w:tabs>
        <w:spacing w:before="120" w:beforeAutospacing="0" w:after="120" w:afterAutospacing="0"/>
        <w:ind w:left="870" w:right="480" w:hanging="150"/>
        <w:jc w:val="both"/>
        <w:divId w:val="230509408"/>
        <w:rPr>
          <w:b/>
          <w:i/>
        </w:rPr>
      </w:pPr>
      <w:r w:rsidRPr="00180279">
        <w:rPr>
          <w:b/>
          <w:i/>
        </w:rPr>
        <w:t>Về Quản lý tài chính:</w:t>
      </w:r>
    </w:p>
    <w:p w:rsidR="000A5F0B" w:rsidRPr="00180279" w:rsidRDefault="000A5F0B" w:rsidP="00B92A14">
      <w:pPr>
        <w:pStyle w:val="NormalWeb"/>
        <w:numPr>
          <w:ilvl w:val="0"/>
          <w:numId w:val="22"/>
        </w:numPr>
        <w:spacing w:before="120" w:beforeAutospacing="0" w:after="0" w:afterAutospacing="0"/>
        <w:ind w:left="1230"/>
        <w:jc w:val="both"/>
        <w:divId w:val="230509408"/>
      </w:pPr>
      <w:r w:rsidRPr="00180279">
        <w:t xml:space="preserve">Quản lý công nợ phải </w:t>
      </w:r>
      <w:proofErr w:type="gramStart"/>
      <w:r w:rsidRPr="00180279">
        <w:t>thu</w:t>
      </w:r>
      <w:proofErr w:type="gramEnd"/>
      <w:r w:rsidRPr="00180279">
        <w:t xml:space="preserve"> khách hàng và Phải trả người bán đã được cải thiện tốt: Phải thu khách hàng giảm 434.964 triệu đồng và Phải trả người bán giảm 523.745 triệu đồng.</w:t>
      </w:r>
    </w:p>
    <w:p w:rsidR="000A5F0B" w:rsidRPr="00180279" w:rsidRDefault="000A5F0B" w:rsidP="00B92A14">
      <w:pPr>
        <w:pStyle w:val="NormalWeb"/>
        <w:numPr>
          <w:ilvl w:val="0"/>
          <w:numId w:val="22"/>
        </w:numPr>
        <w:spacing w:before="120" w:beforeAutospacing="0" w:after="0" w:afterAutospacing="0"/>
        <w:ind w:left="1230"/>
        <w:jc w:val="both"/>
        <w:divId w:val="230509408"/>
      </w:pPr>
      <w:r w:rsidRPr="00180279">
        <w:t xml:space="preserve">Dự phòng hoạt động đầu tư tài chính giảm </w:t>
      </w:r>
      <w:r w:rsidR="00891C1D" w:rsidRPr="00180279">
        <w:t>47.456</w:t>
      </w:r>
      <w:r w:rsidRPr="00180279">
        <w:t>triệu đồng, trong đó: hoàn nhập dự phòng TPB là 41</w:t>
      </w:r>
      <w:proofErr w:type="gramStart"/>
      <w:r w:rsidRPr="00180279">
        <w:t>,3</w:t>
      </w:r>
      <w:proofErr w:type="gramEnd"/>
      <w:r w:rsidRPr="00180279">
        <w:t xml:space="preserve"> tỷ đồng, hoàn nhập giảm giá chứng khoán là 7,3 tỷ đồng.</w:t>
      </w:r>
    </w:p>
    <w:p w:rsidR="000A5F0B" w:rsidRPr="00180279" w:rsidRDefault="000A5F0B" w:rsidP="00B92A14">
      <w:pPr>
        <w:pStyle w:val="NormalWeb"/>
        <w:numPr>
          <w:ilvl w:val="0"/>
          <w:numId w:val="22"/>
        </w:numPr>
        <w:spacing w:before="120" w:beforeAutospacing="0" w:after="0" w:afterAutospacing="0"/>
        <w:ind w:left="1230"/>
        <w:jc w:val="both"/>
        <w:divId w:val="230509408"/>
      </w:pPr>
      <w:r w:rsidRPr="00180279">
        <w:t xml:space="preserve">Năm 2014 biên khả năng thanh toán của Tổng Công ty đạt 1.658.040 triệu đồng so với biên khả năng thanh toán tối thiểu </w:t>
      </w:r>
      <w:proofErr w:type="gramStart"/>
      <w:r w:rsidRPr="00180279">
        <w:t>theo</w:t>
      </w:r>
      <w:proofErr w:type="gramEnd"/>
      <w:r w:rsidRPr="00180279">
        <w:t xml:space="preserve"> quy định là 189.057 triệu đồng. Khả năng thanh toán và tỷ suất sinh lợi của Tổng Công ty cũng được cải thiện tốt hơn năm 2013, cụ thể:</w:t>
      </w:r>
    </w:p>
    <w:tbl>
      <w:tblPr>
        <w:tblW w:w="9075" w:type="dxa"/>
        <w:tblInd w:w="93" w:type="dxa"/>
        <w:tblLook w:val="04A0" w:firstRow="1" w:lastRow="0" w:firstColumn="1" w:lastColumn="0" w:noHBand="0" w:noVBand="1"/>
      </w:tblPr>
      <w:tblGrid>
        <w:gridCol w:w="3716"/>
        <w:gridCol w:w="1129"/>
        <w:gridCol w:w="1306"/>
        <w:gridCol w:w="1560"/>
        <w:gridCol w:w="1364"/>
      </w:tblGrid>
      <w:tr w:rsidR="000A5F0B" w:rsidRPr="00180279" w:rsidTr="00B92A14">
        <w:trPr>
          <w:divId w:val="230509408"/>
          <w:trHeight w:val="330"/>
        </w:trPr>
        <w:tc>
          <w:tcPr>
            <w:tcW w:w="3716"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0A5F0B" w:rsidRPr="00180279" w:rsidRDefault="000A5F0B" w:rsidP="007E0500">
            <w:pPr>
              <w:spacing w:before="120" w:after="120"/>
              <w:jc w:val="center"/>
              <w:rPr>
                <w:b/>
                <w:bCs/>
                <w:color w:val="000000"/>
              </w:rPr>
            </w:pPr>
            <w:r w:rsidRPr="00180279">
              <w:rPr>
                <w:b/>
                <w:bCs/>
                <w:color w:val="000000"/>
              </w:rPr>
              <w:t>Chỉ tiêu</w:t>
            </w:r>
          </w:p>
        </w:tc>
        <w:tc>
          <w:tcPr>
            <w:tcW w:w="1129" w:type="dxa"/>
            <w:tcBorders>
              <w:top w:val="single" w:sz="8" w:space="0" w:color="auto"/>
              <w:left w:val="nil"/>
              <w:bottom w:val="single" w:sz="8" w:space="0" w:color="auto"/>
              <w:right w:val="single" w:sz="8" w:space="0" w:color="auto"/>
            </w:tcBorders>
            <w:shd w:val="clear" w:color="auto" w:fill="F2F2F2"/>
            <w:noWrap/>
            <w:vAlign w:val="bottom"/>
            <w:hideMark/>
          </w:tcPr>
          <w:p w:rsidR="000A5F0B" w:rsidRPr="00180279" w:rsidRDefault="000A5F0B" w:rsidP="007E0500">
            <w:pPr>
              <w:spacing w:before="120" w:after="120"/>
              <w:jc w:val="center"/>
              <w:rPr>
                <w:b/>
                <w:bCs/>
                <w:color w:val="000000"/>
              </w:rPr>
            </w:pPr>
            <w:r w:rsidRPr="00180279">
              <w:rPr>
                <w:b/>
                <w:bCs/>
                <w:color w:val="000000"/>
              </w:rPr>
              <w:t>Đơn vị</w:t>
            </w:r>
          </w:p>
        </w:tc>
        <w:tc>
          <w:tcPr>
            <w:tcW w:w="1306" w:type="dxa"/>
            <w:tcBorders>
              <w:top w:val="single" w:sz="8" w:space="0" w:color="auto"/>
              <w:left w:val="nil"/>
              <w:bottom w:val="single" w:sz="8" w:space="0" w:color="auto"/>
              <w:right w:val="single" w:sz="8" w:space="0" w:color="auto"/>
            </w:tcBorders>
            <w:shd w:val="clear" w:color="auto" w:fill="F2F2F2"/>
            <w:noWrap/>
            <w:vAlign w:val="center"/>
            <w:hideMark/>
          </w:tcPr>
          <w:p w:rsidR="000A5F0B" w:rsidRPr="00180279" w:rsidRDefault="000A5F0B" w:rsidP="007E0500">
            <w:pPr>
              <w:spacing w:before="120" w:after="120"/>
              <w:jc w:val="center"/>
              <w:rPr>
                <w:b/>
                <w:bCs/>
                <w:color w:val="000000"/>
              </w:rPr>
            </w:pPr>
            <w:r w:rsidRPr="00180279">
              <w:rPr>
                <w:b/>
                <w:bCs/>
                <w:color w:val="000000"/>
              </w:rPr>
              <w:t>Năm 2013</w:t>
            </w:r>
          </w:p>
        </w:tc>
        <w:tc>
          <w:tcPr>
            <w:tcW w:w="1560" w:type="dxa"/>
            <w:tcBorders>
              <w:top w:val="single" w:sz="8" w:space="0" w:color="auto"/>
              <w:left w:val="nil"/>
              <w:bottom w:val="single" w:sz="8" w:space="0" w:color="auto"/>
              <w:right w:val="single" w:sz="8" w:space="0" w:color="auto"/>
            </w:tcBorders>
            <w:shd w:val="clear" w:color="auto" w:fill="F2F2F2"/>
            <w:noWrap/>
            <w:vAlign w:val="center"/>
            <w:hideMark/>
          </w:tcPr>
          <w:p w:rsidR="000A5F0B" w:rsidRPr="00180279" w:rsidRDefault="000A5F0B" w:rsidP="007E0500">
            <w:pPr>
              <w:spacing w:before="120" w:after="120"/>
              <w:jc w:val="center"/>
              <w:rPr>
                <w:b/>
                <w:bCs/>
                <w:color w:val="000000"/>
              </w:rPr>
            </w:pPr>
            <w:r w:rsidRPr="00180279">
              <w:rPr>
                <w:b/>
                <w:bCs/>
                <w:color w:val="000000"/>
              </w:rPr>
              <w:t>Năm 2014</w:t>
            </w:r>
          </w:p>
        </w:tc>
        <w:tc>
          <w:tcPr>
            <w:tcW w:w="1364" w:type="dxa"/>
            <w:tcBorders>
              <w:top w:val="single" w:sz="8" w:space="0" w:color="auto"/>
              <w:left w:val="nil"/>
              <w:bottom w:val="single" w:sz="8" w:space="0" w:color="auto"/>
              <w:right w:val="single" w:sz="8" w:space="0" w:color="auto"/>
            </w:tcBorders>
            <w:shd w:val="clear" w:color="auto" w:fill="F2F2F2"/>
            <w:noWrap/>
            <w:vAlign w:val="center"/>
            <w:hideMark/>
          </w:tcPr>
          <w:p w:rsidR="000A5F0B" w:rsidRPr="00180279" w:rsidRDefault="000A5F0B" w:rsidP="007E0500">
            <w:pPr>
              <w:spacing w:before="120" w:after="120"/>
              <w:jc w:val="center"/>
              <w:rPr>
                <w:b/>
                <w:bCs/>
                <w:color w:val="000000"/>
              </w:rPr>
            </w:pPr>
            <w:r w:rsidRPr="00180279">
              <w:rPr>
                <w:b/>
                <w:bCs/>
                <w:color w:val="000000"/>
              </w:rPr>
              <w:t>% thay đổi</w:t>
            </w:r>
          </w:p>
        </w:tc>
      </w:tr>
      <w:tr w:rsidR="000A5F0B" w:rsidRPr="00180279" w:rsidTr="00B92A14">
        <w:trPr>
          <w:divId w:val="230509408"/>
          <w:trHeight w:val="374"/>
        </w:trPr>
        <w:tc>
          <w:tcPr>
            <w:tcW w:w="3716" w:type="dxa"/>
            <w:tcBorders>
              <w:top w:val="nil"/>
              <w:left w:val="single" w:sz="8" w:space="0" w:color="auto"/>
              <w:bottom w:val="single" w:sz="8" w:space="0" w:color="auto"/>
              <w:right w:val="single" w:sz="8" w:space="0" w:color="auto"/>
            </w:tcBorders>
            <w:shd w:val="clear" w:color="auto" w:fill="F2F2F2"/>
            <w:vAlign w:val="bottom"/>
            <w:hideMark/>
          </w:tcPr>
          <w:p w:rsidR="000A5F0B" w:rsidRPr="00180279" w:rsidRDefault="000A5F0B" w:rsidP="00B92A14">
            <w:pPr>
              <w:spacing w:before="120"/>
              <w:jc w:val="center"/>
              <w:rPr>
                <w:i/>
                <w:iCs/>
                <w:color w:val="000000"/>
              </w:rPr>
            </w:pPr>
            <w:r w:rsidRPr="00180279">
              <w:rPr>
                <w:i/>
                <w:iCs/>
                <w:color w:val="000000"/>
              </w:rPr>
              <w:t>(1)</w:t>
            </w:r>
          </w:p>
        </w:tc>
        <w:tc>
          <w:tcPr>
            <w:tcW w:w="1129" w:type="dxa"/>
            <w:tcBorders>
              <w:top w:val="nil"/>
              <w:left w:val="nil"/>
              <w:bottom w:val="single" w:sz="8" w:space="0" w:color="auto"/>
              <w:right w:val="single" w:sz="8" w:space="0" w:color="auto"/>
            </w:tcBorders>
            <w:shd w:val="clear" w:color="auto" w:fill="F2F2F2"/>
            <w:noWrap/>
            <w:vAlign w:val="bottom"/>
            <w:hideMark/>
          </w:tcPr>
          <w:p w:rsidR="000A5F0B" w:rsidRPr="00180279" w:rsidRDefault="000A5F0B" w:rsidP="00B92A14">
            <w:pPr>
              <w:spacing w:before="120"/>
              <w:jc w:val="center"/>
              <w:rPr>
                <w:i/>
                <w:iCs/>
                <w:color w:val="000000"/>
              </w:rPr>
            </w:pPr>
            <w:r w:rsidRPr="00180279">
              <w:rPr>
                <w:i/>
                <w:iCs/>
                <w:color w:val="000000"/>
              </w:rPr>
              <w:t>(2)</w:t>
            </w:r>
          </w:p>
        </w:tc>
        <w:tc>
          <w:tcPr>
            <w:tcW w:w="1306" w:type="dxa"/>
            <w:tcBorders>
              <w:top w:val="nil"/>
              <w:left w:val="nil"/>
              <w:bottom w:val="single" w:sz="8" w:space="0" w:color="auto"/>
              <w:right w:val="single" w:sz="8" w:space="0" w:color="auto"/>
            </w:tcBorders>
            <w:shd w:val="clear" w:color="auto" w:fill="F2F2F2"/>
            <w:noWrap/>
            <w:vAlign w:val="bottom"/>
            <w:hideMark/>
          </w:tcPr>
          <w:p w:rsidR="000A5F0B" w:rsidRPr="00180279" w:rsidRDefault="000A5F0B" w:rsidP="00B92A14">
            <w:pPr>
              <w:spacing w:before="120"/>
              <w:jc w:val="center"/>
              <w:rPr>
                <w:i/>
                <w:iCs/>
                <w:color w:val="000000"/>
              </w:rPr>
            </w:pPr>
            <w:r w:rsidRPr="00180279">
              <w:rPr>
                <w:i/>
                <w:iCs/>
                <w:color w:val="000000"/>
              </w:rPr>
              <w:t>(3)</w:t>
            </w:r>
          </w:p>
        </w:tc>
        <w:tc>
          <w:tcPr>
            <w:tcW w:w="1560" w:type="dxa"/>
            <w:tcBorders>
              <w:top w:val="nil"/>
              <w:left w:val="nil"/>
              <w:bottom w:val="single" w:sz="8" w:space="0" w:color="auto"/>
              <w:right w:val="single" w:sz="8" w:space="0" w:color="auto"/>
            </w:tcBorders>
            <w:shd w:val="clear" w:color="auto" w:fill="F2F2F2"/>
            <w:noWrap/>
            <w:vAlign w:val="bottom"/>
            <w:hideMark/>
          </w:tcPr>
          <w:p w:rsidR="000A5F0B" w:rsidRPr="00180279" w:rsidRDefault="000A5F0B" w:rsidP="00B92A14">
            <w:pPr>
              <w:spacing w:before="120"/>
              <w:jc w:val="center"/>
              <w:rPr>
                <w:i/>
                <w:iCs/>
                <w:color w:val="000000"/>
              </w:rPr>
            </w:pPr>
            <w:r w:rsidRPr="00180279">
              <w:rPr>
                <w:i/>
                <w:iCs/>
                <w:color w:val="000000"/>
              </w:rPr>
              <w:t>(4)</w:t>
            </w:r>
          </w:p>
        </w:tc>
        <w:tc>
          <w:tcPr>
            <w:tcW w:w="1364" w:type="dxa"/>
            <w:tcBorders>
              <w:top w:val="nil"/>
              <w:left w:val="nil"/>
              <w:bottom w:val="single" w:sz="8" w:space="0" w:color="auto"/>
              <w:right w:val="single" w:sz="8" w:space="0" w:color="auto"/>
            </w:tcBorders>
            <w:shd w:val="clear" w:color="auto" w:fill="F2F2F2"/>
            <w:noWrap/>
            <w:vAlign w:val="bottom"/>
            <w:hideMark/>
          </w:tcPr>
          <w:p w:rsidR="000A5F0B" w:rsidRPr="00180279" w:rsidRDefault="000A5F0B" w:rsidP="00B92A14">
            <w:pPr>
              <w:spacing w:before="120"/>
              <w:jc w:val="center"/>
              <w:rPr>
                <w:i/>
                <w:iCs/>
                <w:color w:val="000000"/>
              </w:rPr>
            </w:pPr>
            <w:r w:rsidRPr="00180279">
              <w:rPr>
                <w:i/>
                <w:iCs/>
                <w:color w:val="000000"/>
              </w:rPr>
              <w:t>(5)=(4)/(3)</w:t>
            </w:r>
          </w:p>
        </w:tc>
      </w:tr>
      <w:tr w:rsidR="000A5F0B" w:rsidRPr="00180279" w:rsidTr="00B92A14">
        <w:trPr>
          <w:divId w:val="230509408"/>
          <w:trHeight w:val="330"/>
        </w:trPr>
        <w:tc>
          <w:tcPr>
            <w:tcW w:w="3716" w:type="dxa"/>
            <w:tcBorders>
              <w:top w:val="single" w:sz="8" w:space="0" w:color="auto"/>
              <w:left w:val="single" w:sz="8" w:space="0" w:color="auto"/>
              <w:bottom w:val="single" w:sz="8" w:space="0" w:color="auto"/>
              <w:right w:val="single" w:sz="8" w:space="0" w:color="auto"/>
            </w:tcBorders>
            <w:noWrap/>
            <w:vAlign w:val="center"/>
            <w:hideMark/>
          </w:tcPr>
          <w:p w:rsidR="000A5F0B" w:rsidRPr="00180279" w:rsidRDefault="000A5F0B" w:rsidP="00B92A14">
            <w:pPr>
              <w:spacing w:before="120"/>
              <w:rPr>
                <w:color w:val="000000"/>
              </w:rPr>
            </w:pPr>
            <w:r w:rsidRPr="00180279">
              <w:rPr>
                <w:color w:val="000000"/>
              </w:rPr>
              <w:t>Khả năng thanh toán hiện hành</w:t>
            </w:r>
          </w:p>
        </w:tc>
        <w:tc>
          <w:tcPr>
            <w:tcW w:w="1129"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Lần</w:t>
            </w:r>
          </w:p>
        </w:tc>
        <w:tc>
          <w:tcPr>
            <w:tcW w:w="1306"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1,60</w:t>
            </w:r>
          </w:p>
        </w:tc>
        <w:tc>
          <w:tcPr>
            <w:tcW w:w="1560"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1,78</w:t>
            </w:r>
          </w:p>
        </w:tc>
        <w:tc>
          <w:tcPr>
            <w:tcW w:w="1364"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111,3%</w:t>
            </w:r>
          </w:p>
        </w:tc>
      </w:tr>
      <w:tr w:rsidR="000A5F0B" w:rsidRPr="00180279" w:rsidTr="00B92A14">
        <w:trPr>
          <w:divId w:val="230509408"/>
          <w:trHeight w:val="330"/>
        </w:trPr>
        <w:tc>
          <w:tcPr>
            <w:tcW w:w="3716" w:type="dxa"/>
            <w:tcBorders>
              <w:top w:val="single" w:sz="8" w:space="0" w:color="auto"/>
              <w:left w:val="single" w:sz="8" w:space="0" w:color="auto"/>
              <w:bottom w:val="single" w:sz="8" w:space="0" w:color="auto"/>
              <w:right w:val="single" w:sz="8" w:space="0" w:color="auto"/>
            </w:tcBorders>
            <w:noWrap/>
            <w:vAlign w:val="center"/>
            <w:hideMark/>
          </w:tcPr>
          <w:p w:rsidR="000A5F0B" w:rsidRPr="00180279" w:rsidRDefault="000A5F0B" w:rsidP="00B92A14">
            <w:pPr>
              <w:spacing w:before="120"/>
              <w:rPr>
                <w:color w:val="000000"/>
              </w:rPr>
            </w:pPr>
            <w:r w:rsidRPr="00180279">
              <w:rPr>
                <w:color w:val="000000"/>
              </w:rPr>
              <w:t>Khả năng thanh toán nợ ngắn hạn</w:t>
            </w:r>
          </w:p>
        </w:tc>
        <w:tc>
          <w:tcPr>
            <w:tcW w:w="1129"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Lần</w:t>
            </w:r>
          </w:p>
        </w:tc>
        <w:tc>
          <w:tcPr>
            <w:tcW w:w="1306"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1,33</w:t>
            </w:r>
          </w:p>
        </w:tc>
        <w:tc>
          <w:tcPr>
            <w:tcW w:w="1560"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1,46</w:t>
            </w:r>
          </w:p>
        </w:tc>
        <w:tc>
          <w:tcPr>
            <w:tcW w:w="1364"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109,8%</w:t>
            </w:r>
          </w:p>
        </w:tc>
      </w:tr>
      <w:tr w:rsidR="000A5F0B" w:rsidRPr="00180279" w:rsidTr="00B92A14">
        <w:trPr>
          <w:divId w:val="230509408"/>
          <w:trHeight w:val="330"/>
        </w:trPr>
        <w:tc>
          <w:tcPr>
            <w:tcW w:w="3716" w:type="dxa"/>
            <w:tcBorders>
              <w:top w:val="single" w:sz="8" w:space="0" w:color="auto"/>
              <w:left w:val="single" w:sz="8" w:space="0" w:color="auto"/>
              <w:bottom w:val="single" w:sz="8" w:space="0" w:color="auto"/>
              <w:right w:val="single" w:sz="8" w:space="0" w:color="auto"/>
            </w:tcBorders>
            <w:noWrap/>
            <w:vAlign w:val="bottom"/>
            <w:hideMark/>
          </w:tcPr>
          <w:p w:rsidR="000A5F0B" w:rsidRPr="00180279" w:rsidRDefault="000A5F0B" w:rsidP="00B92A14">
            <w:pPr>
              <w:spacing w:before="120"/>
              <w:rPr>
                <w:color w:val="000000"/>
              </w:rPr>
            </w:pPr>
            <w:r w:rsidRPr="00180279">
              <w:rPr>
                <w:color w:val="000000"/>
              </w:rPr>
              <w:t>Khả năng thanh toán nhanh</w:t>
            </w:r>
          </w:p>
        </w:tc>
        <w:tc>
          <w:tcPr>
            <w:tcW w:w="1129"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Lần</w:t>
            </w:r>
          </w:p>
        </w:tc>
        <w:tc>
          <w:tcPr>
            <w:tcW w:w="1306"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0,49</w:t>
            </w:r>
          </w:p>
        </w:tc>
        <w:tc>
          <w:tcPr>
            <w:tcW w:w="1560" w:type="dxa"/>
            <w:tcBorders>
              <w:top w:val="single" w:sz="8" w:space="0" w:color="auto"/>
              <w:left w:val="nil"/>
              <w:bottom w:val="single" w:sz="8" w:space="0" w:color="auto"/>
              <w:right w:val="single" w:sz="8" w:space="0" w:color="auto"/>
            </w:tcBorders>
            <w:noWrap/>
            <w:vAlign w:val="center"/>
            <w:hideMark/>
          </w:tcPr>
          <w:p w:rsidR="000A5F0B" w:rsidRPr="00180279" w:rsidRDefault="000A5F0B" w:rsidP="00B92A14">
            <w:pPr>
              <w:spacing w:before="120"/>
              <w:jc w:val="center"/>
              <w:rPr>
                <w:color w:val="000000"/>
              </w:rPr>
            </w:pPr>
            <w:r w:rsidRPr="00180279">
              <w:rPr>
                <w:color w:val="000000"/>
              </w:rPr>
              <w:t>0,60</w:t>
            </w:r>
          </w:p>
        </w:tc>
        <w:tc>
          <w:tcPr>
            <w:tcW w:w="1364" w:type="dxa"/>
            <w:tcBorders>
              <w:top w:val="single" w:sz="8" w:space="0" w:color="auto"/>
              <w:left w:val="nil"/>
              <w:bottom w:val="single" w:sz="8" w:space="0" w:color="auto"/>
              <w:right w:val="single" w:sz="8" w:space="0" w:color="auto"/>
            </w:tcBorders>
            <w:noWrap/>
            <w:vAlign w:val="bottom"/>
            <w:hideMark/>
          </w:tcPr>
          <w:p w:rsidR="000A5F0B" w:rsidRPr="00180279" w:rsidRDefault="000A5F0B" w:rsidP="00B92A14">
            <w:pPr>
              <w:spacing w:before="120"/>
              <w:jc w:val="center"/>
              <w:rPr>
                <w:color w:val="000000"/>
              </w:rPr>
            </w:pPr>
            <w:r w:rsidRPr="00180279">
              <w:rPr>
                <w:color w:val="000000"/>
              </w:rPr>
              <w:t>122,4%</w:t>
            </w:r>
          </w:p>
        </w:tc>
      </w:tr>
    </w:tbl>
    <w:p w:rsidR="000A5F0B" w:rsidRPr="00180279" w:rsidRDefault="000A5F0B" w:rsidP="007E0500">
      <w:pPr>
        <w:pStyle w:val="NormalWeb"/>
        <w:spacing w:before="120" w:beforeAutospacing="0" w:after="120" w:afterAutospacing="0"/>
        <w:ind w:firstLine="600"/>
        <w:jc w:val="both"/>
        <w:divId w:val="230509408"/>
      </w:pPr>
    </w:p>
    <w:p w:rsidR="005A79ED" w:rsidRPr="00180279" w:rsidRDefault="005A79ED" w:rsidP="00B92A14">
      <w:pPr>
        <w:pStyle w:val="NormalWeb"/>
        <w:spacing w:before="120" w:beforeAutospacing="0" w:after="120" w:afterAutospacing="0"/>
        <w:jc w:val="both"/>
        <w:divId w:val="230509408"/>
        <w:rPr>
          <w:b/>
          <w:bCs/>
        </w:rPr>
      </w:pPr>
      <w:proofErr w:type="gramStart"/>
      <w:r w:rsidRPr="00180279">
        <w:rPr>
          <w:b/>
          <w:bCs/>
        </w:rPr>
        <w:t>C .</w:t>
      </w:r>
      <w:proofErr w:type="gramEnd"/>
      <w:r w:rsidRPr="00180279">
        <w:rPr>
          <w:b/>
          <w:bCs/>
        </w:rPr>
        <w:t xml:space="preserve"> </w:t>
      </w:r>
      <w:r w:rsidR="00C912A2" w:rsidRPr="00180279">
        <w:rPr>
          <w:b/>
          <w:bCs/>
        </w:rPr>
        <w:t>KẾT LUẬN VÀ KHUYẾN NGHỊ</w:t>
      </w:r>
    </w:p>
    <w:p w:rsidR="005F226D" w:rsidRPr="00180279" w:rsidRDefault="005F226D" w:rsidP="00B92A14">
      <w:pPr>
        <w:pStyle w:val="NormalWeb"/>
        <w:numPr>
          <w:ilvl w:val="0"/>
          <w:numId w:val="6"/>
        </w:numPr>
        <w:spacing w:before="120" w:beforeAutospacing="0" w:after="120" w:afterAutospacing="0"/>
        <w:ind w:left="360" w:right="240"/>
        <w:jc w:val="both"/>
        <w:divId w:val="230509408"/>
        <w:rPr>
          <w:b/>
        </w:rPr>
      </w:pPr>
      <w:r w:rsidRPr="00180279">
        <w:rPr>
          <w:b/>
        </w:rPr>
        <w:t>Kết luận</w:t>
      </w:r>
    </w:p>
    <w:p w:rsidR="00E77347" w:rsidRPr="00180279" w:rsidRDefault="005F226D" w:rsidP="00B92A14">
      <w:pPr>
        <w:pStyle w:val="NormalWeb"/>
        <w:numPr>
          <w:ilvl w:val="0"/>
          <w:numId w:val="22"/>
        </w:numPr>
        <w:spacing w:before="120" w:beforeAutospacing="0" w:after="0" w:afterAutospacing="0"/>
        <w:ind w:left="720" w:right="120" w:hanging="270"/>
        <w:jc w:val="both"/>
        <w:divId w:val="230509408"/>
      </w:pPr>
      <w:r w:rsidRPr="00180279">
        <w:t xml:space="preserve">Báo cáo tài chính năm 2014 do công ty TNHH Deloitte Việt Nam kiểm toán gồm 02 phần: Báo cáo tài chính riêng và Báo cáo tài chính hợp nhất. </w:t>
      </w:r>
    </w:p>
    <w:p w:rsidR="005F226D" w:rsidRPr="00180279" w:rsidRDefault="005F226D" w:rsidP="00B92A14">
      <w:pPr>
        <w:pStyle w:val="NormalWeb"/>
        <w:numPr>
          <w:ilvl w:val="0"/>
          <w:numId w:val="22"/>
        </w:numPr>
        <w:spacing w:before="120" w:beforeAutospacing="0" w:after="0" w:afterAutospacing="0"/>
        <w:ind w:left="720" w:right="120" w:hanging="270"/>
        <w:jc w:val="both"/>
        <w:divId w:val="230509408"/>
      </w:pPr>
      <w:r w:rsidRPr="00180279">
        <w:t xml:space="preserve">Báo cáo tài chính phản ánh trung thực tình hình tài chính của VINARE. </w:t>
      </w:r>
    </w:p>
    <w:p w:rsidR="005F226D" w:rsidRPr="00180279" w:rsidRDefault="005F226D" w:rsidP="00B92A14">
      <w:pPr>
        <w:pStyle w:val="NormalWeb"/>
        <w:numPr>
          <w:ilvl w:val="0"/>
          <w:numId w:val="22"/>
        </w:numPr>
        <w:spacing w:before="120" w:beforeAutospacing="0" w:after="0" w:afterAutospacing="0"/>
        <w:ind w:left="720" w:right="120" w:hanging="270"/>
        <w:jc w:val="both"/>
        <w:divId w:val="230509408"/>
      </w:pPr>
      <w:r w:rsidRPr="00180279">
        <w:t>Tổng công ty đã thực hiện nghiêm túc các quy định về quản lý tài chính của Nhà nước, các quy trình và quy chế nội bộ.</w:t>
      </w:r>
    </w:p>
    <w:p w:rsidR="005F226D" w:rsidRPr="00180279" w:rsidRDefault="005F226D" w:rsidP="00B92A14">
      <w:pPr>
        <w:pStyle w:val="NormalWeb"/>
        <w:numPr>
          <w:ilvl w:val="0"/>
          <w:numId w:val="6"/>
        </w:numPr>
        <w:spacing w:before="120" w:beforeAutospacing="0" w:after="120" w:afterAutospacing="0"/>
        <w:ind w:left="480" w:right="360"/>
        <w:jc w:val="both"/>
        <w:divId w:val="230509408"/>
        <w:rPr>
          <w:b/>
        </w:rPr>
      </w:pPr>
      <w:r w:rsidRPr="00180279">
        <w:rPr>
          <w:b/>
        </w:rPr>
        <w:t>Khuyến nghị</w:t>
      </w:r>
    </w:p>
    <w:p w:rsidR="005F226D" w:rsidRPr="00180279" w:rsidRDefault="00E77347" w:rsidP="00B92A14">
      <w:pPr>
        <w:pStyle w:val="NormalWeb"/>
        <w:spacing w:before="120" w:beforeAutospacing="0" w:after="120" w:afterAutospacing="0"/>
        <w:ind w:left="240" w:firstLine="360"/>
        <w:jc w:val="both"/>
        <w:divId w:val="230509408"/>
      </w:pPr>
      <w:r w:rsidRPr="00180279">
        <w:t>Để hoàn thành tốt kế hoạch 2015</w:t>
      </w:r>
      <w:r w:rsidR="004860C3" w:rsidRPr="00180279">
        <w:t xml:space="preserve"> do ĐHĐCĐ giao, Ban kiểm soát kiến nghị HĐQT một </w:t>
      </w:r>
      <w:r w:rsidRPr="00180279">
        <w:t>số nội dung như sau</w:t>
      </w:r>
      <w:r w:rsidR="004860C3" w:rsidRPr="00180279">
        <w:t>:</w:t>
      </w:r>
    </w:p>
    <w:p w:rsidR="000A5F0B" w:rsidRPr="00180279" w:rsidRDefault="000A5F0B" w:rsidP="00B92A14">
      <w:pPr>
        <w:pStyle w:val="NormalWeb"/>
        <w:numPr>
          <w:ilvl w:val="0"/>
          <w:numId w:val="22"/>
        </w:numPr>
        <w:spacing w:before="120" w:beforeAutospacing="0" w:after="0" w:afterAutospacing="0"/>
        <w:ind w:right="240" w:hanging="270"/>
        <w:jc w:val="both"/>
        <w:divId w:val="230509408"/>
      </w:pPr>
      <w:r w:rsidRPr="00180279">
        <w:t>Tiếp tục hoàn thiện hệ thống phần mềm kết nối dữ liệu kế toán với nghiệp vụ để nâng cao hiệu quả công tác quản trị.</w:t>
      </w:r>
    </w:p>
    <w:p w:rsidR="004860C3" w:rsidRPr="00180279" w:rsidRDefault="004860C3" w:rsidP="00B92A14">
      <w:pPr>
        <w:pStyle w:val="NormalWeb"/>
        <w:numPr>
          <w:ilvl w:val="0"/>
          <w:numId w:val="22"/>
        </w:numPr>
        <w:spacing w:before="120" w:beforeAutospacing="0" w:after="0" w:afterAutospacing="0"/>
        <w:ind w:right="240" w:hanging="270"/>
        <w:jc w:val="both"/>
        <w:divId w:val="230509408"/>
      </w:pPr>
      <w:r w:rsidRPr="00180279">
        <w:t>Tích cực rà soát, đôn đốc, thu đòi công nợ khách hàng</w:t>
      </w:r>
    </w:p>
    <w:p w:rsidR="004860C3" w:rsidRPr="00180279" w:rsidRDefault="004860C3" w:rsidP="00B92A14">
      <w:pPr>
        <w:pStyle w:val="NormalWeb"/>
        <w:numPr>
          <w:ilvl w:val="0"/>
          <w:numId w:val="22"/>
        </w:numPr>
        <w:spacing w:before="120" w:beforeAutospacing="0" w:after="0" w:afterAutospacing="0"/>
        <w:ind w:right="240" w:hanging="270"/>
        <w:jc w:val="both"/>
        <w:divId w:val="230509408"/>
      </w:pPr>
      <w:r w:rsidRPr="00180279">
        <w:t>Đánh giá hiệu quả công tác đào tạo, nhất là chi phí cử cán bộ tham gia các khóa đào tạo ở nước ngoài</w:t>
      </w:r>
    </w:p>
    <w:p w:rsidR="004860C3" w:rsidRPr="00180279" w:rsidRDefault="004860C3" w:rsidP="00B92A14">
      <w:pPr>
        <w:pStyle w:val="NormalWeb"/>
        <w:numPr>
          <w:ilvl w:val="0"/>
          <w:numId w:val="22"/>
        </w:numPr>
        <w:spacing w:before="120" w:beforeAutospacing="0" w:after="0" w:afterAutospacing="0"/>
        <w:ind w:right="240" w:hanging="270"/>
        <w:jc w:val="both"/>
        <w:divId w:val="230509408"/>
      </w:pPr>
      <w:r w:rsidRPr="00180279">
        <w:t>Xem xét nâng cao tỷ trọng trái phiếu, công trái để đảm bảo tỷ suất sinh lời dài hạn trong bối cảnh lãi suất tiền gửi đang ở mặt bằng rất thấp và dự báo còn tiếp tục giảm thêm</w:t>
      </w:r>
    </w:p>
    <w:p w:rsidR="000A5F0B" w:rsidRPr="00180279" w:rsidRDefault="000A5F0B" w:rsidP="00B92A14">
      <w:pPr>
        <w:pStyle w:val="NormalWeb"/>
        <w:numPr>
          <w:ilvl w:val="0"/>
          <w:numId w:val="22"/>
        </w:numPr>
        <w:spacing w:before="120" w:beforeAutospacing="0" w:after="0" w:afterAutospacing="0"/>
        <w:ind w:right="240" w:hanging="270"/>
        <w:jc w:val="both"/>
        <w:divId w:val="230509408"/>
      </w:pPr>
      <w:r w:rsidRPr="00180279">
        <w:t>Tăng cường năng lực quản trị rủi ro.</w:t>
      </w:r>
    </w:p>
    <w:p w:rsidR="004860C3" w:rsidRPr="00180279" w:rsidRDefault="004860C3" w:rsidP="00B92A14">
      <w:pPr>
        <w:pStyle w:val="NormalWeb"/>
        <w:numPr>
          <w:ilvl w:val="0"/>
          <w:numId w:val="22"/>
        </w:numPr>
        <w:spacing w:before="120" w:beforeAutospacing="0" w:after="0" w:afterAutospacing="0"/>
        <w:ind w:right="240" w:hanging="270"/>
        <w:jc w:val="both"/>
        <w:divId w:val="230509408"/>
      </w:pPr>
      <w:r w:rsidRPr="00180279">
        <w:lastRenderedPageBreak/>
        <w:t>Chú trọng hơn đến công tác truyền thông, quảng bá thương hiệu, hình ảnh VINARE</w:t>
      </w:r>
    </w:p>
    <w:p w:rsidR="00B92A14" w:rsidRDefault="000F3ED5" w:rsidP="007E0500">
      <w:pPr>
        <w:pStyle w:val="NormalWeb"/>
        <w:spacing w:before="120" w:beforeAutospacing="0" w:after="120" w:afterAutospacing="0"/>
        <w:ind w:left="120" w:right="120" w:firstLine="851"/>
        <w:jc w:val="both"/>
        <w:divId w:val="230509408"/>
      </w:pPr>
      <w:r w:rsidRPr="00180279">
        <w:t>Trên đây là nội dung B</w:t>
      </w:r>
      <w:r w:rsidR="009B6B60" w:rsidRPr="00180279">
        <w:t xml:space="preserve">áo cáo </w:t>
      </w:r>
      <w:r w:rsidRPr="00180279">
        <w:t xml:space="preserve">giám sát hoạt động kinh doanh </w:t>
      </w:r>
      <w:r w:rsidR="00C8561B" w:rsidRPr="00180279">
        <w:t>của VINARE do Ban K</w:t>
      </w:r>
      <w:r w:rsidRPr="00180279">
        <w:t>iểm soát lập và báo cáo</w:t>
      </w:r>
      <w:r w:rsidR="00E77347" w:rsidRPr="00180279">
        <w:t xml:space="preserve"> Đại hội đồng cổ đông thường niên 2015</w:t>
      </w:r>
      <w:r w:rsidRPr="00180279">
        <w:t>.</w:t>
      </w:r>
    </w:p>
    <w:p w:rsidR="005B396C" w:rsidRPr="00180279" w:rsidRDefault="005A79ED" w:rsidP="007E0500">
      <w:pPr>
        <w:pStyle w:val="NormalWeb"/>
        <w:spacing w:before="120" w:beforeAutospacing="0" w:after="120" w:afterAutospacing="0"/>
        <w:ind w:left="120" w:right="120" w:firstLine="851"/>
        <w:jc w:val="both"/>
        <w:divId w:val="230509408"/>
      </w:pPr>
      <w:r w:rsidRPr="00180279">
        <w:rPr>
          <w:lang w:val="vi-VN"/>
        </w:rPr>
        <w:tab/>
      </w:r>
      <w:r w:rsidRPr="00180279">
        <w:rPr>
          <w:lang w:val="vi-VN"/>
        </w:rPr>
        <w:tab/>
      </w:r>
    </w:p>
    <w:p w:rsidR="005B396C" w:rsidRPr="00180279" w:rsidRDefault="005B396C" w:rsidP="00B92A14">
      <w:pPr>
        <w:pStyle w:val="NormalWeb"/>
        <w:spacing w:before="120" w:beforeAutospacing="0" w:after="120" w:afterAutospacing="0"/>
        <w:ind w:right="120"/>
        <w:jc w:val="both"/>
        <w:divId w:val="230509408"/>
        <w:rPr>
          <w:b/>
        </w:rPr>
      </w:pPr>
      <w:r w:rsidRPr="00180279">
        <w:rPr>
          <w:b/>
        </w:rPr>
        <w:t xml:space="preserve">PHẦN </w:t>
      </w:r>
      <w:proofErr w:type="gramStart"/>
      <w:r w:rsidRPr="00180279">
        <w:rPr>
          <w:b/>
        </w:rPr>
        <w:t>II :</w:t>
      </w:r>
      <w:proofErr w:type="gramEnd"/>
      <w:r w:rsidRPr="00180279">
        <w:rPr>
          <w:b/>
        </w:rPr>
        <w:t xml:space="preserve"> BÁO CÁO ĐÁNH GIÁ</w:t>
      </w:r>
      <w:r w:rsidR="00B92A14">
        <w:rPr>
          <w:b/>
        </w:rPr>
        <w:t xml:space="preserve"> CÔNG TÁC NHIỆM KỲ (</w:t>
      </w:r>
      <w:r w:rsidR="00092AEF" w:rsidRPr="00180279">
        <w:rPr>
          <w:b/>
        </w:rPr>
        <w:t>2010</w:t>
      </w:r>
      <w:r w:rsidRPr="00180279">
        <w:rPr>
          <w:b/>
        </w:rPr>
        <w:t xml:space="preserve"> – 20</w:t>
      </w:r>
      <w:r w:rsidR="00092AEF" w:rsidRPr="00180279">
        <w:rPr>
          <w:b/>
        </w:rPr>
        <w:t>14</w:t>
      </w:r>
      <w:r w:rsidRPr="00180279">
        <w:rPr>
          <w:b/>
        </w:rPr>
        <w:t>) CỦA BAN KIỂM SOÁT</w:t>
      </w:r>
    </w:p>
    <w:p w:rsidR="005B396C" w:rsidRPr="00B92A14" w:rsidRDefault="005B396C" w:rsidP="00B92A14">
      <w:pPr>
        <w:pStyle w:val="NormalWeb"/>
        <w:spacing w:before="120" w:beforeAutospacing="0" w:after="120" w:afterAutospacing="0"/>
        <w:ind w:right="120"/>
        <w:divId w:val="230509408"/>
        <w:rPr>
          <w:b/>
          <w:lang w:val="vi-VN"/>
        </w:rPr>
      </w:pPr>
      <w:r w:rsidRPr="00B92A14">
        <w:rPr>
          <w:b/>
          <w:lang w:val="vi-VN"/>
        </w:rPr>
        <w:t>I.</w:t>
      </w:r>
      <w:r w:rsidRPr="00180279">
        <w:rPr>
          <w:b/>
          <w:i/>
          <w:lang w:val="vi-VN"/>
        </w:rPr>
        <w:t xml:space="preserve"> </w:t>
      </w:r>
      <w:r w:rsidRPr="00B92A14">
        <w:rPr>
          <w:b/>
          <w:lang w:val="vi-VN"/>
        </w:rPr>
        <w:t>Cơ cấu của Ban kiểm soát:</w:t>
      </w:r>
    </w:p>
    <w:p w:rsidR="005B396C" w:rsidRPr="00180279" w:rsidRDefault="005B396C" w:rsidP="007E0500">
      <w:pPr>
        <w:pStyle w:val="NormalWeb"/>
        <w:spacing w:before="120" w:beforeAutospacing="0" w:after="120" w:afterAutospacing="0"/>
        <w:ind w:left="120" w:right="120" w:firstLine="851"/>
        <w:jc w:val="both"/>
        <w:divId w:val="230509408"/>
      </w:pPr>
      <w:r w:rsidRPr="00180279">
        <w:t xml:space="preserve">Ban kiểm soát Tổng công ty cổ phần Tái bảo hiểm quốc gia </w:t>
      </w:r>
      <w:r w:rsidR="00092AEF" w:rsidRPr="00180279">
        <w:t>Việt Nam (VINARE) nhiệm kỳ (2010</w:t>
      </w:r>
      <w:r w:rsidRPr="00180279">
        <w:t xml:space="preserve"> – 20</w:t>
      </w:r>
      <w:r w:rsidR="00092AEF" w:rsidRPr="00180279">
        <w:t>14</w:t>
      </w:r>
      <w:r w:rsidRPr="00180279">
        <w:t>), được bầu ra tại đ</w:t>
      </w:r>
      <w:r w:rsidR="00092AEF" w:rsidRPr="00180279">
        <w:t>ại hội cổ đông thành lập ngày 29/</w:t>
      </w:r>
      <w:r w:rsidRPr="00180279">
        <w:t>0</w:t>
      </w:r>
      <w:r w:rsidR="00092AEF" w:rsidRPr="00180279">
        <w:t>4</w:t>
      </w:r>
      <w:r w:rsidRPr="00180279">
        <w:t>/20</w:t>
      </w:r>
      <w:r w:rsidR="00092AEF" w:rsidRPr="00180279">
        <w:t>10</w:t>
      </w:r>
      <w:r w:rsidRPr="00180279">
        <w:t xml:space="preserve"> gồm các thành viên </w:t>
      </w:r>
      <w:proofErr w:type="gramStart"/>
      <w:r w:rsidRPr="00180279">
        <w:t>sau :</w:t>
      </w:r>
      <w:proofErr w:type="gramEnd"/>
    </w:p>
    <w:p w:rsidR="00BA1943" w:rsidRPr="00180279" w:rsidRDefault="005B396C" w:rsidP="007E0500">
      <w:pPr>
        <w:pStyle w:val="NormalWeb"/>
        <w:spacing w:before="120" w:beforeAutospacing="0" w:after="120" w:afterAutospacing="0"/>
        <w:ind w:left="240" w:right="240" w:firstLine="851"/>
        <w:jc w:val="both"/>
        <w:divId w:val="230509408"/>
      </w:pPr>
      <w:r w:rsidRPr="00180279">
        <w:t>1.</w:t>
      </w:r>
      <w:r w:rsidR="00BA1943" w:rsidRPr="00180279">
        <w:t xml:space="preserve">      </w:t>
      </w:r>
      <w:r w:rsidR="0003573C" w:rsidRPr="00180279">
        <w:t>Bà Nguyễn Thị Thanh Vân</w:t>
      </w:r>
    </w:p>
    <w:p w:rsidR="00BA1943" w:rsidRPr="00180279" w:rsidRDefault="00BA1943" w:rsidP="007E0500">
      <w:pPr>
        <w:pStyle w:val="NormalWeb"/>
        <w:spacing w:before="120" w:beforeAutospacing="0" w:after="120" w:afterAutospacing="0"/>
        <w:ind w:left="240" w:right="240" w:firstLine="851"/>
        <w:jc w:val="both"/>
        <w:divId w:val="230509408"/>
      </w:pPr>
      <w:r w:rsidRPr="00180279">
        <w:t xml:space="preserve">2.      </w:t>
      </w:r>
      <w:r w:rsidR="0003573C" w:rsidRPr="00180279">
        <w:t xml:space="preserve">Bà Adelyn Chen </w:t>
      </w:r>
    </w:p>
    <w:p w:rsidR="00BA1943" w:rsidRPr="00180279" w:rsidRDefault="00BA1943" w:rsidP="007E0500">
      <w:pPr>
        <w:pStyle w:val="NormalWeb"/>
        <w:spacing w:before="120" w:beforeAutospacing="0" w:after="120" w:afterAutospacing="0"/>
        <w:ind w:left="240" w:right="240" w:firstLine="851"/>
        <w:jc w:val="both"/>
        <w:divId w:val="230509408"/>
      </w:pPr>
      <w:r w:rsidRPr="00180279">
        <w:t>3.      Ông Trần Phan Việt Hải</w:t>
      </w:r>
    </w:p>
    <w:p w:rsidR="00BA1943" w:rsidRPr="00180279" w:rsidRDefault="00BA1943" w:rsidP="007E0500">
      <w:pPr>
        <w:pStyle w:val="NormalWeb"/>
        <w:spacing w:before="120" w:beforeAutospacing="0" w:after="120" w:afterAutospacing="0"/>
        <w:ind w:left="240" w:right="240" w:firstLine="851"/>
        <w:jc w:val="both"/>
        <w:divId w:val="230509408"/>
      </w:pPr>
      <w:r w:rsidRPr="00180279">
        <w:t xml:space="preserve">4.      Ông Đỗ Quang Khánh </w:t>
      </w:r>
    </w:p>
    <w:p w:rsidR="00BA1943" w:rsidRPr="00180279" w:rsidRDefault="00BA1943" w:rsidP="007E0500">
      <w:pPr>
        <w:pStyle w:val="NormalWeb"/>
        <w:spacing w:before="120" w:beforeAutospacing="0" w:after="120" w:afterAutospacing="0"/>
        <w:ind w:left="240" w:right="240" w:firstLine="851"/>
        <w:jc w:val="both"/>
        <w:divId w:val="230509408"/>
      </w:pPr>
      <w:r w:rsidRPr="00180279">
        <w:t>5.      Ông Lê Quang Trung</w:t>
      </w:r>
    </w:p>
    <w:p w:rsidR="00BA1943" w:rsidRPr="00180279" w:rsidRDefault="00BA1943" w:rsidP="007E0500">
      <w:pPr>
        <w:pStyle w:val="NormalWeb"/>
        <w:spacing w:before="120" w:beforeAutospacing="0" w:after="120" w:afterAutospacing="0"/>
        <w:ind w:left="120" w:right="360" w:firstLine="709"/>
        <w:jc w:val="both"/>
        <w:divId w:val="230509408"/>
      </w:pPr>
      <w:proofErr w:type="gramStart"/>
      <w:r w:rsidRPr="00180279">
        <w:t>Các thành viên Ban Kiểm soát đã bầu bà Nguyển Thị Thanh Vân làm Trưởng Ban Kiểm soát.</w:t>
      </w:r>
      <w:proofErr w:type="gramEnd"/>
    </w:p>
    <w:p w:rsidR="005B396C" w:rsidRPr="00180279" w:rsidRDefault="00BA1943" w:rsidP="007E0500">
      <w:pPr>
        <w:pStyle w:val="NormalWeb"/>
        <w:spacing w:before="120" w:beforeAutospacing="0" w:after="120" w:afterAutospacing="0"/>
        <w:ind w:left="120" w:right="360" w:firstLine="709"/>
        <w:jc w:val="both"/>
        <w:divId w:val="230509408"/>
      </w:pPr>
      <w:r w:rsidRPr="00180279">
        <w:t>Ngày 03 tháng 03</w:t>
      </w:r>
      <w:r w:rsidR="005B396C" w:rsidRPr="00180279">
        <w:t xml:space="preserve"> năm 20</w:t>
      </w:r>
      <w:r w:rsidRPr="00180279">
        <w:t>13</w:t>
      </w:r>
      <w:r w:rsidR="005B396C" w:rsidRPr="00180279">
        <w:t xml:space="preserve"> </w:t>
      </w:r>
      <w:r w:rsidRPr="00180279">
        <w:t>bà</w:t>
      </w:r>
      <w:r w:rsidR="005B396C" w:rsidRPr="00180279">
        <w:t xml:space="preserve"> </w:t>
      </w:r>
      <w:r w:rsidRPr="00180279">
        <w:t>Nguyễn Thị Thanh Vân</w:t>
      </w:r>
      <w:r w:rsidR="005B396C" w:rsidRPr="00180279">
        <w:t xml:space="preserve"> đã có đơn xin </w:t>
      </w:r>
      <w:r w:rsidRPr="00180279">
        <w:t>từ nhiệm</w:t>
      </w:r>
      <w:r w:rsidR="00BA7283" w:rsidRPr="00180279">
        <w:t xml:space="preserve"> Trưởng ban kiểm soát, đồng thời xin </w:t>
      </w:r>
      <w:r w:rsidR="005B396C" w:rsidRPr="00180279">
        <w:t xml:space="preserve">miễn nhiệm </w:t>
      </w:r>
      <w:r w:rsidR="00BA7283" w:rsidRPr="00180279">
        <w:t>chức danh T</w:t>
      </w:r>
      <w:r w:rsidR="005B396C" w:rsidRPr="00180279">
        <w:t>hành viên Ban kiểm soát.</w:t>
      </w:r>
    </w:p>
    <w:p w:rsidR="005B396C" w:rsidRPr="00180279" w:rsidRDefault="00BA7283" w:rsidP="007E0500">
      <w:pPr>
        <w:pStyle w:val="NormalWeb"/>
        <w:spacing w:before="120" w:beforeAutospacing="0" w:after="120" w:afterAutospacing="0"/>
        <w:ind w:left="120" w:right="360" w:firstLine="709"/>
        <w:jc w:val="both"/>
        <w:divId w:val="230509408"/>
      </w:pPr>
      <w:r w:rsidRPr="00180279">
        <w:t>Ngày 25</w:t>
      </w:r>
      <w:r w:rsidR="005B396C" w:rsidRPr="00180279">
        <w:t xml:space="preserve"> tháng 04 năm 20</w:t>
      </w:r>
      <w:r w:rsidRPr="00180279">
        <w:t>13</w:t>
      </w:r>
      <w:r w:rsidR="005B396C" w:rsidRPr="00180279">
        <w:t xml:space="preserve">, Đại hội cổ đông đã bầu bổ sung </w:t>
      </w:r>
      <w:r w:rsidRPr="00180279">
        <w:t>Ông Trần Trung Tính</w:t>
      </w:r>
      <w:r w:rsidR="005B396C" w:rsidRPr="00180279">
        <w:t xml:space="preserve"> </w:t>
      </w:r>
      <w:r w:rsidRPr="00180279">
        <w:t>–</w:t>
      </w:r>
      <w:r w:rsidR="005B396C" w:rsidRPr="00180279">
        <w:t xml:space="preserve"> </w:t>
      </w:r>
      <w:r w:rsidRPr="00180279">
        <w:t xml:space="preserve">Phó </w:t>
      </w:r>
      <w:r w:rsidR="005B396C" w:rsidRPr="00180279">
        <w:t xml:space="preserve">Tổng giám đốc </w:t>
      </w:r>
      <w:r w:rsidRPr="00180279">
        <w:t>Tổng công ty Bảo hiểm BIDV (BIC)</w:t>
      </w:r>
      <w:r w:rsidR="005B396C" w:rsidRPr="00180279">
        <w:t xml:space="preserve"> là thành viên Ban kiểm soát.</w:t>
      </w:r>
      <w:r w:rsidRPr="00180279">
        <w:t xml:space="preserve"> Ồng Trần Trung Tính sau đó được các thành viên Ban Kiểm soát bầu là Trưởng ban Kiểm soát.</w:t>
      </w:r>
    </w:p>
    <w:p w:rsidR="005B396C" w:rsidRDefault="005B396C" w:rsidP="007E0500">
      <w:pPr>
        <w:pStyle w:val="NormalWeb"/>
        <w:spacing w:before="120" w:beforeAutospacing="0" w:after="120" w:afterAutospacing="0"/>
        <w:ind w:left="120" w:right="120" w:firstLine="851"/>
        <w:divId w:val="230509408"/>
      </w:pPr>
      <w:proofErr w:type="gramStart"/>
      <w:r w:rsidRPr="00180279">
        <w:t>Tính đến thời điểm hiện tại, Ban kiểm soát VINARE gồm 5 thành viên.</w:t>
      </w:r>
      <w:proofErr w:type="gramEnd"/>
    </w:p>
    <w:p w:rsidR="0094688B" w:rsidRPr="00180279" w:rsidRDefault="0094688B" w:rsidP="007E0500">
      <w:pPr>
        <w:pStyle w:val="NormalWeb"/>
        <w:spacing w:before="120" w:beforeAutospacing="0" w:after="120" w:afterAutospacing="0"/>
        <w:ind w:left="120" w:right="120" w:firstLine="851"/>
        <w:divId w:val="230509408"/>
      </w:pPr>
    </w:p>
    <w:p w:rsidR="005B396C" w:rsidRPr="00B92A14" w:rsidRDefault="005B396C" w:rsidP="00B92A14">
      <w:pPr>
        <w:pStyle w:val="NormalWeb"/>
        <w:spacing w:before="120" w:beforeAutospacing="0" w:after="120" w:afterAutospacing="0"/>
        <w:ind w:left="120" w:right="120"/>
        <w:divId w:val="230509408"/>
        <w:rPr>
          <w:b/>
        </w:rPr>
      </w:pPr>
      <w:r w:rsidRPr="00B92A14">
        <w:rPr>
          <w:b/>
        </w:rPr>
        <w:t xml:space="preserve">II. Hoạt động của Ban kiểm soát trong nhiệm kỳ </w:t>
      </w:r>
      <w:proofErr w:type="gramStart"/>
      <w:r w:rsidRPr="00B92A14">
        <w:rPr>
          <w:b/>
        </w:rPr>
        <w:t>( 20</w:t>
      </w:r>
      <w:r w:rsidR="00BA7283" w:rsidRPr="00B92A14">
        <w:rPr>
          <w:b/>
        </w:rPr>
        <w:t>1</w:t>
      </w:r>
      <w:r w:rsidRPr="00B92A14">
        <w:rPr>
          <w:b/>
        </w:rPr>
        <w:t>0</w:t>
      </w:r>
      <w:proofErr w:type="gramEnd"/>
      <w:r w:rsidRPr="00B92A14">
        <w:rPr>
          <w:b/>
        </w:rPr>
        <w:t xml:space="preserve"> – 20</w:t>
      </w:r>
      <w:r w:rsidR="00BA7283" w:rsidRPr="00B92A14">
        <w:rPr>
          <w:b/>
        </w:rPr>
        <w:t>14</w:t>
      </w:r>
      <w:r w:rsidRPr="00B92A14">
        <w:rPr>
          <w:b/>
        </w:rPr>
        <w:t>):</w:t>
      </w:r>
    </w:p>
    <w:p w:rsidR="005B396C" w:rsidRPr="00180279" w:rsidRDefault="005B396C" w:rsidP="00B92A14">
      <w:pPr>
        <w:pStyle w:val="NormalWeb"/>
        <w:spacing w:before="120" w:beforeAutospacing="0" w:after="120" w:afterAutospacing="0"/>
        <w:ind w:left="240" w:right="480" w:firstLine="709"/>
        <w:jc w:val="both"/>
        <w:divId w:val="230509408"/>
      </w:pPr>
      <w:r w:rsidRPr="00180279">
        <w:t>Để hoàn t</w:t>
      </w:r>
      <w:r w:rsidR="00BA7283" w:rsidRPr="00180279">
        <w:t>hành nhiệm vụ kiểm soát mà Đại h</w:t>
      </w:r>
      <w:r w:rsidRPr="00180279">
        <w:t xml:space="preserve">ội </w:t>
      </w:r>
      <w:r w:rsidR="00BA7283" w:rsidRPr="00180279">
        <w:t>đồng cổ đông giao phó, căn cứ theo Luật doanh nghiệp,</w:t>
      </w:r>
      <w:r w:rsidRPr="00180279">
        <w:t xml:space="preserve"> </w:t>
      </w:r>
      <w:r w:rsidR="00BA7283" w:rsidRPr="00180279">
        <w:t xml:space="preserve">Điều lệ tổ chức và hoạt động của Tổng công ty Cổ phần Tái bảo hiểm quốc gia Việt Nam(VINARE), </w:t>
      </w:r>
      <w:r w:rsidRPr="00180279">
        <w:t>Điều lệ Tổng công ty VINARE, Ban kiểm soát Tổng Công ty CP Tái bảo hiểm quốc gia Việt Nam nhiệm kỳ ( 20</w:t>
      </w:r>
      <w:r w:rsidR="00BD53F2" w:rsidRPr="00180279">
        <w:t>1</w:t>
      </w:r>
      <w:r w:rsidRPr="00180279">
        <w:t>0 – 20</w:t>
      </w:r>
      <w:r w:rsidR="00BD53F2" w:rsidRPr="00180279">
        <w:t>14</w:t>
      </w:r>
      <w:r w:rsidRPr="00180279">
        <w:t xml:space="preserve"> ) đã </w:t>
      </w:r>
      <w:r w:rsidR="00BD53F2" w:rsidRPr="00180279">
        <w:t xml:space="preserve">thống nhất và ban hành Phương thức làm việc của Ban Kiểm soát, Phân công công việc trong Ban Kiểm soát và </w:t>
      </w:r>
      <w:r w:rsidRPr="00180279">
        <w:t xml:space="preserve">thực hiện nghiêm túc các công việc như sau: </w:t>
      </w:r>
    </w:p>
    <w:p w:rsidR="0003573C" w:rsidRPr="00180279" w:rsidRDefault="0003573C" w:rsidP="00B92A14">
      <w:pPr>
        <w:pStyle w:val="NormalWeb"/>
        <w:numPr>
          <w:ilvl w:val="0"/>
          <w:numId w:val="23"/>
        </w:numPr>
        <w:spacing w:before="120" w:beforeAutospacing="0" w:after="120" w:afterAutospacing="0"/>
        <w:ind w:left="630" w:right="360" w:hanging="270"/>
        <w:jc w:val="both"/>
        <w:divId w:val="230509408"/>
      </w:pPr>
      <w:r w:rsidRPr="00180279">
        <w:t xml:space="preserve">Tham gia các cuộc họp của HĐQT </w:t>
      </w:r>
    </w:p>
    <w:p w:rsidR="005B396C" w:rsidRPr="00180279" w:rsidRDefault="005B396C" w:rsidP="00B92A14">
      <w:pPr>
        <w:pStyle w:val="NormalWeb"/>
        <w:numPr>
          <w:ilvl w:val="0"/>
          <w:numId w:val="23"/>
        </w:numPr>
        <w:spacing w:before="120" w:beforeAutospacing="0" w:after="120" w:afterAutospacing="0"/>
        <w:ind w:left="630" w:right="360" w:hanging="270"/>
        <w:jc w:val="both"/>
        <w:divId w:val="230509408"/>
      </w:pPr>
      <w:r w:rsidRPr="00180279">
        <w:t>Tổ chức họp Ban kiểm soát định kỳ theo quy định của Luật doanh nghiệp và điều lệ TCTy;</w:t>
      </w:r>
    </w:p>
    <w:p w:rsidR="005B396C" w:rsidRPr="00180279" w:rsidRDefault="005B396C" w:rsidP="00B92A14">
      <w:pPr>
        <w:pStyle w:val="NormalWeb"/>
        <w:numPr>
          <w:ilvl w:val="0"/>
          <w:numId w:val="23"/>
        </w:numPr>
        <w:spacing w:before="120" w:beforeAutospacing="0" w:after="120" w:afterAutospacing="0"/>
        <w:ind w:left="630" w:right="360" w:hanging="270"/>
        <w:jc w:val="both"/>
        <w:divId w:val="230509408"/>
      </w:pPr>
      <w:r w:rsidRPr="00180279">
        <w:t>Tham gia ý kiến về định hướng chiến lược hoạt động kinh doanh của  TCT;</w:t>
      </w:r>
    </w:p>
    <w:p w:rsidR="005B396C" w:rsidRPr="00180279" w:rsidRDefault="005B396C" w:rsidP="00B92A14">
      <w:pPr>
        <w:pStyle w:val="NormalWeb"/>
        <w:numPr>
          <w:ilvl w:val="0"/>
          <w:numId w:val="23"/>
        </w:numPr>
        <w:spacing w:before="120" w:beforeAutospacing="0" w:after="120" w:afterAutospacing="0"/>
        <w:ind w:left="630" w:right="360" w:hanging="270"/>
        <w:jc w:val="both"/>
        <w:divId w:val="230509408"/>
      </w:pPr>
      <w:r w:rsidRPr="00180279">
        <w:t>Thực hiện giám sát HĐQT, Ban TGĐ trong việc quản lý và điều hành TCT;</w:t>
      </w:r>
    </w:p>
    <w:p w:rsidR="005B396C" w:rsidRPr="00180279" w:rsidRDefault="005B396C" w:rsidP="00B92A14">
      <w:pPr>
        <w:pStyle w:val="NormalWeb"/>
        <w:numPr>
          <w:ilvl w:val="0"/>
          <w:numId w:val="23"/>
        </w:numPr>
        <w:spacing w:before="120" w:beforeAutospacing="0" w:after="120" w:afterAutospacing="0"/>
        <w:ind w:left="630" w:right="360" w:hanging="270"/>
        <w:jc w:val="both"/>
        <w:divId w:val="230509408"/>
      </w:pPr>
      <w:r w:rsidRPr="00180279">
        <w:t>Kiểm tra tính hợp lý, hợp pháp, tính trung thực và mức độ cẩn trọng trong quản lý, điều hành hoạt động kinh doanh, trong tổ chức công tác kế toán, thống kê và lập báo cáo tài chính;</w:t>
      </w:r>
    </w:p>
    <w:p w:rsidR="005B396C" w:rsidRPr="00180279" w:rsidRDefault="005B396C" w:rsidP="00B92A14">
      <w:pPr>
        <w:pStyle w:val="NormalWeb"/>
        <w:numPr>
          <w:ilvl w:val="0"/>
          <w:numId w:val="23"/>
        </w:numPr>
        <w:spacing w:before="120" w:beforeAutospacing="0" w:after="120" w:afterAutospacing="0"/>
        <w:ind w:left="630" w:right="360" w:hanging="270"/>
        <w:jc w:val="both"/>
        <w:divId w:val="230509408"/>
      </w:pPr>
      <w:r w:rsidRPr="00180279">
        <w:t>Thẩm định báo cáo tình hình kinh doanh, báo cáo tài chính hàng năm và sáu tháng của TCT;</w:t>
      </w:r>
    </w:p>
    <w:p w:rsidR="005B396C" w:rsidRPr="00180279" w:rsidRDefault="005B396C" w:rsidP="00B92A14">
      <w:pPr>
        <w:pStyle w:val="NormalWeb"/>
        <w:numPr>
          <w:ilvl w:val="0"/>
          <w:numId w:val="23"/>
        </w:numPr>
        <w:spacing w:before="120" w:beforeAutospacing="0" w:after="120" w:afterAutospacing="0"/>
        <w:ind w:left="630" w:right="360" w:hanging="270"/>
        <w:jc w:val="both"/>
        <w:divId w:val="230509408"/>
      </w:pPr>
      <w:r w:rsidRPr="00180279">
        <w:lastRenderedPageBreak/>
        <w:t>Trình báo cáo thẩm định báo cáo tài chính, báo cáo kết quả kinh doanh hàng năm lên đại hội đồng cổ đông tại cuộc họp thường niên;</w:t>
      </w:r>
    </w:p>
    <w:p w:rsidR="005B396C" w:rsidRPr="00180279" w:rsidRDefault="005B396C" w:rsidP="00B92A14">
      <w:pPr>
        <w:pStyle w:val="NormalWeb"/>
        <w:numPr>
          <w:ilvl w:val="0"/>
          <w:numId w:val="23"/>
        </w:numPr>
        <w:spacing w:before="120" w:beforeAutospacing="0" w:after="120" w:afterAutospacing="0"/>
        <w:ind w:left="630" w:right="360" w:hanging="270"/>
        <w:jc w:val="both"/>
        <w:divId w:val="230509408"/>
      </w:pPr>
      <w:r w:rsidRPr="00180279">
        <w:t>Xem xét các báo cáo và thư quản lý của tổ chức kiểm toán;</w:t>
      </w:r>
    </w:p>
    <w:p w:rsidR="005B396C" w:rsidRPr="00180279" w:rsidRDefault="005B396C" w:rsidP="00B92A14">
      <w:pPr>
        <w:pStyle w:val="NormalWeb"/>
        <w:numPr>
          <w:ilvl w:val="0"/>
          <w:numId w:val="23"/>
        </w:numPr>
        <w:spacing w:before="120" w:beforeAutospacing="0" w:after="120" w:afterAutospacing="0"/>
        <w:ind w:left="630" w:right="360" w:hanging="270"/>
        <w:jc w:val="both"/>
        <w:divId w:val="230509408"/>
      </w:pPr>
      <w:r w:rsidRPr="00180279">
        <w:t>Xem xét các kế hoạch, báo cáo của TCT về : đầu t</w:t>
      </w:r>
      <w:r w:rsidR="00BD53F2" w:rsidRPr="00180279">
        <w:t>ư;</w:t>
      </w:r>
      <w:r w:rsidRPr="00180279">
        <w:t xml:space="preserve"> các phương án phát triển hợp tác kinh doanh</w:t>
      </w:r>
      <w:r w:rsidR="00BD53F2" w:rsidRPr="00180279">
        <w:t>;</w:t>
      </w:r>
      <w:r w:rsidRPr="00180279">
        <w:t xml:space="preserve"> công tác quản lý tổ chức, lao động tiền lương, thưởng</w:t>
      </w:r>
      <w:r w:rsidR="00BD53F2" w:rsidRPr="00180279">
        <w:t>;</w:t>
      </w:r>
      <w:r w:rsidRPr="00180279">
        <w:t xml:space="preserve"> các chế độ chính sách liên quan đến người lao động và TCT;</w:t>
      </w:r>
    </w:p>
    <w:p w:rsidR="005B396C" w:rsidRDefault="005B396C" w:rsidP="00B92A14">
      <w:pPr>
        <w:pStyle w:val="NormalWeb"/>
        <w:numPr>
          <w:ilvl w:val="0"/>
          <w:numId w:val="23"/>
        </w:numPr>
        <w:spacing w:before="120" w:beforeAutospacing="0" w:after="120" w:afterAutospacing="0"/>
        <w:ind w:left="630" w:right="360" w:hanging="270"/>
        <w:jc w:val="both"/>
        <w:divId w:val="230509408"/>
      </w:pPr>
      <w:r w:rsidRPr="00180279">
        <w:t>Phối hợp chặt chẽ trong hoạt động với HĐQT, Ban TGĐ điều hành và các phòng ban quản lý, nghiệp vụ trong TCT.</w:t>
      </w:r>
    </w:p>
    <w:p w:rsidR="0094688B" w:rsidRPr="00180279" w:rsidRDefault="0094688B" w:rsidP="0094688B">
      <w:pPr>
        <w:pStyle w:val="NormalWeb"/>
        <w:spacing w:before="120" w:beforeAutospacing="0" w:after="120" w:afterAutospacing="0"/>
        <w:ind w:left="630" w:right="360"/>
        <w:jc w:val="both"/>
        <w:divId w:val="230509408"/>
      </w:pPr>
    </w:p>
    <w:p w:rsidR="005B396C" w:rsidRPr="00B92A14" w:rsidRDefault="005B396C" w:rsidP="00B92A14">
      <w:pPr>
        <w:pStyle w:val="NormalWeb"/>
        <w:spacing w:before="120" w:beforeAutospacing="0" w:after="120" w:afterAutospacing="0"/>
        <w:ind w:left="120" w:right="120" w:hanging="120"/>
        <w:divId w:val="230509408"/>
        <w:rPr>
          <w:b/>
          <w:lang w:val="ru-RU"/>
        </w:rPr>
      </w:pPr>
      <w:r w:rsidRPr="00B92A14">
        <w:rPr>
          <w:b/>
        </w:rPr>
        <w:t>III</w:t>
      </w:r>
      <w:r w:rsidRPr="00B92A14">
        <w:rPr>
          <w:b/>
          <w:lang w:val="ru-RU"/>
        </w:rPr>
        <w:t>. Đá</w:t>
      </w:r>
      <w:r w:rsidRPr="00B92A14">
        <w:rPr>
          <w:b/>
        </w:rPr>
        <w:t>nh</w:t>
      </w:r>
      <w:r w:rsidRPr="00B92A14">
        <w:rPr>
          <w:b/>
          <w:lang w:val="ru-RU"/>
        </w:rPr>
        <w:t xml:space="preserve"> </w:t>
      </w:r>
      <w:r w:rsidRPr="00B92A14">
        <w:rPr>
          <w:b/>
        </w:rPr>
        <w:t>gi</w:t>
      </w:r>
      <w:r w:rsidRPr="00B92A14">
        <w:rPr>
          <w:b/>
          <w:lang w:val="ru-RU"/>
        </w:rPr>
        <w:t xml:space="preserve">á </w:t>
      </w:r>
      <w:r w:rsidRPr="00B92A14">
        <w:rPr>
          <w:b/>
        </w:rPr>
        <w:t>kết</w:t>
      </w:r>
      <w:r w:rsidRPr="00B92A14">
        <w:rPr>
          <w:b/>
          <w:lang w:val="ru-RU"/>
        </w:rPr>
        <w:t xml:space="preserve"> </w:t>
      </w:r>
      <w:r w:rsidRPr="00B92A14">
        <w:rPr>
          <w:b/>
        </w:rPr>
        <w:t>quả</w:t>
      </w:r>
      <w:r w:rsidRPr="00B92A14">
        <w:rPr>
          <w:b/>
          <w:lang w:val="ru-RU"/>
        </w:rPr>
        <w:t xml:space="preserve"> </w:t>
      </w:r>
      <w:r w:rsidRPr="00B92A14">
        <w:rPr>
          <w:b/>
        </w:rPr>
        <w:t>hoạt</w:t>
      </w:r>
      <w:r w:rsidRPr="00B92A14">
        <w:rPr>
          <w:b/>
          <w:lang w:val="ru-RU"/>
        </w:rPr>
        <w:t xml:space="preserve"> đ</w:t>
      </w:r>
      <w:r w:rsidRPr="00B92A14">
        <w:rPr>
          <w:b/>
        </w:rPr>
        <w:t>ộng</w:t>
      </w:r>
      <w:r w:rsidRPr="00B92A14">
        <w:rPr>
          <w:b/>
          <w:lang w:val="ru-RU"/>
        </w:rPr>
        <w:t xml:space="preserve"> </w:t>
      </w:r>
      <w:r w:rsidRPr="00B92A14">
        <w:rPr>
          <w:b/>
        </w:rPr>
        <w:t>của</w:t>
      </w:r>
      <w:r w:rsidRPr="00B92A14">
        <w:rPr>
          <w:b/>
          <w:lang w:val="ru-RU"/>
        </w:rPr>
        <w:t xml:space="preserve"> </w:t>
      </w:r>
      <w:r w:rsidRPr="00B92A14">
        <w:rPr>
          <w:b/>
        </w:rPr>
        <w:t>BKS</w:t>
      </w:r>
      <w:r w:rsidRPr="00B92A14">
        <w:rPr>
          <w:b/>
          <w:lang w:val="ru-RU"/>
        </w:rPr>
        <w:t xml:space="preserve"> </w:t>
      </w:r>
      <w:r w:rsidRPr="00B92A14">
        <w:rPr>
          <w:b/>
        </w:rPr>
        <w:t>nhiệm</w:t>
      </w:r>
      <w:r w:rsidRPr="00B92A14">
        <w:rPr>
          <w:b/>
          <w:lang w:val="ru-RU"/>
        </w:rPr>
        <w:t xml:space="preserve"> </w:t>
      </w:r>
      <w:r w:rsidRPr="00B92A14">
        <w:rPr>
          <w:b/>
        </w:rPr>
        <w:t>kỳ</w:t>
      </w:r>
      <w:r w:rsidRPr="00B92A14">
        <w:rPr>
          <w:b/>
          <w:lang w:val="ru-RU"/>
        </w:rPr>
        <w:t xml:space="preserve"> (20</w:t>
      </w:r>
      <w:r w:rsidR="00BD53F2" w:rsidRPr="00B92A14">
        <w:rPr>
          <w:b/>
        </w:rPr>
        <w:t>1</w:t>
      </w:r>
      <w:r w:rsidRPr="00B92A14">
        <w:rPr>
          <w:b/>
          <w:lang w:val="ru-RU"/>
        </w:rPr>
        <w:t>0 – 20</w:t>
      </w:r>
      <w:r w:rsidR="00BD53F2" w:rsidRPr="00B92A14">
        <w:rPr>
          <w:b/>
        </w:rPr>
        <w:t>14</w:t>
      </w:r>
      <w:r w:rsidRPr="00B92A14">
        <w:rPr>
          <w:b/>
          <w:lang w:val="ru-RU"/>
        </w:rPr>
        <w:t>):</w:t>
      </w:r>
    </w:p>
    <w:p w:rsidR="005B396C" w:rsidRPr="00180279" w:rsidRDefault="005B396C" w:rsidP="00B92A14">
      <w:pPr>
        <w:pStyle w:val="NormalWeb"/>
        <w:numPr>
          <w:ilvl w:val="0"/>
          <w:numId w:val="23"/>
        </w:numPr>
        <w:spacing w:before="120" w:beforeAutospacing="0" w:after="120" w:afterAutospacing="0"/>
        <w:ind w:left="630" w:right="480" w:hanging="270"/>
        <w:jc w:val="both"/>
        <w:divId w:val="230509408"/>
      </w:pPr>
      <w:r w:rsidRPr="00180279">
        <w:t xml:space="preserve">Tuân thủ đúng pháp luật, điều lệ </w:t>
      </w:r>
      <w:r w:rsidR="00BD53F2" w:rsidRPr="00180279">
        <w:t xml:space="preserve">Tổng </w:t>
      </w:r>
      <w:r w:rsidRPr="00180279">
        <w:t>công ty, quyết định của</w:t>
      </w:r>
      <w:r w:rsidR="00BD53F2" w:rsidRPr="00180279">
        <w:t xml:space="preserve"> Đ</w:t>
      </w:r>
      <w:r w:rsidRPr="00180279">
        <w:t xml:space="preserve">ại hội </w:t>
      </w:r>
      <w:r w:rsidR="00BD53F2" w:rsidRPr="00180279">
        <w:t xml:space="preserve">đồng </w:t>
      </w:r>
      <w:r w:rsidRPr="00180279">
        <w:t>cổ đông và đạo đức nghề nghiệp trong thực hiện các quyền và nhiệm vụ được giao;</w:t>
      </w:r>
    </w:p>
    <w:p w:rsidR="005B396C" w:rsidRPr="00180279" w:rsidRDefault="005B396C" w:rsidP="00B92A14">
      <w:pPr>
        <w:pStyle w:val="NormalWeb"/>
        <w:numPr>
          <w:ilvl w:val="0"/>
          <w:numId w:val="23"/>
        </w:numPr>
        <w:spacing w:before="120" w:beforeAutospacing="0" w:after="120" w:afterAutospacing="0"/>
        <w:ind w:left="630" w:right="480" w:hanging="270"/>
        <w:jc w:val="both"/>
        <w:divId w:val="230509408"/>
      </w:pPr>
      <w:r w:rsidRPr="00180279">
        <w:t>Thực hiện các quyền và nhiệm vụ được giao trung thực, nghiêm túc đảm bảo lợi ích hợp pháp tối đa của VINARE và các cổ đông;</w:t>
      </w:r>
    </w:p>
    <w:p w:rsidR="005B396C" w:rsidRDefault="005B396C" w:rsidP="00B92A14">
      <w:pPr>
        <w:pStyle w:val="NormalWeb"/>
        <w:numPr>
          <w:ilvl w:val="0"/>
          <w:numId w:val="23"/>
        </w:numPr>
        <w:spacing w:before="120" w:beforeAutospacing="0" w:after="120" w:afterAutospacing="0"/>
        <w:ind w:left="630" w:right="480" w:hanging="270"/>
        <w:jc w:val="both"/>
        <w:divId w:val="230509408"/>
      </w:pPr>
      <w:r w:rsidRPr="00180279">
        <w:t xml:space="preserve">Kết quả kiểm soát và giám sát của Ban Kiểm soát trong nhiệm kỳ đó góp phần </w:t>
      </w:r>
      <w:proofErr w:type="gramStart"/>
      <w:r w:rsidRPr="00180279">
        <w:t>cùng  Hội</w:t>
      </w:r>
      <w:proofErr w:type="gramEnd"/>
      <w:r w:rsidRPr="00180279">
        <w:t xml:space="preserve"> đồng quản trị và Ban Tổng giám đốc điều hành nâng cao năng lực quản trị doanh nghiệp trong chiến lược hoạch định phát triển kinh doanh. </w:t>
      </w:r>
    </w:p>
    <w:p w:rsidR="0094688B" w:rsidRPr="00180279" w:rsidRDefault="0094688B" w:rsidP="0094688B">
      <w:pPr>
        <w:pStyle w:val="NormalWeb"/>
        <w:spacing w:before="120" w:beforeAutospacing="0" w:after="120" w:afterAutospacing="0"/>
        <w:ind w:left="630" w:right="480"/>
        <w:jc w:val="both"/>
        <w:divId w:val="230509408"/>
      </w:pPr>
    </w:p>
    <w:p w:rsidR="005B396C" w:rsidRPr="00180279" w:rsidRDefault="005B396C" w:rsidP="00B92A14">
      <w:pPr>
        <w:pStyle w:val="NormalWeb"/>
        <w:spacing w:before="120" w:beforeAutospacing="0" w:after="120" w:afterAutospacing="0"/>
        <w:ind w:right="120"/>
        <w:divId w:val="230509408"/>
        <w:rPr>
          <w:b/>
          <w:i/>
          <w:lang w:val="ru-RU"/>
        </w:rPr>
      </w:pPr>
      <w:r w:rsidRPr="00180279">
        <w:rPr>
          <w:b/>
          <w:i/>
        </w:rPr>
        <w:t>IV</w:t>
      </w:r>
      <w:r w:rsidRPr="00180279">
        <w:rPr>
          <w:b/>
          <w:i/>
          <w:lang w:val="ru-RU"/>
        </w:rPr>
        <w:t>.</w:t>
      </w:r>
      <w:r w:rsidRPr="00180279">
        <w:rPr>
          <w:b/>
          <w:i/>
        </w:rPr>
        <w:t xml:space="preserve"> </w:t>
      </w:r>
      <w:r w:rsidRPr="00180279">
        <w:rPr>
          <w:b/>
          <w:i/>
          <w:lang w:val="ru-RU"/>
        </w:rPr>
        <w:t>Đá</w:t>
      </w:r>
      <w:r w:rsidRPr="00180279">
        <w:rPr>
          <w:b/>
          <w:i/>
        </w:rPr>
        <w:t>nh</w:t>
      </w:r>
      <w:r w:rsidRPr="00180279">
        <w:rPr>
          <w:b/>
          <w:i/>
          <w:lang w:val="ru-RU"/>
        </w:rPr>
        <w:t xml:space="preserve"> </w:t>
      </w:r>
      <w:r w:rsidRPr="00180279">
        <w:rPr>
          <w:b/>
          <w:i/>
        </w:rPr>
        <w:t>gi</w:t>
      </w:r>
      <w:r w:rsidRPr="00180279">
        <w:rPr>
          <w:b/>
          <w:i/>
          <w:lang w:val="ru-RU"/>
        </w:rPr>
        <w:t xml:space="preserve">á </w:t>
      </w:r>
      <w:r w:rsidRPr="00180279">
        <w:rPr>
          <w:b/>
          <w:i/>
        </w:rPr>
        <w:t>sự</w:t>
      </w:r>
      <w:r w:rsidRPr="00180279">
        <w:rPr>
          <w:b/>
          <w:i/>
          <w:lang w:val="ru-RU"/>
        </w:rPr>
        <w:t xml:space="preserve"> </w:t>
      </w:r>
      <w:r w:rsidRPr="00180279">
        <w:rPr>
          <w:b/>
          <w:i/>
        </w:rPr>
        <w:t>phối</w:t>
      </w:r>
      <w:r w:rsidRPr="00180279">
        <w:rPr>
          <w:b/>
          <w:i/>
          <w:lang w:val="ru-RU"/>
        </w:rPr>
        <w:t xml:space="preserve"> </w:t>
      </w:r>
      <w:r w:rsidRPr="00180279">
        <w:rPr>
          <w:b/>
          <w:i/>
        </w:rPr>
        <w:t>hợp</w:t>
      </w:r>
      <w:r w:rsidRPr="00180279">
        <w:rPr>
          <w:b/>
          <w:i/>
          <w:lang w:val="ru-RU"/>
        </w:rPr>
        <w:t xml:space="preserve"> </w:t>
      </w:r>
      <w:r w:rsidRPr="00180279">
        <w:rPr>
          <w:b/>
          <w:i/>
        </w:rPr>
        <w:t>hoạt</w:t>
      </w:r>
      <w:r w:rsidRPr="00180279">
        <w:rPr>
          <w:b/>
          <w:i/>
          <w:lang w:val="ru-RU"/>
        </w:rPr>
        <w:t xml:space="preserve"> đ</w:t>
      </w:r>
      <w:r w:rsidRPr="00180279">
        <w:rPr>
          <w:b/>
          <w:i/>
        </w:rPr>
        <w:t>ộng</w:t>
      </w:r>
      <w:r w:rsidRPr="00180279">
        <w:rPr>
          <w:b/>
          <w:i/>
          <w:lang w:val="ru-RU"/>
        </w:rPr>
        <w:t xml:space="preserve"> </w:t>
      </w:r>
      <w:r w:rsidRPr="00180279">
        <w:rPr>
          <w:b/>
          <w:i/>
        </w:rPr>
        <w:t>giữa</w:t>
      </w:r>
      <w:r w:rsidRPr="00180279">
        <w:rPr>
          <w:b/>
          <w:i/>
          <w:lang w:val="ru-RU"/>
        </w:rPr>
        <w:t xml:space="preserve"> </w:t>
      </w:r>
      <w:r w:rsidRPr="00180279">
        <w:rPr>
          <w:b/>
          <w:i/>
        </w:rPr>
        <w:t>Ban</w:t>
      </w:r>
      <w:r w:rsidRPr="00180279">
        <w:rPr>
          <w:b/>
          <w:i/>
          <w:lang w:val="ru-RU"/>
        </w:rPr>
        <w:t xml:space="preserve"> </w:t>
      </w:r>
      <w:r w:rsidRPr="00180279">
        <w:rPr>
          <w:b/>
          <w:i/>
        </w:rPr>
        <w:t>kiểm</w:t>
      </w:r>
      <w:r w:rsidRPr="00180279">
        <w:rPr>
          <w:b/>
          <w:i/>
          <w:lang w:val="ru-RU"/>
        </w:rPr>
        <w:t xml:space="preserve"> </w:t>
      </w:r>
      <w:r w:rsidRPr="00180279">
        <w:rPr>
          <w:b/>
          <w:i/>
        </w:rPr>
        <w:t>so</w:t>
      </w:r>
      <w:r w:rsidRPr="00180279">
        <w:rPr>
          <w:b/>
          <w:i/>
          <w:lang w:val="ru-RU"/>
        </w:rPr>
        <w:t>á</w:t>
      </w:r>
      <w:r w:rsidRPr="00180279">
        <w:rPr>
          <w:b/>
          <w:i/>
        </w:rPr>
        <w:t>t</w:t>
      </w:r>
      <w:r w:rsidRPr="00180279">
        <w:rPr>
          <w:b/>
          <w:i/>
          <w:lang w:val="ru-RU"/>
        </w:rPr>
        <w:t xml:space="preserve"> </w:t>
      </w:r>
      <w:r w:rsidRPr="00180279">
        <w:rPr>
          <w:b/>
          <w:i/>
        </w:rPr>
        <w:t>với</w:t>
      </w:r>
      <w:r w:rsidRPr="00180279">
        <w:rPr>
          <w:b/>
          <w:i/>
          <w:lang w:val="ru-RU"/>
        </w:rPr>
        <w:t xml:space="preserve"> </w:t>
      </w:r>
      <w:r w:rsidRPr="00180279">
        <w:rPr>
          <w:b/>
          <w:i/>
        </w:rPr>
        <w:t>Hội</w:t>
      </w:r>
      <w:r w:rsidRPr="00180279">
        <w:rPr>
          <w:b/>
          <w:i/>
          <w:lang w:val="ru-RU"/>
        </w:rPr>
        <w:t xml:space="preserve"> đ</w:t>
      </w:r>
      <w:r w:rsidRPr="00180279">
        <w:rPr>
          <w:b/>
          <w:i/>
        </w:rPr>
        <w:t>ồng</w:t>
      </w:r>
      <w:r w:rsidRPr="00180279">
        <w:rPr>
          <w:b/>
          <w:i/>
          <w:lang w:val="ru-RU"/>
        </w:rPr>
        <w:t xml:space="preserve"> </w:t>
      </w:r>
      <w:r w:rsidRPr="00180279">
        <w:rPr>
          <w:b/>
          <w:i/>
        </w:rPr>
        <w:t>quản</w:t>
      </w:r>
      <w:r w:rsidRPr="00180279">
        <w:rPr>
          <w:b/>
          <w:i/>
          <w:lang w:val="ru-RU"/>
        </w:rPr>
        <w:t xml:space="preserve"> </w:t>
      </w:r>
      <w:r w:rsidRPr="00180279">
        <w:rPr>
          <w:b/>
          <w:i/>
        </w:rPr>
        <w:t>trị</w:t>
      </w:r>
      <w:r w:rsidRPr="00180279">
        <w:rPr>
          <w:b/>
          <w:i/>
          <w:lang w:val="ru-RU"/>
        </w:rPr>
        <w:t xml:space="preserve"> </w:t>
      </w:r>
      <w:r w:rsidRPr="00180279">
        <w:rPr>
          <w:b/>
          <w:i/>
        </w:rPr>
        <w:t>v</w:t>
      </w:r>
      <w:r w:rsidRPr="00180279">
        <w:rPr>
          <w:b/>
          <w:i/>
          <w:lang w:val="ru-RU"/>
        </w:rPr>
        <w:t xml:space="preserve">à </w:t>
      </w:r>
      <w:r w:rsidRPr="00180279">
        <w:rPr>
          <w:b/>
          <w:i/>
        </w:rPr>
        <w:t>Ban</w:t>
      </w:r>
      <w:r w:rsidRPr="00180279">
        <w:rPr>
          <w:b/>
          <w:i/>
          <w:lang w:val="ru-RU"/>
        </w:rPr>
        <w:t xml:space="preserve"> </w:t>
      </w:r>
      <w:r w:rsidRPr="00180279">
        <w:rPr>
          <w:b/>
          <w:i/>
        </w:rPr>
        <w:t>TG</w:t>
      </w:r>
      <w:r w:rsidRPr="00180279">
        <w:rPr>
          <w:b/>
          <w:i/>
          <w:lang w:val="ru-RU"/>
        </w:rPr>
        <w:t>Đ đ</w:t>
      </w:r>
      <w:r w:rsidRPr="00180279">
        <w:rPr>
          <w:b/>
          <w:i/>
        </w:rPr>
        <w:t>iều</w:t>
      </w:r>
      <w:r w:rsidRPr="00180279">
        <w:rPr>
          <w:b/>
          <w:i/>
          <w:lang w:val="ru-RU"/>
        </w:rPr>
        <w:t xml:space="preserve"> </w:t>
      </w:r>
      <w:r w:rsidRPr="00180279">
        <w:rPr>
          <w:b/>
          <w:i/>
        </w:rPr>
        <w:t>h</w:t>
      </w:r>
      <w:r w:rsidRPr="00180279">
        <w:rPr>
          <w:b/>
          <w:i/>
          <w:lang w:val="ru-RU"/>
        </w:rPr>
        <w:t>à</w:t>
      </w:r>
      <w:r w:rsidRPr="00180279">
        <w:rPr>
          <w:b/>
          <w:i/>
        </w:rPr>
        <w:t>nh</w:t>
      </w:r>
      <w:r w:rsidRPr="00180279">
        <w:rPr>
          <w:b/>
          <w:i/>
          <w:lang w:val="ru-RU"/>
        </w:rPr>
        <w:t>:</w:t>
      </w:r>
    </w:p>
    <w:p w:rsidR="005B396C" w:rsidRPr="00180279" w:rsidRDefault="005B396C" w:rsidP="00B92A14">
      <w:pPr>
        <w:pStyle w:val="NormalWeb"/>
        <w:numPr>
          <w:ilvl w:val="0"/>
          <w:numId w:val="23"/>
        </w:numPr>
        <w:spacing w:before="120" w:beforeAutospacing="0" w:after="120" w:afterAutospacing="0"/>
        <w:ind w:left="750" w:right="600" w:hanging="270"/>
        <w:jc w:val="both"/>
        <w:divId w:val="230509408"/>
      </w:pPr>
      <w:r w:rsidRPr="00180279">
        <w:t>Trong suốt nhiệm kỳ hoạt động, Ban kiểm soát được cung cấp đầy đủ các thông tin về các quyết định của Hội đồng quản trị và BTGĐ điều hành, được tạo thuận lợi để thực hiện công tác kiểm soát của ban;</w:t>
      </w:r>
    </w:p>
    <w:p w:rsidR="005B396C" w:rsidRPr="00180279" w:rsidRDefault="005B396C" w:rsidP="00B92A14">
      <w:pPr>
        <w:pStyle w:val="NormalWeb"/>
        <w:numPr>
          <w:ilvl w:val="0"/>
          <w:numId w:val="23"/>
        </w:numPr>
        <w:spacing w:before="120" w:beforeAutospacing="0" w:after="120" w:afterAutospacing="0"/>
        <w:ind w:left="750" w:right="600" w:hanging="270"/>
        <w:jc w:val="both"/>
        <w:divId w:val="230509408"/>
      </w:pPr>
      <w:r w:rsidRPr="00180279">
        <w:t>Hội đồng quản trị, Ban TGĐ điều hành và Ban kiểm soát luôn có sự trao đổi thông tin trong các vấn đề có liên quan đến định hướng của VINARE, bám sát nhiệm vụ được giao để hoàn thành tốt;</w:t>
      </w:r>
    </w:p>
    <w:p w:rsidR="005B396C" w:rsidRPr="00180279" w:rsidRDefault="005B396C" w:rsidP="00B92A14">
      <w:pPr>
        <w:pStyle w:val="NormalWeb"/>
        <w:numPr>
          <w:ilvl w:val="0"/>
          <w:numId w:val="23"/>
        </w:numPr>
        <w:spacing w:before="120" w:beforeAutospacing="0" w:after="120" w:afterAutospacing="0"/>
        <w:ind w:left="750" w:right="600" w:hanging="270"/>
        <w:jc w:val="both"/>
        <w:divId w:val="230509408"/>
      </w:pPr>
      <w:r w:rsidRPr="00180279">
        <w:t>Ban kiểm soát đảm bảo rằng các cuộc họp của HĐQT, các văn bản xin ý kiến các thành viên HĐQT, các nghị quyết của HĐQT luôn tuân thủ các qui định của pháp luật và điều lệ của VINARE;</w:t>
      </w:r>
    </w:p>
    <w:p w:rsidR="005B396C" w:rsidRPr="00180279" w:rsidRDefault="005B396C" w:rsidP="00B92A14">
      <w:pPr>
        <w:pStyle w:val="NormalWeb"/>
        <w:numPr>
          <w:ilvl w:val="0"/>
          <w:numId w:val="23"/>
        </w:numPr>
        <w:spacing w:before="120" w:beforeAutospacing="0" w:after="120" w:afterAutospacing="0"/>
        <w:ind w:left="750" w:right="600" w:hanging="270"/>
        <w:jc w:val="both"/>
        <w:divId w:val="230509408"/>
      </w:pPr>
      <w:r w:rsidRPr="00180279">
        <w:t>Trong nhiệm kỳ</w:t>
      </w:r>
      <w:r w:rsidR="008B548E" w:rsidRPr="00180279">
        <w:t xml:space="preserve"> (</w:t>
      </w:r>
      <w:r w:rsidRPr="00180279">
        <w:t>20</w:t>
      </w:r>
      <w:r w:rsidR="00BD53F2" w:rsidRPr="00180279">
        <w:t>1</w:t>
      </w:r>
      <w:r w:rsidRPr="00180279">
        <w:t>0 – 20</w:t>
      </w:r>
      <w:r w:rsidR="00BD53F2" w:rsidRPr="00180279">
        <w:t>14</w:t>
      </w:r>
      <w:r w:rsidRPr="00180279">
        <w:t xml:space="preserve">): Ban kiểm soát </w:t>
      </w:r>
      <w:r w:rsidR="008B548E" w:rsidRPr="00180279">
        <w:t>thấy rằng</w:t>
      </w:r>
      <w:r w:rsidRPr="00180279">
        <w:t xml:space="preserve"> HĐQT, Ban TGĐ điều hành đ</w:t>
      </w:r>
      <w:r w:rsidR="00BD53F2" w:rsidRPr="00180279">
        <w:t>ã</w:t>
      </w:r>
      <w:r w:rsidRPr="00180279">
        <w:t xml:space="preserve"> hoàn thành </w:t>
      </w:r>
      <w:r w:rsidR="00BD53F2" w:rsidRPr="00180279">
        <w:t xml:space="preserve">xuất sắc </w:t>
      </w:r>
      <w:r w:rsidRPr="00180279">
        <w:t>nhiệm vụ, hoạt động tích cực hiệu quả. HĐQT luôn luôn chỉ đạo kịp thời Ban TG</w:t>
      </w:r>
      <w:r w:rsidR="008B548E" w:rsidRPr="00180279">
        <w:t>Đ điều hành</w:t>
      </w:r>
      <w:r w:rsidRPr="00180279">
        <w:t xml:space="preserve">, nắm bắt kịp thời những cơ hội của thị trường </w:t>
      </w:r>
      <w:r w:rsidR="00BD53F2" w:rsidRPr="00180279">
        <w:t>b</w:t>
      </w:r>
      <w:r w:rsidRPr="00180279">
        <w:t>ảo hiểm</w:t>
      </w:r>
      <w:r w:rsidR="008B548E" w:rsidRPr="00180279">
        <w:t>, đ</w:t>
      </w:r>
      <w:r w:rsidRPr="00180279">
        <w:t xml:space="preserve">ặc biệt trong bối cảnh </w:t>
      </w:r>
      <w:r w:rsidR="00BD53F2" w:rsidRPr="00180279">
        <w:t xml:space="preserve">kinh tế </w:t>
      </w:r>
      <w:r w:rsidR="008B548E" w:rsidRPr="00180279">
        <w:t>có nhiều biến động tiêu cực</w:t>
      </w:r>
      <w:r w:rsidRPr="00180279">
        <w:t xml:space="preserve">, </w:t>
      </w:r>
      <w:r w:rsidR="008B548E" w:rsidRPr="00180279">
        <w:t xml:space="preserve">đã dẫn dắt </w:t>
      </w:r>
      <w:r w:rsidRPr="00180279">
        <w:t>VINARE</w:t>
      </w:r>
      <w:r w:rsidR="00BD53F2" w:rsidRPr="00180279">
        <w:t xml:space="preserve"> </w:t>
      </w:r>
      <w:r w:rsidRPr="00180279">
        <w:t>vượt qua</w:t>
      </w:r>
      <w:r w:rsidR="008B548E" w:rsidRPr="00180279">
        <w:t xml:space="preserve"> khó khăn</w:t>
      </w:r>
      <w:r w:rsidRPr="00180279">
        <w:t xml:space="preserve"> và đảm bảo kinh doanh hiệu quả, an toàn vốn của các cổ đông và Nhà nước;</w:t>
      </w:r>
    </w:p>
    <w:p w:rsidR="005B396C" w:rsidRPr="00180279" w:rsidRDefault="005B396C" w:rsidP="00B92A14">
      <w:pPr>
        <w:pStyle w:val="NormalWeb"/>
        <w:numPr>
          <w:ilvl w:val="0"/>
          <w:numId w:val="23"/>
        </w:numPr>
        <w:spacing w:before="120" w:beforeAutospacing="0" w:after="120" w:afterAutospacing="0"/>
        <w:ind w:left="750" w:right="600" w:hanging="270"/>
        <w:jc w:val="both"/>
        <w:divId w:val="230509408"/>
      </w:pPr>
      <w:r w:rsidRPr="00180279">
        <w:t>HĐQT</w:t>
      </w:r>
      <w:r w:rsidR="00BD53F2" w:rsidRPr="00180279">
        <w:t xml:space="preserve"> đã</w:t>
      </w:r>
      <w:r w:rsidRPr="00180279">
        <w:t xml:space="preserve"> chỉ đạo </w:t>
      </w:r>
      <w:r w:rsidR="008B548E" w:rsidRPr="00180279">
        <w:t xml:space="preserve">sát sao </w:t>
      </w:r>
      <w:r w:rsidRPr="00180279">
        <w:t>việc thực hiện hợp tác với cổ đông chiến lược Swissre, nâng cao năng lực tài chính, năng lực cạnh tranh và vị thế của VINARE trên thị trường bảo hiểm trong và ngoài nước.</w:t>
      </w:r>
    </w:p>
    <w:p w:rsidR="005B396C" w:rsidRPr="00180279" w:rsidRDefault="005B396C" w:rsidP="0094688B">
      <w:pPr>
        <w:pStyle w:val="NormalWeb"/>
        <w:spacing w:before="120" w:beforeAutospacing="0" w:after="120" w:afterAutospacing="0"/>
        <w:ind w:left="120" w:right="120" w:firstLine="600"/>
        <w:divId w:val="230509408"/>
        <w:rPr>
          <w:b/>
          <w:lang w:val="vi-VN"/>
        </w:rPr>
      </w:pPr>
      <w:r w:rsidRPr="00180279">
        <w:rPr>
          <w:b/>
          <w:lang w:val="vi-VN"/>
        </w:rPr>
        <w:t>Kính thưa các quí vị cổ đông</w:t>
      </w:r>
    </w:p>
    <w:p w:rsidR="005B396C" w:rsidRPr="00180279" w:rsidRDefault="005B396C" w:rsidP="007E0500">
      <w:pPr>
        <w:pStyle w:val="NormalWeb"/>
        <w:spacing w:before="120" w:beforeAutospacing="0" w:after="120" w:afterAutospacing="0"/>
        <w:ind w:left="120" w:right="120" w:firstLine="851"/>
        <w:jc w:val="both"/>
        <w:divId w:val="230509408"/>
        <w:rPr>
          <w:lang w:val="vi-VN"/>
        </w:rPr>
      </w:pPr>
      <w:r w:rsidRPr="00180279">
        <w:rPr>
          <w:lang w:val="vi-VN"/>
        </w:rPr>
        <w:t>Ban kiểm soát chúng tôi xin chân thành cám ơn sự tín nhiệm của các cổ đông đã bầu và ủng hộ chúng tôi.</w:t>
      </w:r>
    </w:p>
    <w:p w:rsidR="005B396C" w:rsidRPr="00180279" w:rsidRDefault="005B396C" w:rsidP="007E0500">
      <w:pPr>
        <w:pStyle w:val="NormalWeb"/>
        <w:spacing w:before="120" w:beforeAutospacing="0" w:after="120" w:afterAutospacing="0"/>
        <w:ind w:left="120" w:right="120" w:firstLine="851"/>
        <w:jc w:val="both"/>
        <w:divId w:val="230509408"/>
        <w:rPr>
          <w:lang w:val="vi-VN"/>
        </w:rPr>
      </w:pPr>
      <w:r w:rsidRPr="00180279">
        <w:rPr>
          <w:lang w:val="vi-VN"/>
        </w:rPr>
        <w:t>Ban kiểm soát cũng xin cám ơn HĐQT, B</w:t>
      </w:r>
      <w:r w:rsidR="008B548E" w:rsidRPr="00180279">
        <w:t xml:space="preserve">an </w:t>
      </w:r>
      <w:r w:rsidRPr="00180279">
        <w:rPr>
          <w:lang w:val="vi-VN"/>
        </w:rPr>
        <w:t>TGĐ</w:t>
      </w:r>
      <w:r w:rsidR="008B548E" w:rsidRPr="00180279">
        <w:t xml:space="preserve"> điều hành</w:t>
      </w:r>
      <w:r w:rsidRPr="00180279">
        <w:rPr>
          <w:lang w:val="vi-VN"/>
        </w:rPr>
        <w:t xml:space="preserve"> và tập thể người lao động đặc biệt là các phòng ban</w:t>
      </w:r>
      <w:r w:rsidR="008B548E" w:rsidRPr="00180279">
        <w:t>:</w:t>
      </w:r>
      <w:r w:rsidRPr="00180279">
        <w:rPr>
          <w:lang w:val="vi-VN"/>
        </w:rPr>
        <w:t xml:space="preserve"> kế toán, đầu tư và các phòng nghiệp vụ đã tạo điều kiện thuận lợi nhất để Ban </w:t>
      </w:r>
      <w:r w:rsidR="008B548E" w:rsidRPr="00180279">
        <w:t>K</w:t>
      </w:r>
      <w:r w:rsidRPr="00180279">
        <w:rPr>
          <w:lang w:val="vi-VN"/>
        </w:rPr>
        <w:t>iểm soát hoàn thành nhiệm vụ trong nhiệm kỳ qua.</w:t>
      </w:r>
    </w:p>
    <w:p w:rsidR="005B396C" w:rsidRPr="00180279" w:rsidRDefault="005B396C" w:rsidP="007E0500">
      <w:pPr>
        <w:pStyle w:val="NormalWeb"/>
        <w:spacing w:before="120" w:beforeAutospacing="0" w:after="120" w:afterAutospacing="0"/>
        <w:ind w:left="120" w:right="120" w:firstLine="851"/>
        <w:jc w:val="both"/>
        <w:divId w:val="230509408"/>
        <w:rPr>
          <w:lang w:val="vi-VN"/>
        </w:rPr>
      </w:pPr>
      <w:r w:rsidRPr="00180279">
        <w:rPr>
          <w:lang w:val="vi-VN"/>
        </w:rPr>
        <w:lastRenderedPageBreak/>
        <w:t>Kính chúc đại hội thành công tốt đẹp, chúc các cổ đông sáng suốt lựa chọn các thành viên HĐQT và BKS cho nhiệm kỳ mới vì sự phát triển bền vững của VINARE.</w:t>
      </w:r>
    </w:p>
    <w:p w:rsidR="007B2F54" w:rsidRPr="00180279" w:rsidRDefault="005A79ED" w:rsidP="000812E1">
      <w:pPr>
        <w:pStyle w:val="NormalWeb"/>
        <w:spacing w:before="120" w:beforeAutospacing="0" w:after="120" w:afterAutospacing="0"/>
        <w:ind w:firstLine="851"/>
        <w:jc w:val="both"/>
        <w:divId w:val="230509408"/>
      </w:pPr>
      <w:r w:rsidRPr="00180279">
        <w:rPr>
          <w:lang w:val="vi-VN"/>
        </w:rPr>
        <w:tab/>
      </w:r>
      <w:r w:rsidRPr="00180279">
        <w:rPr>
          <w:lang w:val="vi-VN"/>
        </w:rPr>
        <w:tab/>
      </w:r>
      <w:r w:rsidRPr="00180279">
        <w:rPr>
          <w:lang w:val="vi-VN"/>
        </w:rPr>
        <w:tab/>
      </w:r>
      <w:r w:rsidRPr="00180279">
        <w:rPr>
          <w:lang w:val="vi-VN"/>
        </w:rPr>
        <w:tab/>
      </w:r>
      <w:r w:rsidRPr="00180279">
        <w:rPr>
          <w:lang w:val="vi-VN"/>
        </w:rPr>
        <w:tab/>
      </w:r>
    </w:p>
    <w:p w:rsidR="005A79ED" w:rsidRPr="00180279" w:rsidRDefault="00980608" w:rsidP="00980608">
      <w:pPr>
        <w:pStyle w:val="NormalWeb"/>
        <w:spacing w:before="120" w:beforeAutospacing="0" w:after="120" w:afterAutospacing="0"/>
        <w:ind w:left="5040"/>
        <w:jc w:val="both"/>
        <w:divId w:val="230509408"/>
        <w:rPr>
          <w:b/>
        </w:rPr>
      </w:pPr>
      <w:proofErr w:type="gramStart"/>
      <w:r w:rsidRPr="00180279">
        <w:rPr>
          <w:b/>
        </w:rPr>
        <w:t>TM.</w:t>
      </w:r>
      <w:proofErr w:type="gramEnd"/>
      <w:r w:rsidRPr="00180279">
        <w:rPr>
          <w:b/>
        </w:rPr>
        <w:t xml:space="preserve"> BAN KIỂM SOÁT</w:t>
      </w:r>
    </w:p>
    <w:p w:rsidR="005A79ED" w:rsidRPr="00180279" w:rsidRDefault="005A79ED" w:rsidP="007B2F54">
      <w:pPr>
        <w:pStyle w:val="NormalWeb"/>
        <w:spacing w:before="120" w:beforeAutospacing="0" w:after="120" w:afterAutospacing="0"/>
        <w:ind w:left="360"/>
        <w:jc w:val="both"/>
        <w:divId w:val="230509408"/>
        <w:rPr>
          <w:b/>
        </w:rPr>
      </w:pPr>
      <w:r w:rsidRPr="00180279">
        <w:tab/>
      </w:r>
      <w:r w:rsidRPr="00180279">
        <w:tab/>
      </w:r>
      <w:r w:rsidRPr="00180279">
        <w:tab/>
      </w:r>
      <w:r w:rsidRPr="00180279">
        <w:tab/>
      </w:r>
      <w:r w:rsidRPr="00180279">
        <w:tab/>
      </w:r>
      <w:r w:rsidRPr="00180279">
        <w:tab/>
      </w:r>
      <w:r w:rsidRPr="00180279">
        <w:tab/>
      </w:r>
      <w:r w:rsidR="00980608" w:rsidRPr="00180279">
        <w:tab/>
      </w:r>
      <w:r w:rsidRPr="00180279">
        <w:rPr>
          <w:b/>
        </w:rPr>
        <w:t xml:space="preserve">Trưởng Ban </w:t>
      </w:r>
    </w:p>
    <w:p w:rsidR="005A79ED" w:rsidRPr="00180279" w:rsidRDefault="005A79ED" w:rsidP="007B2F54">
      <w:pPr>
        <w:pStyle w:val="NormalWeb"/>
        <w:spacing w:before="120" w:beforeAutospacing="0" w:after="120" w:afterAutospacing="0"/>
        <w:ind w:left="360"/>
        <w:jc w:val="both"/>
        <w:divId w:val="230509408"/>
        <w:rPr>
          <w:b/>
        </w:rPr>
      </w:pPr>
    </w:p>
    <w:p w:rsidR="00104A32" w:rsidRPr="00180279" w:rsidRDefault="006C7AE7" w:rsidP="006C7AE7">
      <w:pPr>
        <w:pStyle w:val="NormalWeb"/>
        <w:spacing w:before="120" w:beforeAutospacing="0" w:after="120" w:afterAutospacing="0"/>
        <w:ind w:left="4590"/>
        <w:jc w:val="both"/>
        <w:divId w:val="230509408"/>
        <w:rPr>
          <w:b/>
        </w:rPr>
      </w:pPr>
      <w:r>
        <w:rPr>
          <w:noProof/>
        </w:rPr>
        <w:drawing>
          <wp:inline distT="0" distB="0" distL="0" distR="0" wp14:anchorId="49AE1BAC" wp14:editId="37687C10">
            <wp:extent cx="2876550" cy="838200"/>
            <wp:effectExtent l="0" t="0" r="0" b="0"/>
            <wp:docPr id="2" name="Picture 2" descr="C:\Users\chauntm\AppData\Local\Microsoft\Windows\Temporary Internet Files\Content.Word\Tran tring Tinh _ 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untm\AppData\Local\Microsoft\Windows\Temporary Internet Files\Content.Word\Tran tring Tinh _ K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838200"/>
                    </a:xfrm>
                    <a:prstGeom prst="rect">
                      <a:avLst/>
                    </a:prstGeom>
                    <a:noFill/>
                    <a:ln>
                      <a:noFill/>
                    </a:ln>
                  </pic:spPr>
                </pic:pic>
              </a:graphicData>
            </a:graphic>
          </wp:inline>
        </w:drawing>
      </w:r>
    </w:p>
    <w:p w:rsidR="000812E1" w:rsidRPr="00180279" w:rsidRDefault="000812E1" w:rsidP="007B2F54">
      <w:pPr>
        <w:pStyle w:val="NormalWeb"/>
        <w:spacing w:before="120" w:beforeAutospacing="0" w:after="120" w:afterAutospacing="0"/>
        <w:ind w:left="360"/>
        <w:jc w:val="both"/>
        <w:divId w:val="230509408"/>
        <w:rPr>
          <w:b/>
        </w:rPr>
      </w:pPr>
    </w:p>
    <w:p w:rsidR="005A79ED" w:rsidRPr="00180279" w:rsidRDefault="005A79ED" w:rsidP="0094688B">
      <w:pPr>
        <w:pStyle w:val="NormalWeb"/>
        <w:spacing w:before="120" w:beforeAutospacing="0" w:after="120" w:afterAutospacing="0"/>
        <w:ind w:left="360"/>
        <w:jc w:val="both"/>
        <w:divId w:val="230509408"/>
      </w:pPr>
      <w:r w:rsidRPr="00180279">
        <w:rPr>
          <w:b/>
        </w:rPr>
        <w:tab/>
      </w:r>
      <w:r w:rsidRPr="00180279">
        <w:rPr>
          <w:b/>
        </w:rPr>
        <w:tab/>
      </w:r>
      <w:r w:rsidRPr="00180279">
        <w:rPr>
          <w:b/>
        </w:rPr>
        <w:tab/>
      </w:r>
      <w:r w:rsidRPr="00180279">
        <w:rPr>
          <w:b/>
        </w:rPr>
        <w:tab/>
      </w:r>
      <w:r w:rsidRPr="00180279">
        <w:rPr>
          <w:b/>
        </w:rPr>
        <w:tab/>
      </w:r>
      <w:r w:rsidRPr="00180279">
        <w:rPr>
          <w:b/>
        </w:rPr>
        <w:tab/>
      </w:r>
      <w:r w:rsidR="00C8561B" w:rsidRPr="00180279">
        <w:rPr>
          <w:b/>
        </w:rPr>
        <w:tab/>
      </w:r>
      <w:r w:rsidR="0094688B">
        <w:rPr>
          <w:b/>
        </w:rPr>
        <w:t xml:space="preserve">        T</w:t>
      </w:r>
      <w:r w:rsidR="00C8561B" w:rsidRPr="00180279">
        <w:rPr>
          <w:b/>
        </w:rPr>
        <w:t>rần Trung Tính</w:t>
      </w:r>
    </w:p>
    <w:sectPr w:rsidR="005A79ED" w:rsidRPr="00180279" w:rsidSect="000812E1">
      <w:footerReference w:type="default" r:id="rId11"/>
      <w:pgSz w:w="11909" w:h="16834" w:code="9"/>
      <w:pgMar w:top="992" w:right="1111" w:bottom="709" w:left="1440"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B2" w:rsidRDefault="006B59B2" w:rsidP="00FB14E7">
      <w:r>
        <w:separator/>
      </w:r>
    </w:p>
  </w:endnote>
  <w:endnote w:type="continuationSeparator" w:id="0">
    <w:p w:rsidR="006B59B2" w:rsidRDefault="006B59B2" w:rsidP="00FB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8E" w:rsidRDefault="008B548E">
    <w:pPr>
      <w:pStyle w:val="Footer"/>
      <w:jc w:val="center"/>
    </w:pPr>
    <w:r>
      <w:fldChar w:fldCharType="begin"/>
    </w:r>
    <w:r>
      <w:instrText xml:space="preserve"> PAGE   \* MERGEFORMAT </w:instrText>
    </w:r>
    <w:r>
      <w:fldChar w:fldCharType="separate"/>
    </w:r>
    <w:r w:rsidR="00C00261">
      <w:rPr>
        <w:noProof/>
      </w:rPr>
      <w:t>9</w:t>
    </w:r>
    <w:r>
      <w:fldChar w:fldCharType="end"/>
    </w:r>
  </w:p>
  <w:p w:rsidR="008B548E" w:rsidRDefault="008B5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B2" w:rsidRDefault="006B59B2" w:rsidP="00FB14E7">
      <w:r>
        <w:separator/>
      </w:r>
    </w:p>
  </w:footnote>
  <w:footnote w:type="continuationSeparator" w:id="0">
    <w:p w:rsidR="006B59B2" w:rsidRDefault="006B59B2" w:rsidP="00FB1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4C5"/>
    <w:multiLevelType w:val="hybridMultilevel"/>
    <w:tmpl w:val="0B76EB9A"/>
    <w:lvl w:ilvl="0" w:tplc="9B046452">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00D30"/>
    <w:multiLevelType w:val="hybridMultilevel"/>
    <w:tmpl w:val="1648172A"/>
    <w:lvl w:ilvl="0" w:tplc="0409000F">
      <w:start w:val="1"/>
      <w:numFmt w:val="decimal"/>
      <w:lvlText w:val="%1."/>
      <w:lvlJc w:val="left"/>
      <w:pPr>
        <w:ind w:left="2160" w:hanging="360"/>
      </w:pPr>
    </w:lvl>
    <w:lvl w:ilvl="1" w:tplc="213AFE4A">
      <w:start w:val="1"/>
      <w:numFmt w:val="decimal"/>
      <w:lvlText w:val="%2."/>
      <w:lvlJc w:val="left"/>
      <w:pPr>
        <w:ind w:left="450" w:hanging="360"/>
      </w:pPr>
      <w:rPr>
        <w:sz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F22979"/>
    <w:multiLevelType w:val="multilevel"/>
    <w:tmpl w:val="7EC253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99473D8"/>
    <w:multiLevelType w:val="hybridMultilevel"/>
    <w:tmpl w:val="5A1AF9F8"/>
    <w:lvl w:ilvl="0" w:tplc="369C85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25AE3CD2"/>
    <w:multiLevelType w:val="hybridMultilevel"/>
    <w:tmpl w:val="4D6EC9E8"/>
    <w:lvl w:ilvl="0" w:tplc="745C527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D7C39F1"/>
    <w:multiLevelType w:val="hybridMultilevel"/>
    <w:tmpl w:val="4E92A05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nsid w:val="2F60335F"/>
    <w:multiLevelType w:val="hybridMultilevel"/>
    <w:tmpl w:val="21808086"/>
    <w:lvl w:ilvl="0" w:tplc="9B046452">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77327"/>
    <w:multiLevelType w:val="hybridMultilevel"/>
    <w:tmpl w:val="BB5C2D74"/>
    <w:lvl w:ilvl="0" w:tplc="7C9E2C4C">
      <w:start w:val="1"/>
      <w:numFmt w:val="decimal"/>
      <w:lvlText w:val="%1."/>
      <w:lvlJc w:val="left"/>
      <w:pPr>
        <w:ind w:left="1676" w:hanging="360"/>
      </w:pPr>
      <w:rPr>
        <w:rFonts w:hint="default"/>
      </w:rPr>
    </w:lvl>
    <w:lvl w:ilvl="1" w:tplc="04090019" w:tentative="1">
      <w:start w:val="1"/>
      <w:numFmt w:val="lowerLetter"/>
      <w:lvlText w:val="%2."/>
      <w:lvlJc w:val="left"/>
      <w:pPr>
        <w:ind w:left="2396" w:hanging="360"/>
      </w:pPr>
    </w:lvl>
    <w:lvl w:ilvl="2" w:tplc="0409001B" w:tentative="1">
      <w:start w:val="1"/>
      <w:numFmt w:val="lowerRoman"/>
      <w:lvlText w:val="%3."/>
      <w:lvlJc w:val="right"/>
      <w:pPr>
        <w:ind w:left="3116" w:hanging="180"/>
      </w:pPr>
    </w:lvl>
    <w:lvl w:ilvl="3" w:tplc="0409000F" w:tentative="1">
      <w:start w:val="1"/>
      <w:numFmt w:val="decimal"/>
      <w:lvlText w:val="%4."/>
      <w:lvlJc w:val="left"/>
      <w:pPr>
        <w:ind w:left="3836" w:hanging="360"/>
      </w:pPr>
    </w:lvl>
    <w:lvl w:ilvl="4" w:tplc="04090019" w:tentative="1">
      <w:start w:val="1"/>
      <w:numFmt w:val="lowerLetter"/>
      <w:lvlText w:val="%5."/>
      <w:lvlJc w:val="left"/>
      <w:pPr>
        <w:ind w:left="4556" w:hanging="360"/>
      </w:pPr>
    </w:lvl>
    <w:lvl w:ilvl="5" w:tplc="0409001B" w:tentative="1">
      <w:start w:val="1"/>
      <w:numFmt w:val="lowerRoman"/>
      <w:lvlText w:val="%6."/>
      <w:lvlJc w:val="right"/>
      <w:pPr>
        <w:ind w:left="5276" w:hanging="180"/>
      </w:pPr>
    </w:lvl>
    <w:lvl w:ilvl="6" w:tplc="0409000F" w:tentative="1">
      <w:start w:val="1"/>
      <w:numFmt w:val="decimal"/>
      <w:lvlText w:val="%7."/>
      <w:lvlJc w:val="left"/>
      <w:pPr>
        <w:ind w:left="5996" w:hanging="360"/>
      </w:pPr>
    </w:lvl>
    <w:lvl w:ilvl="7" w:tplc="04090019" w:tentative="1">
      <w:start w:val="1"/>
      <w:numFmt w:val="lowerLetter"/>
      <w:lvlText w:val="%8."/>
      <w:lvlJc w:val="left"/>
      <w:pPr>
        <w:ind w:left="6716" w:hanging="360"/>
      </w:pPr>
    </w:lvl>
    <w:lvl w:ilvl="8" w:tplc="0409001B" w:tentative="1">
      <w:start w:val="1"/>
      <w:numFmt w:val="lowerRoman"/>
      <w:lvlText w:val="%9."/>
      <w:lvlJc w:val="right"/>
      <w:pPr>
        <w:ind w:left="7436" w:hanging="180"/>
      </w:pPr>
    </w:lvl>
  </w:abstractNum>
  <w:abstractNum w:abstractNumId="8">
    <w:nsid w:val="44775AD3"/>
    <w:multiLevelType w:val="hybridMultilevel"/>
    <w:tmpl w:val="FE6C24E4"/>
    <w:lvl w:ilvl="0" w:tplc="8630690A">
      <w:numFmt w:val="bullet"/>
      <w:lvlText w:val="-"/>
      <w:lvlJc w:val="left"/>
      <w:pPr>
        <w:ind w:left="1676" w:hanging="360"/>
      </w:pPr>
      <w:rPr>
        <w:rFonts w:ascii="Times New Roman" w:eastAsia="Times New Roman" w:hAnsi="Times New Roman" w:cs="Times New Roman" w:hint="default"/>
        <w:sz w:val="24"/>
      </w:rPr>
    </w:lvl>
    <w:lvl w:ilvl="1" w:tplc="04090019" w:tentative="1">
      <w:start w:val="1"/>
      <w:numFmt w:val="lowerLetter"/>
      <w:lvlText w:val="%2."/>
      <w:lvlJc w:val="left"/>
      <w:pPr>
        <w:ind w:left="2396" w:hanging="360"/>
      </w:pPr>
    </w:lvl>
    <w:lvl w:ilvl="2" w:tplc="0409001B" w:tentative="1">
      <w:start w:val="1"/>
      <w:numFmt w:val="lowerRoman"/>
      <w:lvlText w:val="%3."/>
      <w:lvlJc w:val="right"/>
      <w:pPr>
        <w:ind w:left="3116" w:hanging="180"/>
      </w:pPr>
    </w:lvl>
    <w:lvl w:ilvl="3" w:tplc="0409000F" w:tentative="1">
      <w:start w:val="1"/>
      <w:numFmt w:val="decimal"/>
      <w:lvlText w:val="%4."/>
      <w:lvlJc w:val="left"/>
      <w:pPr>
        <w:ind w:left="3836" w:hanging="360"/>
      </w:pPr>
    </w:lvl>
    <w:lvl w:ilvl="4" w:tplc="04090019" w:tentative="1">
      <w:start w:val="1"/>
      <w:numFmt w:val="lowerLetter"/>
      <w:lvlText w:val="%5."/>
      <w:lvlJc w:val="left"/>
      <w:pPr>
        <w:ind w:left="4556" w:hanging="360"/>
      </w:pPr>
    </w:lvl>
    <w:lvl w:ilvl="5" w:tplc="0409001B" w:tentative="1">
      <w:start w:val="1"/>
      <w:numFmt w:val="lowerRoman"/>
      <w:lvlText w:val="%6."/>
      <w:lvlJc w:val="right"/>
      <w:pPr>
        <w:ind w:left="5276" w:hanging="180"/>
      </w:pPr>
    </w:lvl>
    <w:lvl w:ilvl="6" w:tplc="0409000F" w:tentative="1">
      <w:start w:val="1"/>
      <w:numFmt w:val="decimal"/>
      <w:lvlText w:val="%7."/>
      <w:lvlJc w:val="left"/>
      <w:pPr>
        <w:ind w:left="5996" w:hanging="360"/>
      </w:pPr>
    </w:lvl>
    <w:lvl w:ilvl="7" w:tplc="04090019" w:tentative="1">
      <w:start w:val="1"/>
      <w:numFmt w:val="lowerLetter"/>
      <w:lvlText w:val="%8."/>
      <w:lvlJc w:val="left"/>
      <w:pPr>
        <w:ind w:left="6716" w:hanging="360"/>
      </w:pPr>
    </w:lvl>
    <w:lvl w:ilvl="8" w:tplc="0409001B" w:tentative="1">
      <w:start w:val="1"/>
      <w:numFmt w:val="lowerRoman"/>
      <w:lvlText w:val="%9."/>
      <w:lvlJc w:val="right"/>
      <w:pPr>
        <w:ind w:left="7436" w:hanging="180"/>
      </w:pPr>
    </w:lvl>
  </w:abstractNum>
  <w:abstractNum w:abstractNumId="9">
    <w:nsid w:val="54396077"/>
    <w:multiLevelType w:val="hybridMultilevel"/>
    <w:tmpl w:val="40BE32FE"/>
    <w:lvl w:ilvl="0" w:tplc="401A8FD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nsid w:val="5A6C1FEB"/>
    <w:multiLevelType w:val="hybridMultilevel"/>
    <w:tmpl w:val="E004B806"/>
    <w:lvl w:ilvl="0" w:tplc="4C70D00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32775"/>
    <w:multiLevelType w:val="hybridMultilevel"/>
    <w:tmpl w:val="94A855BA"/>
    <w:lvl w:ilvl="0" w:tplc="3434164A">
      <w:start w:val="1"/>
      <w:numFmt w:val="decimal"/>
      <w:lvlText w:val="%1."/>
      <w:lvlJc w:val="left"/>
      <w:pPr>
        <w:ind w:left="45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A3A96"/>
    <w:multiLevelType w:val="hybridMultilevel"/>
    <w:tmpl w:val="3328D392"/>
    <w:lvl w:ilvl="0" w:tplc="F7900070">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942D57"/>
    <w:multiLevelType w:val="hybridMultilevel"/>
    <w:tmpl w:val="FEB06ACA"/>
    <w:lvl w:ilvl="0" w:tplc="04090015">
      <w:start w:val="1"/>
      <w:numFmt w:val="upperLetter"/>
      <w:lvlText w:val="%1."/>
      <w:lvlJc w:val="left"/>
      <w:pPr>
        <w:ind w:left="720" w:hanging="360"/>
      </w:pPr>
      <w:rPr>
        <w:rFonts w:hint="default"/>
      </w:rPr>
    </w:lvl>
    <w:lvl w:ilvl="1" w:tplc="4D22A2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53660"/>
    <w:multiLevelType w:val="hybridMultilevel"/>
    <w:tmpl w:val="AC4A1EEC"/>
    <w:lvl w:ilvl="0" w:tplc="5FFEF5CE">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2B0A23"/>
    <w:multiLevelType w:val="hybridMultilevel"/>
    <w:tmpl w:val="95206068"/>
    <w:lvl w:ilvl="0" w:tplc="EDD46C0E">
      <w:numFmt w:val="bullet"/>
      <w:lvlText w:val="-"/>
      <w:lvlJc w:val="left"/>
      <w:pPr>
        <w:ind w:left="840" w:hanging="360"/>
      </w:pPr>
      <w:rPr>
        <w:rFonts w:ascii="Times New Roman" w:eastAsia="Times New Roman" w:hAnsi="Times New Roman" w:cs="Times New Roman" w:hint="default"/>
        <w:sz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3"/>
  </w:num>
  <w:num w:numId="3">
    <w:abstractNumId w:val="4"/>
  </w:num>
  <w:num w:numId="4">
    <w:abstractNumId w:val="12"/>
  </w:num>
  <w:num w:numId="5">
    <w:abstractNumId w:val="5"/>
  </w:num>
  <w:num w:numId="6">
    <w:abstractNumId w:val="3"/>
  </w:num>
  <w:num w:numId="7">
    <w:abstractNumId w:val="7"/>
  </w:num>
  <w:num w:numId="8">
    <w:abstractNumId w:val="9"/>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1"/>
  </w:num>
  <w:num w:numId="20">
    <w:abstractNumId w:val="10"/>
  </w:num>
  <w:num w:numId="21">
    <w:abstractNumId w:val="14"/>
  </w:num>
  <w:num w:numId="22">
    <w:abstractNumId w:val="15"/>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86"/>
    <w:rsid w:val="00002C46"/>
    <w:rsid w:val="00005F8B"/>
    <w:rsid w:val="0001193A"/>
    <w:rsid w:val="00023CE0"/>
    <w:rsid w:val="000249B8"/>
    <w:rsid w:val="000278B7"/>
    <w:rsid w:val="000310CA"/>
    <w:rsid w:val="00034FF9"/>
    <w:rsid w:val="0003573C"/>
    <w:rsid w:val="00040387"/>
    <w:rsid w:val="00043EA8"/>
    <w:rsid w:val="00044FC5"/>
    <w:rsid w:val="00050B3D"/>
    <w:rsid w:val="0005121E"/>
    <w:rsid w:val="000560A6"/>
    <w:rsid w:val="000645E8"/>
    <w:rsid w:val="000710AC"/>
    <w:rsid w:val="000743A3"/>
    <w:rsid w:val="00077ACF"/>
    <w:rsid w:val="000812E1"/>
    <w:rsid w:val="00082148"/>
    <w:rsid w:val="00085244"/>
    <w:rsid w:val="00092AEF"/>
    <w:rsid w:val="00093D46"/>
    <w:rsid w:val="000947D8"/>
    <w:rsid w:val="000A1DB7"/>
    <w:rsid w:val="000A29C3"/>
    <w:rsid w:val="000A2D80"/>
    <w:rsid w:val="000A5F0B"/>
    <w:rsid w:val="000B0811"/>
    <w:rsid w:val="000B1350"/>
    <w:rsid w:val="000C3C09"/>
    <w:rsid w:val="000E0AB2"/>
    <w:rsid w:val="000E2F20"/>
    <w:rsid w:val="000F2C39"/>
    <w:rsid w:val="000F38DF"/>
    <w:rsid w:val="000F3ED5"/>
    <w:rsid w:val="000F53EF"/>
    <w:rsid w:val="00102448"/>
    <w:rsid w:val="00102F67"/>
    <w:rsid w:val="00104A32"/>
    <w:rsid w:val="00114DC8"/>
    <w:rsid w:val="00117080"/>
    <w:rsid w:val="0012267C"/>
    <w:rsid w:val="0012314A"/>
    <w:rsid w:val="00123DFF"/>
    <w:rsid w:val="00124086"/>
    <w:rsid w:val="00124693"/>
    <w:rsid w:val="00125778"/>
    <w:rsid w:val="0014214B"/>
    <w:rsid w:val="00143E86"/>
    <w:rsid w:val="001504D0"/>
    <w:rsid w:val="001561DE"/>
    <w:rsid w:val="00163801"/>
    <w:rsid w:val="0016543A"/>
    <w:rsid w:val="00171AE9"/>
    <w:rsid w:val="00180279"/>
    <w:rsid w:val="00183101"/>
    <w:rsid w:val="00187CA4"/>
    <w:rsid w:val="001922AF"/>
    <w:rsid w:val="0019371E"/>
    <w:rsid w:val="00195464"/>
    <w:rsid w:val="00197075"/>
    <w:rsid w:val="00197A7E"/>
    <w:rsid w:val="001A3530"/>
    <w:rsid w:val="001B01D7"/>
    <w:rsid w:val="001B15D2"/>
    <w:rsid w:val="001B32C9"/>
    <w:rsid w:val="001B3F17"/>
    <w:rsid w:val="001B62B5"/>
    <w:rsid w:val="001E1CE6"/>
    <w:rsid w:val="001E1E10"/>
    <w:rsid w:val="001E2C87"/>
    <w:rsid w:val="001E584E"/>
    <w:rsid w:val="001F1FC8"/>
    <w:rsid w:val="001F4008"/>
    <w:rsid w:val="001F7213"/>
    <w:rsid w:val="00205074"/>
    <w:rsid w:val="002061FA"/>
    <w:rsid w:val="00207FBE"/>
    <w:rsid w:val="002121D7"/>
    <w:rsid w:val="00226536"/>
    <w:rsid w:val="00231367"/>
    <w:rsid w:val="00231ED6"/>
    <w:rsid w:val="0023576D"/>
    <w:rsid w:val="002509C0"/>
    <w:rsid w:val="00253B20"/>
    <w:rsid w:val="00253C56"/>
    <w:rsid w:val="00257613"/>
    <w:rsid w:val="00257FE7"/>
    <w:rsid w:val="00262B69"/>
    <w:rsid w:val="002670ED"/>
    <w:rsid w:val="002726E6"/>
    <w:rsid w:val="00274017"/>
    <w:rsid w:val="00281FB3"/>
    <w:rsid w:val="002834EC"/>
    <w:rsid w:val="00284C65"/>
    <w:rsid w:val="00285616"/>
    <w:rsid w:val="00290E21"/>
    <w:rsid w:val="00293A12"/>
    <w:rsid w:val="002A2321"/>
    <w:rsid w:val="002A7AD3"/>
    <w:rsid w:val="002B009A"/>
    <w:rsid w:val="002B4182"/>
    <w:rsid w:val="002B64DC"/>
    <w:rsid w:val="002D1E74"/>
    <w:rsid w:val="002D44C4"/>
    <w:rsid w:val="002E075F"/>
    <w:rsid w:val="002E4ABF"/>
    <w:rsid w:val="002F03F7"/>
    <w:rsid w:val="002F0450"/>
    <w:rsid w:val="002F05F2"/>
    <w:rsid w:val="002F186B"/>
    <w:rsid w:val="002F58D9"/>
    <w:rsid w:val="00300952"/>
    <w:rsid w:val="00301582"/>
    <w:rsid w:val="00311F03"/>
    <w:rsid w:val="00315720"/>
    <w:rsid w:val="00317BD2"/>
    <w:rsid w:val="0032440F"/>
    <w:rsid w:val="003262E2"/>
    <w:rsid w:val="0033649C"/>
    <w:rsid w:val="003365A5"/>
    <w:rsid w:val="00341537"/>
    <w:rsid w:val="00351A5C"/>
    <w:rsid w:val="0035318D"/>
    <w:rsid w:val="00356DAE"/>
    <w:rsid w:val="003678AC"/>
    <w:rsid w:val="00384855"/>
    <w:rsid w:val="00384D13"/>
    <w:rsid w:val="003874F2"/>
    <w:rsid w:val="00390077"/>
    <w:rsid w:val="00390F8B"/>
    <w:rsid w:val="00394B9D"/>
    <w:rsid w:val="003A0342"/>
    <w:rsid w:val="003A5FC3"/>
    <w:rsid w:val="003B18DB"/>
    <w:rsid w:val="003C56A0"/>
    <w:rsid w:val="003C6839"/>
    <w:rsid w:val="003C7E3B"/>
    <w:rsid w:val="003D1BD9"/>
    <w:rsid w:val="003D5AC2"/>
    <w:rsid w:val="003D7DD7"/>
    <w:rsid w:val="003E2897"/>
    <w:rsid w:val="003F0767"/>
    <w:rsid w:val="0041691F"/>
    <w:rsid w:val="0041699A"/>
    <w:rsid w:val="00420E2C"/>
    <w:rsid w:val="00426AF2"/>
    <w:rsid w:val="004274B9"/>
    <w:rsid w:val="00430D54"/>
    <w:rsid w:val="0043113A"/>
    <w:rsid w:val="004325FF"/>
    <w:rsid w:val="004415FA"/>
    <w:rsid w:val="00441D69"/>
    <w:rsid w:val="00443956"/>
    <w:rsid w:val="0045128E"/>
    <w:rsid w:val="00455757"/>
    <w:rsid w:val="0045689A"/>
    <w:rsid w:val="00457BE2"/>
    <w:rsid w:val="00457C9C"/>
    <w:rsid w:val="00461156"/>
    <w:rsid w:val="0046298A"/>
    <w:rsid w:val="00464514"/>
    <w:rsid w:val="004709B6"/>
    <w:rsid w:val="00471223"/>
    <w:rsid w:val="00473151"/>
    <w:rsid w:val="00473DAE"/>
    <w:rsid w:val="00476DAD"/>
    <w:rsid w:val="00480368"/>
    <w:rsid w:val="00482A37"/>
    <w:rsid w:val="004860C3"/>
    <w:rsid w:val="00491A81"/>
    <w:rsid w:val="0049248F"/>
    <w:rsid w:val="004A0A73"/>
    <w:rsid w:val="004A31F1"/>
    <w:rsid w:val="004B3086"/>
    <w:rsid w:val="004B4058"/>
    <w:rsid w:val="004C13FE"/>
    <w:rsid w:val="004C17C8"/>
    <w:rsid w:val="004C4899"/>
    <w:rsid w:val="004C51BA"/>
    <w:rsid w:val="004C5B5C"/>
    <w:rsid w:val="004F44C9"/>
    <w:rsid w:val="004F7A23"/>
    <w:rsid w:val="00506210"/>
    <w:rsid w:val="005117AF"/>
    <w:rsid w:val="00526BC5"/>
    <w:rsid w:val="00533225"/>
    <w:rsid w:val="00543797"/>
    <w:rsid w:val="00550139"/>
    <w:rsid w:val="0056022D"/>
    <w:rsid w:val="00563C36"/>
    <w:rsid w:val="00565DCE"/>
    <w:rsid w:val="00580D3A"/>
    <w:rsid w:val="00585802"/>
    <w:rsid w:val="00592465"/>
    <w:rsid w:val="005972F1"/>
    <w:rsid w:val="005A0156"/>
    <w:rsid w:val="005A427C"/>
    <w:rsid w:val="005A79ED"/>
    <w:rsid w:val="005B396C"/>
    <w:rsid w:val="005C3D4A"/>
    <w:rsid w:val="005D0D41"/>
    <w:rsid w:val="005D58CF"/>
    <w:rsid w:val="005E4777"/>
    <w:rsid w:val="005F03DD"/>
    <w:rsid w:val="005F0DB3"/>
    <w:rsid w:val="005F226D"/>
    <w:rsid w:val="005F667D"/>
    <w:rsid w:val="005F6BD1"/>
    <w:rsid w:val="00605B2F"/>
    <w:rsid w:val="00607D39"/>
    <w:rsid w:val="006108A8"/>
    <w:rsid w:val="006129B9"/>
    <w:rsid w:val="0061466E"/>
    <w:rsid w:val="00624140"/>
    <w:rsid w:val="00624A0E"/>
    <w:rsid w:val="006261CA"/>
    <w:rsid w:val="00631D68"/>
    <w:rsid w:val="00644B23"/>
    <w:rsid w:val="006566B8"/>
    <w:rsid w:val="00662A20"/>
    <w:rsid w:val="00676C31"/>
    <w:rsid w:val="00685E89"/>
    <w:rsid w:val="006A34DA"/>
    <w:rsid w:val="006A383A"/>
    <w:rsid w:val="006A4D94"/>
    <w:rsid w:val="006A734C"/>
    <w:rsid w:val="006B59B2"/>
    <w:rsid w:val="006B68A3"/>
    <w:rsid w:val="006C0800"/>
    <w:rsid w:val="006C3FD3"/>
    <w:rsid w:val="006C5567"/>
    <w:rsid w:val="006C7AE7"/>
    <w:rsid w:val="006D64FE"/>
    <w:rsid w:val="006F5913"/>
    <w:rsid w:val="007037BD"/>
    <w:rsid w:val="00704B64"/>
    <w:rsid w:val="007151E6"/>
    <w:rsid w:val="00715795"/>
    <w:rsid w:val="0072231C"/>
    <w:rsid w:val="00723BEE"/>
    <w:rsid w:val="007254B1"/>
    <w:rsid w:val="007271F7"/>
    <w:rsid w:val="007333BC"/>
    <w:rsid w:val="0073796A"/>
    <w:rsid w:val="007560D1"/>
    <w:rsid w:val="00756A1C"/>
    <w:rsid w:val="007578C8"/>
    <w:rsid w:val="00760508"/>
    <w:rsid w:val="0076135B"/>
    <w:rsid w:val="007677C3"/>
    <w:rsid w:val="00767F1C"/>
    <w:rsid w:val="0077119A"/>
    <w:rsid w:val="007829A9"/>
    <w:rsid w:val="00792BC5"/>
    <w:rsid w:val="00796BDA"/>
    <w:rsid w:val="007B2CD6"/>
    <w:rsid w:val="007B2F54"/>
    <w:rsid w:val="007B4318"/>
    <w:rsid w:val="007B4F50"/>
    <w:rsid w:val="007B700E"/>
    <w:rsid w:val="007C4E41"/>
    <w:rsid w:val="007C53B6"/>
    <w:rsid w:val="007D5E37"/>
    <w:rsid w:val="007E0500"/>
    <w:rsid w:val="007E686A"/>
    <w:rsid w:val="007F2E14"/>
    <w:rsid w:val="007F3805"/>
    <w:rsid w:val="007F4CD3"/>
    <w:rsid w:val="00804164"/>
    <w:rsid w:val="0080543D"/>
    <w:rsid w:val="00816B90"/>
    <w:rsid w:val="00816F10"/>
    <w:rsid w:val="008236A7"/>
    <w:rsid w:val="00824B00"/>
    <w:rsid w:val="00837288"/>
    <w:rsid w:val="00837B30"/>
    <w:rsid w:val="00847377"/>
    <w:rsid w:val="0085111D"/>
    <w:rsid w:val="0085314F"/>
    <w:rsid w:val="00866BD8"/>
    <w:rsid w:val="0087025C"/>
    <w:rsid w:val="008747FA"/>
    <w:rsid w:val="0087656E"/>
    <w:rsid w:val="00876DD4"/>
    <w:rsid w:val="008817B5"/>
    <w:rsid w:val="00883A45"/>
    <w:rsid w:val="00883EEF"/>
    <w:rsid w:val="00885F0B"/>
    <w:rsid w:val="00891C1D"/>
    <w:rsid w:val="0089484A"/>
    <w:rsid w:val="00895F7B"/>
    <w:rsid w:val="008A0295"/>
    <w:rsid w:val="008A15A4"/>
    <w:rsid w:val="008B159F"/>
    <w:rsid w:val="008B5263"/>
    <w:rsid w:val="008B548E"/>
    <w:rsid w:val="008C1AF2"/>
    <w:rsid w:val="008E0108"/>
    <w:rsid w:val="008E1D66"/>
    <w:rsid w:val="008E4B23"/>
    <w:rsid w:val="008F793B"/>
    <w:rsid w:val="00906C68"/>
    <w:rsid w:val="009105C9"/>
    <w:rsid w:val="00913845"/>
    <w:rsid w:val="0092641C"/>
    <w:rsid w:val="00927B67"/>
    <w:rsid w:val="009347CC"/>
    <w:rsid w:val="00937D07"/>
    <w:rsid w:val="00937E7C"/>
    <w:rsid w:val="00940503"/>
    <w:rsid w:val="00940600"/>
    <w:rsid w:val="0094688B"/>
    <w:rsid w:val="00947769"/>
    <w:rsid w:val="0095201E"/>
    <w:rsid w:val="00955577"/>
    <w:rsid w:val="00956A9A"/>
    <w:rsid w:val="00962CB6"/>
    <w:rsid w:val="0096502D"/>
    <w:rsid w:val="009708E4"/>
    <w:rsid w:val="00974D96"/>
    <w:rsid w:val="00977E16"/>
    <w:rsid w:val="00980608"/>
    <w:rsid w:val="0098496F"/>
    <w:rsid w:val="009945F9"/>
    <w:rsid w:val="00994995"/>
    <w:rsid w:val="009A0D4E"/>
    <w:rsid w:val="009A5AE7"/>
    <w:rsid w:val="009B6B60"/>
    <w:rsid w:val="009C1653"/>
    <w:rsid w:val="009C3D13"/>
    <w:rsid w:val="009D25B9"/>
    <w:rsid w:val="00A06139"/>
    <w:rsid w:val="00A110C0"/>
    <w:rsid w:val="00A15776"/>
    <w:rsid w:val="00A243C5"/>
    <w:rsid w:val="00A309D7"/>
    <w:rsid w:val="00A31F88"/>
    <w:rsid w:val="00A44EF3"/>
    <w:rsid w:val="00A50615"/>
    <w:rsid w:val="00A53F39"/>
    <w:rsid w:val="00A65B3C"/>
    <w:rsid w:val="00A67346"/>
    <w:rsid w:val="00A7279B"/>
    <w:rsid w:val="00A72FBC"/>
    <w:rsid w:val="00A748BE"/>
    <w:rsid w:val="00A7752A"/>
    <w:rsid w:val="00A96223"/>
    <w:rsid w:val="00AA5154"/>
    <w:rsid w:val="00AA52B7"/>
    <w:rsid w:val="00AB3746"/>
    <w:rsid w:val="00AC4955"/>
    <w:rsid w:val="00AD7662"/>
    <w:rsid w:val="00AE2601"/>
    <w:rsid w:val="00AE4274"/>
    <w:rsid w:val="00AF74D6"/>
    <w:rsid w:val="00B00028"/>
    <w:rsid w:val="00B21037"/>
    <w:rsid w:val="00B21361"/>
    <w:rsid w:val="00B2168D"/>
    <w:rsid w:val="00B4786E"/>
    <w:rsid w:val="00B54331"/>
    <w:rsid w:val="00B56752"/>
    <w:rsid w:val="00B60D0E"/>
    <w:rsid w:val="00B7006A"/>
    <w:rsid w:val="00B84CA9"/>
    <w:rsid w:val="00B92A14"/>
    <w:rsid w:val="00BA0010"/>
    <w:rsid w:val="00BA1943"/>
    <w:rsid w:val="00BA1D1E"/>
    <w:rsid w:val="00BA7283"/>
    <w:rsid w:val="00BB16E8"/>
    <w:rsid w:val="00BB7F64"/>
    <w:rsid w:val="00BC2BB1"/>
    <w:rsid w:val="00BD1063"/>
    <w:rsid w:val="00BD3424"/>
    <w:rsid w:val="00BD42FA"/>
    <w:rsid w:val="00BD53F2"/>
    <w:rsid w:val="00BD772F"/>
    <w:rsid w:val="00C00261"/>
    <w:rsid w:val="00C06450"/>
    <w:rsid w:val="00C11BE0"/>
    <w:rsid w:val="00C2044A"/>
    <w:rsid w:val="00C27584"/>
    <w:rsid w:val="00C2759C"/>
    <w:rsid w:val="00C4029E"/>
    <w:rsid w:val="00C5647B"/>
    <w:rsid w:val="00C61B94"/>
    <w:rsid w:val="00C65F9C"/>
    <w:rsid w:val="00C665A5"/>
    <w:rsid w:val="00C7774C"/>
    <w:rsid w:val="00C82A3E"/>
    <w:rsid w:val="00C8561B"/>
    <w:rsid w:val="00C90D87"/>
    <w:rsid w:val="00C912A2"/>
    <w:rsid w:val="00C9231B"/>
    <w:rsid w:val="00C96BCE"/>
    <w:rsid w:val="00C97DCD"/>
    <w:rsid w:val="00CB1AA1"/>
    <w:rsid w:val="00CB3AFD"/>
    <w:rsid w:val="00CB7662"/>
    <w:rsid w:val="00CC0FE8"/>
    <w:rsid w:val="00CC1B2B"/>
    <w:rsid w:val="00CC6013"/>
    <w:rsid w:val="00CD39F4"/>
    <w:rsid w:val="00CE110E"/>
    <w:rsid w:val="00CE7831"/>
    <w:rsid w:val="00CF074C"/>
    <w:rsid w:val="00CF0C1A"/>
    <w:rsid w:val="00CF0CA8"/>
    <w:rsid w:val="00D00A80"/>
    <w:rsid w:val="00D0173F"/>
    <w:rsid w:val="00D116EA"/>
    <w:rsid w:val="00D12B3B"/>
    <w:rsid w:val="00D20F53"/>
    <w:rsid w:val="00D23796"/>
    <w:rsid w:val="00D32976"/>
    <w:rsid w:val="00D37B3A"/>
    <w:rsid w:val="00D52301"/>
    <w:rsid w:val="00D772E4"/>
    <w:rsid w:val="00D8366B"/>
    <w:rsid w:val="00D85160"/>
    <w:rsid w:val="00D866D9"/>
    <w:rsid w:val="00D8684B"/>
    <w:rsid w:val="00D91607"/>
    <w:rsid w:val="00D97012"/>
    <w:rsid w:val="00DA5D92"/>
    <w:rsid w:val="00DB20AE"/>
    <w:rsid w:val="00DB313B"/>
    <w:rsid w:val="00DB521B"/>
    <w:rsid w:val="00DC42DA"/>
    <w:rsid w:val="00DD1C96"/>
    <w:rsid w:val="00DE41CC"/>
    <w:rsid w:val="00DE42F3"/>
    <w:rsid w:val="00DE64E0"/>
    <w:rsid w:val="00DF2FEF"/>
    <w:rsid w:val="00DF61F6"/>
    <w:rsid w:val="00DF64B5"/>
    <w:rsid w:val="00E01DD5"/>
    <w:rsid w:val="00E1599E"/>
    <w:rsid w:val="00E1600C"/>
    <w:rsid w:val="00E163BF"/>
    <w:rsid w:val="00E20B77"/>
    <w:rsid w:val="00E217C2"/>
    <w:rsid w:val="00E25C01"/>
    <w:rsid w:val="00E3361E"/>
    <w:rsid w:val="00E46861"/>
    <w:rsid w:val="00E52321"/>
    <w:rsid w:val="00E53289"/>
    <w:rsid w:val="00E618C3"/>
    <w:rsid w:val="00E61A8E"/>
    <w:rsid w:val="00E672E8"/>
    <w:rsid w:val="00E7180F"/>
    <w:rsid w:val="00E76CA5"/>
    <w:rsid w:val="00E77347"/>
    <w:rsid w:val="00E82F2F"/>
    <w:rsid w:val="00E85BA1"/>
    <w:rsid w:val="00E9137D"/>
    <w:rsid w:val="00E937B4"/>
    <w:rsid w:val="00E94690"/>
    <w:rsid w:val="00E946A7"/>
    <w:rsid w:val="00EA2661"/>
    <w:rsid w:val="00EA3137"/>
    <w:rsid w:val="00EA5DDB"/>
    <w:rsid w:val="00EA722B"/>
    <w:rsid w:val="00EB2678"/>
    <w:rsid w:val="00EB2AA1"/>
    <w:rsid w:val="00EB7ECB"/>
    <w:rsid w:val="00EC0875"/>
    <w:rsid w:val="00EC2479"/>
    <w:rsid w:val="00EC53A2"/>
    <w:rsid w:val="00EE295C"/>
    <w:rsid w:val="00EE32DE"/>
    <w:rsid w:val="00EE7BE3"/>
    <w:rsid w:val="00EF0374"/>
    <w:rsid w:val="00EF38FE"/>
    <w:rsid w:val="00EF7564"/>
    <w:rsid w:val="00EF7ED1"/>
    <w:rsid w:val="00F05FFA"/>
    <w:rsid w:val="00F1089C"/>
    <w:rsid w:val="00F1140D"/>
    <w:rsid w:val="00F21B45"/>
    <w:rsid w:val="00F2232D"/>
    <w:rsid w:val="00F22980"/>
    <w:rsid w:val="00F23549"/>
    <w:rsid w:val="00F27165"/>
    <w:rsid w:val="00F27E21"/>
    <w:rsid w:val="00F33922"/>
    <w:rsid w:val="00F4410B"/>
    <w:rsid w:val="00F5556F"/>
    <w:rsid w:val="00F5775F"/>
    <w:rsid w:val="00F63B21"/>
    <w:rsid w:val="00F667B1"/>
    <w:rsid w:val="00F72835"/>
    <w:rsid w:val="00F7501F"/>
    <w:rsid w:val="00F7577C"/>
    <w:rsid w:val="00F75C27"/>
    <w:rsid w:val="00F86770"/>
    <w:rsid w:val="00FA0C1D"/>
    <w:rsid w:val="00FA225F"/>
    <w:rsid w:val="00FA3FFE"/>
    <w:rsid w:val="00FB00B3"/>
    <w:rsid w:val="00FB14E7"/>
    <w:rsid w:val="00FB32AD"/>
    <w:rsid w:val="00FC5BE7"/>
    <w:rsid w:val="00FC6F6C"/>
    <w:rsid w:val="00FD20CB"/>
    <w:rsid w:val="00FD3EF6"/>
    <w:rsid w:val="00FE593B"/>
    <w:rsid w:val="00FF0290"/>
    <w:rsid w:val="00FF223D"/>
    <w:rsid w:val="00FF28C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95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95C"/>
    <w:rPr>
      <w:color w:val="0000FF"/>
      <w:u w:val="single"/>
    </w:rPr>
  </w:style>
  <w:style w:type="character" w:styleId="FollowedHyperlink">
    <w:name w:val="FollowedHyperlink"/>
    <w:rsid w:val="00EE295C"/>
    <w:rPr>
      <w:color w:val="0000FF"/>
      <w:u w:val="single"/>
    </w:rPr>
  </w:style>
  <w:style w:type="paragraph" w:styleId="NormalWeb">
    <w:name w:val="Normal (Web)"/>
    <w:basedOn w:val="Normal"/>
    <w:rsid w:val="00EE295C"/>
    <w:pPr>
      <w:spacing w:before="100" w:beforeAutospacing="1" w:after="100" w:afterAutospacing="1"/>
    </w:pPr>
  </w:style>
  <w:style w:type="paragraph" w:styleId="Footer">
    <w:name w:val="footer"/>
    <w:basedOn w:val="Normal"/>
    <w:link w:val="FooterChar"/>
    <w:uiPriority w:val="99"/>
    <w:rsid w:val="00EE295C"/>
    <w:pPr>
      <w:tabs>
        <w:tab w:val="center" w:pos="4320"/>
        <w:tab w:val="right" w:pos="8640"/>
      </w:tabs>
    </w:pPr>
  </w:style>
  <w:style w:type="character" w:customStyle="1" w:styleId="FooterChar">
    <w:name w:val="Footer Char"/>
    <w:link w:val="Footer"/>
    <w:uiPriority w:val="99"/>
    <w:rsid w:val="00EE295C"/>
    <w:rPr>
      <w:sz w:val="24"/>
      <w:szCs w:val="24"/>
    </w:rPr>
  </w:style>
  <w:style w:type="paragraph" w:customStyle="1" w:styleId="hide">
    <w:name w:val="hide"/>
    <w:basedOn w:val="Normal"/>
    <w:rsid w:val="00EE295C"/>
    <w:pPr>
      <w:spacing w:before="100" w:beforeAutospacing="1" w:after="100" w:afterAutospacing="1"/>
    </w:pPr>
    <w:rPr>
      <w:vanish/>
    </w:rPr>
  </w:style>
  <w:style w:type="paragraph" w:styleId="BalloonText">
    <w:name w:val="Balloon Text"/>
    <w:basedOn w:val="Normal"/>
    <w:link w:val="BalloonTextChar"/>
    <w:rsid w:val="00461156"/>
    <w:rPr>
      <w:rFonts w:ascii="Tahoma" w:hAnsi="Tahoma" w:cs="Tahoma"/>
      <w:sz w:val="16"/>
      <w:szCs w:val="16"/>
    </w:rPr>
  </w:style>
  <w:style w:type="character" w:customStyle="1" w:styleId="BalloonTextChar">
    <w:name w:val="Balloon Text Char"/>
    <w:link w:val="BalloonText"/>
    <w:rsid w:val="00461156"/>
    <w:rPr>
      <w:rFonts w:ascii="Tahoma" w:hAnsi="Tahoma" w:cs="Tahoma"/>
      <w:sz w:val="16"/>
      <w:szCs w:val="16"/>
    </w:rPr>
  </w:style>
  <w:style w:type="table" w:styleId="TableGrid">
    <w:name w:val="Table Grid"/>
    <w:basedOn w:val="TableNormal"/>
    <w:rsid w:val="006566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B14E7"/>
    <w:pPr>
      <w:tabs>
        <w:tab w:val="center" w:pos="4680"/>
        <w:tab w:val="right" w:pos="9360"/>
      </w:tabs>
    </w:pPr>
  </w:style>
  <w:style w:type="character" w:customStyle="1" w:styleId="HeaderChar">
    <w:name w:val="Header Char"/>
    <w:link w:val="Header"/>
    <w:rsid w:val="00FB14E7"/>
    <w:rPr>
      <w:sz w:val="24"/>
      <w:szCs w:val="24"/>
    </w:rPr>
  </w:style>
  <w:style w:type="paragraph" w:styleId="ListParagraph">
    <w:name w:val="List Paragraph"/>
    <w:basedOn w:val="Normal"/>
    <w:qFormat/>
    <w:rsid w:val="0004038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95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95C"/>
    <w:rPr>
      <w:color w:val="0000FF"/>
      <w:u w:val="single"/>
    </w:rPr>
  </w:style>
  <w:style w:type="character" w:styleId="FollowedHyperlink">
    <w:name w:val="FollowedHyperlink"/>
    <w:rsid w:val="00EE295C"/>
    <w:rPr>
      <w:color w:val="0000FF"/>
      <w:u w:val="single"/>
    </w:rPr>
  </w:style>
  <w:style w:type="paragraph" w:styleId="NormalWeb">
    <w:name w:val="Normal (Web)"/>
    <w:basedOn w:val="Normal"/>
    <w:rsid w:val="00EE295C"/>
    <w:pPr>
      <w:spacing w:before="100" w:beforeAutospacing="1" w:after="100" w:afterAutospacing="1"/>
    </w:pPr>
  </w:style>
  <w:style w:type="paragraph" w:styleId="Footer">
    <w:name w:val="footer"/>
    <w:basedOn w:val="Normal"/>
    <w:link w:val="FooterChar"/>
    <w:uiPriority w:val="99"/>
    <w:rsid w:val="00EE295C"/>
    <w:pPr>
      <w:tabs>
        <w:tab w:val="center" w:pos="4320"/>
        <w:tab w:val="right" w:pos="8640"/>
      </w:tabs>
    </w:pPr>
  </w:style>
  <w:style w:type="character" w:customStyle="1" w:styleId="FooterChar">
    <w:name w:val="Footer Char"/>
    <w:link w:val="Footer"/>
    <w:uiPriority w:val="99"/>
    <w:rsid w:val="00EE295C"/>
    <w:rPr>
      <w:sz w:val="24"/>
      <w:szCs w:val="24"/>
    </w:rPr>
  </w:style>
  <w:style w:type="paragraph" w:customStyle="1" w:styleId="hide">
    <w:name w:val="hide"/>
    <w:basedOn w:val="Normal"/>
    <w:rsid w:val="00EE295C"/>
    <w:pPr>
      <w:spacing w:before="100" w:beforeAutospacing="1" w:after="100" w:afterAutospacing="1"/>
    </w:pPr>
    <w:rPr>
      <w:vanish/>
    </w:rPr>
  </w:style>
  <w:style w:type="paragraph" w:styleId="BalloonText">
    <w:name w:val="Balloon Text"/>
    <w:basedOn w:val="Normal"/>
    <w:link w:val="BalloonTextChar"/>
    <w:rsid w:val="00461156"/>
    <w:rPr>
      <w:rFonts w:ascii="Tahoma" w:hAnsi="Tahoma" w:cs="Tahoma"/>
      <w:sz w:val="16"/>
      <w:szCs w:val="16"/>
    </w:rPr>
  </w:style>
  <w:style w:type="character" w:customStyle="1" w:styleId="BalloonTextChar">
    <w:name w:val="Balloon Text Char"/>
    <w:link w:val="BalloonText"/>
    <w:rsid w:val="00461156"/>
    <w:rPr>
      <w:rFonts w:ascii="Tahoma" w:hAnsi="Tahoma" w:cs="Tahoma"/>
      <w:sz w:val="16"/>
      <w:szCs w:val="16"/>
    </w:rPr>
  </w:style>
  <w:style w:type="table" w:styleId="TableGrid">
    <w:name w:val="Table Grid"/>
    <w:basedOn w:val="TableNormal"/>
    <w:rsid w:val="006566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B14E7"/>
    <w:pPr>
      <w:tabs>
        <w:tab w:val="center" w:pos="4680"/>
        <w:tab w:val="right" w:pos="9360"/>
      </w:tabs>
    </w:pPr>
  </w:style>
  <w:style w:type="character" w:customStyle="1" w:styleId="HeaderChar">
    <w:name w:val="Header Char"/>
    <w:link w:val="Header"/>
    <w:rsid w:val="00FB14E7"/>
    <w:rPr>
      <w:sz w:val="24"/>
      <w:szCs w:val="24"/>
    </w:rPr>
  </w:style>
  <w:style w:type="paragraph" w:styleId="ListParagraph">
    <w:name w:val="List Paragraph"/>
    <w:basedOn w:val="Normal"/>
    <w:qFormat/>
    <w:rsid w:val="0004038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5298">
      <w:marLeft w:val="120"/>
      <w:marRight w:val="120"/>
      <w:marTop w:val="120"/>
      <w:marBottom w:val="120"/>
      <w:divBdr>
        <w:top w:val="none" w:sz="0" w:space="0" w:color="auto"/>
        <w:left w:val="none" w:sz="0" w:space="0" w:color="auto"/>
        <w:bottom w:val="none" w:sz="0" w:space="0" w:color="auto"/>
        <w:right w:val="none" w:sz="0" w:space="0" w:color="auto"/>
      </w:divBdr>
      <w:divsChild>
        <w:div w:id="2305094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Thanh%20Tu\HO%20SO\CO%20PHIEU\VNR\2014\BC%20Cty%20me%202014\P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vi-VN" sz="1200">
                <a:latin typeface="+mj-lt"/>
              </a:rPr>
              <a:t>Cơ cấu đầu tư tại 31/12/2014</a:t>
            </a:r>
          </a:p>
        </c:rich>
      </c:tx>
      <c:overlay val="0"/>
    </c:title>
    <c:autoTitleDeleted val="0"/>
    <c:plotArea>
      <c:layout>
        <c:manualLayout>
          <c:layoutTarget val="inner"/>
          <c:xMode val="edge"/>
          <c:yMode val="edge"/>
          <c:x val="0.36104418197725358"/>
          <c:y val="0.32383530183727094"/>
          <c:w val="0.4056894138232725"/>
          <c:h val="0.67614902303878877"/>
        </c:manualLayout>
      </c:layout>
      <c:pieChart>
        <c:varyColors val="1"/>
        <c:ser>
          <c:idx val="0"/>
          <c:order val="0"/>
          <c:dLbls>
            <c:dLbl>
              <c:idx val="1"/>
              <c:layout>
                <c:manualLayout>
                  <c:x val="-1.8660104986876657E-2"/>
                  <c:y val="-4.9927821522309734E-2"/>
                </c:manualLayout>
              </c:layout>
              <c:showLegendKey val="0"/>
              <c:showVal val="0"/>
              <c:showCatName val="1"/>
              <c:showSerName val="0"/>
              <c:showPercent val="1"/>
              <c:showBubbleSize val="0"/>
            </c:dLbl>
            <c:dLbl>
              <c:idx val="7"/>
              <c:layout>
                <c:manualLayout>
                  <c:x val="0.18565616797900261"/>
                  <c:y val="-2.2743875765529397E-2"/>
                </c:manualLayout>
              </c:layout>
              <c:showLegendKey val="0"/>
              <c:showVal val="0"/>
              <c:showCatName val="1"/>
              <c:showSerName val="0"/>
              <c:showPercent val="1"/>
              <c:showBubbleSize val="0"/>
            </c:dLbl>
            <c:numFmt formatCode="0.0%" sourceLinked="0"/>
            <c:txPr>
              <a:bodyPr/>
              <a:lstStyle/>
              <a:p>
                <a:pPr>
                  <a:defRPr lang="en-US">
                    <a:latin typeface="+mj-lt"/>
                  </a:defRPr>
                </a:pPr>
                <a:endParaRPr lang="en-US"/>
              </a:p>
            </c:txPr>
            <c:showLegendKey val="0"/>
            <c:showVal val="0"/>
            <c:showCatName val="1"/>
            <c:showSerName val="0"/>
            <c:showPercent val="1"/>
            <c:showBubbleSize val="0"/>
            <c:showLeaderLines val="1"/>
          </c:dLbls>
          <c:cat>
            <c:strRef>
              <c:f>Sheet1!$B$33:$B$40</c:f>
              <c:strCache>
                <c:ptCount val="8"/>
                <c:pt idx="0">
                  <c:v>Tiền gửi</c:v>
                </c:pt>
                <c:pt idx="1">
                  <c:v>Trái phiếu</c:v>
                </c:pt>
                <c:pt idx="2">
                  <c:v>Góp vốn</c:v>
                </c:pt>
                <c:pt idx="3">
                  <c:v>Cổ phiếu</c:v>
                </c:pt>
                <c:pt idx="4">
                  <c:v>UTĐT</c:v>
                </c:pt>
                <c:pt idx="5">
                  <c:v>VP cho thuê</c:v>
                </c:pt>
                <c:pt idx="6">
                  <c:v>BĐS</c:v>
                </c:pt>
                <c:pt idx="7">
                  <c:v>Khác</c:v>
                </c:pt>
              </c:strCache>
            </c:strRef>
          </c:cat>
          <c:val>
            <c:numRef>
              <c:f>Sheet1!$D$33:$D$40</c:f>
              <c:numCache>
                <c:formatCode>#,##0</c:formatCode>
                <c:ptCount val="8"/>
                <c:pt idx="0">
                  <c:v>1988000</c:v>
                </c:pt>
                <c:pt idx="1">
                  <c:v>140000</c:v>
                </c:pt>
                <c:pt idx="2">
                  <c:v>654000</c:v>
                </c:pt>
                <c:pt idx="3">
                  <c:v>32609</c:v>
                </c:pt>
                <c:pt idx="4">
                  <c:v>120000</c:v>
                </c:pt>
                <c:pt idx="5">
                  <c:v>21770</c:v>
                </c:pt>
                <c:pt idx="6">
                  <c:v>13269</c:v>
                </c:pt>
                <c:pt idx="7">
                  <c:v>143533</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394C62-3027-4434-B981-DF02EDEB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BC BKS VNR_8.2010.doc</vt:lpstr>
    </vt:vector>
  </TitlesOfParts>
  <Company>158 Luong The Vinh</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BKS VNR_8.2010.doc</dc:title>
  <dc:creator>Thai Dinh Hai</dc:creator>
  <cp:lastModifiedBy>Smart</cp:lastModifiedBy>
  <cp:revision>9</cp:revision>
  <cp:lastPrinted>2015-04-07T04:09:00Z</cp:lastPrinted>
  <dcterms:created xsi:type="dcterms:W3CDTF">2015-03-13T02:53:00Z</dcterms:created>
  <dcterms:modified xsi:type="dcterms:W3CDTF">2015-04-23T07:56:00Z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c34c20f53a1475e874818bd8ce18f48.psdsxs" Id="R097d59e1bd1c4747" /></Relationships>
</file>