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Look w:val="04A0"/>
      </w:tblPr>
      <w:tblGrid>
        <w:gridCol w:w="3402"/>
        <w:gridCol w:w="5670"/>
      </w:tblGrid>
      <w:tr w:rsidR="00AB70DC" w:rsidRPr="009613D2" w:rsidTr="0051621E">
        <w:tc>
          <w:tcPr>
            <w:tcW w:w="3402" w:type="dxa"/>
          </w:tcPr>
          <w:p w:rsidR="00AB70DC" w:rsidRPr="00F866DB" w:rsidRDefault="00AB70DC" w:rsidP="00622771">
            <w:pPr>
              <w:widowControl w:val="0"/>
              <w:jc w:val="center"/>
              <w:rPr>
                <w:b/>
              </w:rPr>
            </w:pPr>
            <w:r w:rsidRPr="00F866DB">
              <w:rPr>
                <w:b/>
                <w:lang w:val="vi-VN"/>
              </w:rPr>
              <w:t>C</w:t>
            </w:r>
            <w:r w:rsidRPr="00F866DB">
              <w:rPr>
                <w:b/>
              </w:rPr>
              <w:t>ÔNG TY CỔ PHẦN</w:t>
            </w:r>
          </w:p>
          <w:p w:rsidR="00AB70DC" w:rsidRPr="00F866DB" w:rsidRDefault="00AB70DC" w:rsidP="00622771">
            <w:pPr>
              <w:widowControl w:val="0"/>
              <w:jc w:val="center"/>
              <w:rPr>
                <w:b/>
              </w:rPr>
            </w:pPr>
            <w:r w:rsidRPr="00F866DB">
              <w:rPr>
                <w:b/>
              </w:rPr>
              <w:t>CHỨNG KHOÁN IB</w:t>
            </w:r>
          </w:p>
          <w:p w:rsidR="00AB70DC" w:rsidRPr="00F866DB" w:rsidRDefault="00AB70DC" w:rsidP="00622771">
            <w:pPr>
              <w:widowControl w:val="0"/>
              <w:jc w:val="center"/>
            </w:pPr>
            <w:r w:rsidRPr="00F866DB">
              <w:t>----------------------------</w:t>
            </w:r>
          </w:p>
          <w:p w:rsidR="00AB70DC" w:rsidRPr="00F866DB" w:rsidRDefault="00AB70DC" w:rsidP="001E670B">
            <w:pPr>
              <w:widowControl w:val="0"/>
              <w:jc w:val="center"/>
            </w:pPr>
            <w:r w:rsidRPr="00F866DB">
              <w:rPr>
                <w:lang w:val="vi-VN"/>
              </w:rPr>
              <w:t xml:space="preserve">Số: </w:t>
            </w:r>
            <w:r w:rsidR="001E670B">
              <w:t>01</w:t>
            </w:r>
            <w:r w:rsidRPr="00F866DB">
              <w:rPr>
                <w:lang w:val="vi-VN"/>
              </w:rPr>
              <w:t>/201</w:t>
            </w:r>
            <w:r w:rsidRPr="00F866DB">
              <w:t>5</w:t>
            </w:r>
            <w:r w:rsidRPr="00F866DB">
              <w:rPr>
                <w:lang w:val="vi-VN"/>
              </w:rPr>
              <w:t>/</w:t>
            </w:r>
            <w:r>
              <w:t>NQ</w:t>
            </w:r>
            <w:r w:rsidRPr="00F866DB">
              <w:rPr>
                <w:lang w:val="vi-VN"/>
              </w:rPr>
              <w:t>-</w:t>
            </w:r>
            <w:r>
              <w:t>ĐHCĐ</w:t>
            </w:r>
          </w:p>
        </w:tc>
        <w:tc>
          <w:tcPr>
            <w:tcW w:w="5670" w:type="dxa"/>
          </w:tcPr>
          <w:p w:rsidR="00AB70DC" w:rsidRPr="00F866DB" w:rsidRDefault="00AB70DC" w:rsidP="00622771">
            <w:pPr>
              <w:widowControl w:val="0"/>
              <w:jc w:val="center"/>
              <w:rPr>
                <w:b/>
                <w:lang w:val="vi-VN"/>
              </w:rPr>
            </w:pPr>
            <w:r w:rsidRPr="00F866DB">
              <w:rPr>
                <w:b/>
                <w:lang w:val="vi-VN"/>
              </w:rPr>
              <w:t>CỘNG HÒA XÃ HỘI CHỦ NGHĨA VIỆT NAM</w:t>
            </w:r>
          </w:p>
          <w:p w:rsidR="00AB70DC" w:rsidRPr="00F866DB" w:rsidRDefault="00AB70DC" w:rsidP="00622771">
            <w:pPr>
              <w:widowControl w:val="0"/>
              <w:jc w:val="center"/>
              <w:rPr>
                <w:b/>
                <w:lang w:val="vi-VN"/>
              </w:rPr>
            </w:pPr>
            <w:r w:rsidRPr="00F866DB">
              <w:rPr>
                <w:b/>
                <w:lang w:val="vi-VN"/>
              </w:rPr>
              <w:t>Độc lập – Tự do – Hạnh phúc</w:t>
            </w:r>
          </w:p>
          <w:p w:rsidR="00AB70DC" w:rsidRPr="00F866DB" w:rsidRDefault="00AB70DC" w:rsidP="00622771">
            <w:pPr>
              <w:widowControl w:val="0"/>
              <w:jc w:val="center"/>
              <w:rPr>
                <w:lang w:val="vi-VN"/>
              </w:rPr>
            </w:pPr>
            <w:r w:rsidRPr="00F866DB">
              <w:rPr>
                <w:lang w:val="vi-VN"/>
              </w:rPr>
              <w:t>-----------------------</w:t>
            </w:r>
          </w:p>
          <w:p w:rsidR="00AB70DC" w:rsidRPr="00F866DB" w:rsidRDefault="00AB70DC" w:rsidP="00622771">
            <w:pPr>
              <w:widowControl w:val="0"/>
              <w:jc w:val="right"/>
              <w:rPr>
                <w:lang w:val="vi-VN"/>
              </w:rPr>
            </w:pPr>
            <w:r w:rsidRPr="00F866DB">
              <w:rPr>
                <w:i/>
                <w:lang w:val="vi-VN"/>
              </w:rPr>
              <w:t xml:space="preserve">Hà Nội, ngày </w:t>
            </w:r>
            <w:r w:rsidRPr="00AB70DC">
              <w:rPr>
                <w:i/>
                <w:lang w:val="vi-VN"/>
              </w:rPr>
              <w:t>28</w:t>
            </w:r>
            <w:r w:rsidRPr="00F866DB">
              <w:rPr>
                <w:i/>
                <w:lang w:val="vi-VN"/>
              </w:rPr>
              <w:t xml:space="preserve"> tháng 03 năm 2015</w:t>
            </w:r>
          </w:p>
        </w:tc>
      </w:tr>
    </w:tbl>
    <w:p w:rsidR="00AB70DC" w:rsidRPr="00AB70DC" w:rsidRDefault="00AB70DC" w:rsidP="00622771">
      <w:pPr>
        <w:widowControl w:val="0"/>
        <w:spacing w:before="120" w:after="120"/>
        <w:rPr>
          <w:b/>
          <w:lang w:val="vi-VN"/>
        </w:rPr>
      </w:pPr>
    </w:p>
    <w:p w:rsidR="00BB380D" w:rsidRPr="00EA5061" w:rsidRDefault="00BB380D" w:rsidP="00622771">
      <w:pPr>
        <w:widowControl w:val="0"/>
        <w:spacing w:before="120" w:after="120"/>
        <w:jc w:val="center"/>
        <w:rPr>
          <w:b/>
          <w:sz w:val="28"/>
          <w:szCs w:val="28"/>
        </w:rPr>
      </w:pPr>
      <w:r w:rsidRPr="00EA5061">
        <w:rPr>
          <w:b/>
          <w:sz w:val="28"/>
          <w:szCs w:val="28"/>
        </w:rPr>
        <w:t xml:space="preserve">NGHỊ QUYẾT </w:t>
      </w:r>
    </w:p>
    <w:p w:rsidR="00AA5A99" w:rsidRPr="00EA5061" w:rsidRDefault="006968BC" w:rsidP="00622771">
      <w:pPr>
        <w:widowControl w:val="0"/>
        <w:spacing w:before="120" w:after="120"/>
        <w:jc w:val="center"/>
        <w:rPr>
          <w:b/>
          <w:sz w:val="28"/>
          <w:szCs w:val="28"/>
        </w:rPr>
      </w:pPr>
      <w:r w:rsidRPr="00EA5061">
        <w:rPr>
          <w:b/>
          <w:sz w:val="28"/>
          <w:szCs w:val="28"/>
        </w:rPr>
        <w:t xml:space="preserve">ĐẠI HỘI ĐỒNG CỔ ĐÔNG </w:t>
      </w:r>
      <w:r w:rsidR="00030668" w:rsidRPr="00EA5061">
        <w:rPr>
          <w:b/>
          <w:sz w:val="28"/>
          <w:szCs w:val="28"/>
        </w:rPr>
        <w:t>THƯỜNG NIÊN</w:t>
      </w:r>
      <w:r w:rsidR="00AA5A99" w:rsidRPr="00EA5061">
        <w:rPr>
          <w:b/>
          <w:sz w:val="28"/>
          <w:szCs w:val="28"/>
        </w:rPr>
        <w:t xml:space="preserve"> NĂM 201</w:t>
      </w:r>
      <w:r w:rsidR="00030668" w:rsidRPr="00EA5061">
        <w:rPr>
          <w:b/>
          <w:sz w:val="28"/>
          <w:szCs w:val="28"/>
        </w:rPr>
        <w:t>5</w:t>
      </w:r>
    </w:p>
    <w:p w:rsidR="00AA5A99" w:rsidRPr="00EA5061" w:rsidRDefault="00AA5A99" w:rsidP="00622771">
      <w:pPr>
        <w:widowControl w:val="0"/>
        <w:spacing w:before="120" w:after="120"/>
        <w:jc w:val="center"/>
        <w:rPr>
          <w:b/>
          <w:sz w:val="28"/>
          <w:szCs w:val="28"/>
        </w:rPr>
      </w:pPr>
      <w:r w:rsidRPr="00EA5061">
        <w:rPr>
          <w:b/>
          <w:sz w:val="28"/>
          <w:szCs w:val="28"/>
        </w:rPr>
        <w:t xml:space="preserve">CÔNG TY CỔ PHẦN CHỨNG KHOÁN </w:t>
      </w:r>
      <w:r w:rsidR="006968BC" w:rsidRPr="00EA5061">
        <w:rPr>
          <w:b/>
          <w:sz w:val="28"/>
          <w:szCs w:val="28"/>
        </w:rPr>
        <w:t>IB</w:t>
      </w:r>
    </w:p>
    <w:p w:rsidR="00BB380D" w:rsidRPr="002364C2" w:rsidRDefault="00BB380D" w:rsidP="00622771">
      <w:pPr>
        <w:widowControl w:val="0"/>
        <w:spacing w:before="120" w:after="120"/>
      </w:pPr>
    </w:p>
    <w:p w:rsidR="00013D69" w:rsidRPr="002364C2" w:rsidRDefault="009128D6" w:rsidP="00622771">
      <w:pPr>
        <w:widowControl w:val="0"/>
        <w:numPr>
          <w:ilvl w:val="0"/>
          <w:numId w:val="1"/>
        </w:numPr>
        <w:tabs>
          <w:tab w:val="clear" w:pos="720"/>
          <w:tab w:val="num" w:pos="567"/>
        </w:tabs>
        <w:ind w:left="568" w:hanging="284"/>
        <w:jc w:val="both"/>
        <w:rPr>
          <w:i/>
        </w:rPr>
      </w:pPr>
      <w:r w:rsidRPr="002364C2">
        <w:rPr>
          <w:i/>
        </w:rPr>
        <w:t xml:space="preserve">Căn cứ </w:t>
      </w:r>
      <w:r w:rsidR="00013D69" w:rsidRPr="002364C2">
        <w:rPr>
          <w:i/>
        </w:rPr>
        <w:t>Luật Doanh nghiệp số 60/2005/QH11 được Quốc hội nước Cộng hoà xã hội chủ nghĩa Việt Nam ngày 29/11/2005</w:t>
      </w:r>
      <w:r w:rsidR="00392D4A" w:rsidRPr="00392D4A">
        <w:rPr>
          <w:i/>
          <w:lang w:val="nl-NL"/>
        </w:rPr>
        <w:t xml:space="preserve"> </w:t>
      </w:r>
      <w:r w:rsidR="00392D4A" w:rsidRPr="00D53E8F">
        <w:rPr>
          <w:i/>
          <w:lang w:val="nl-NL"/>
        </w:rPr>
        <w:t>và các văn bản hướng dẫn thi hành</w:t>
      </w:r>
      <w:r w:rsidR="00013D69" w:rsidRPr="002364C2">
        <w:rPr>
          <w:i/>
        </w:rPr>
        <w:t>;</w:t>
      </w:r>
    </w:p>
    <w:p w:rsidR="00013D69" w:rsidRPr="002364C2" w:rsidRDefault="005A2A50" w:rsidP="00622771">
      <w:pPr>
        <w:widowControl w:val="0"/>
        <w:numPr>
          <w:ilvl w:val="0"/>
          <w:numId w:val="1"/>
        </w:numPr>
        <w:tabs>
          <w:tab w:val="clear" w:pos="720"/>
          <w:tab w:val="num" w:pos="567"/>
        </w:tabs>
        <w:ind w:left="568" w:hanging="284"/>
        <w:jc w:val="both"/>
        <w:rPr>
          <w:i/>
        </w:rPr>
      </w:pPr>
      <w:r w:rsidRPr="002364C2">
        <w:rPr>
          <w:i/>
        </w:rPr>
        <w:t>Căn cứ</w:t>
      </w:r>
      <w:r w:rsidR="006350AA" w:rsidRPr="002364C2">
        <w:rPr>
          <w:i/>
        </w:rPr>
        <w:t xml:space="preserve"> </w:t>
      </w:r>
      <w:r w:rsidR="00013D69" w:rsidRPr="002364C2">
        <w:rPr>
          <w:i/>
        </w:rPr>
        <w:t>Luật chứng khoán số 70/2005/QH11 được Quốc hội nước Cộng hòa xã hội chủ nghĩa Việt Nam khóa 11 thông qua ngày 29/06/2006</w:t>
      </w:r>
      <w:r w:rsidR="00392D4A">
        <w:rPr>
          <w:i/>
        </w:rPr>
        <w:t xml:space="preserve">, </w:t>
      </w:r>
      <w:r w:rsidR="00392D4A" w:rsidRPr="00D53E8F">
        <w:rPr>
          <w:i/>
          <w:lang w:val="nl-NL"/>
        </w:rPr>
        <w:t>Luật sửa đổi, bổ sung một số điều của Luật Chứng khoán được Quốc hội thông qua ngày 24 tháng 11 năm 2010 và các văn bản hướng dẫn thi hành</w:t>
      </w:r>
      <w:r w:rsidR="00013D69" w:rsidRPr="002364C2">
        <w:rPr>
          <w:i/>
        </w:rPr>
        <w:t>;</w:t>
      </w:r>
    </w:p>
    <w:p w:rsidR="00EE7308" w:rsidRPr="002364C2" w:rsidRDefault="00E57F22" w:rsidP="00622771">
      <w:pPr>
        <w:widowControl w:val="0"/>
        <w:numPr>
          <w:ilvl w:val="0"/>
          <w:numId w:val="1"/>
        </w:numPr>
        <w:tabs>
          <w:tab w:val="clear" w:pos="720"/>
          <w:tab w:val="num" w:pos="567"/>
        </w:tabs>
        <w:ind w:left="568" w:hanging="284"/>
        <w:jc w:val="both"/>
        <w:rPr>
          <w:i/>
        </w:rPr>
      </w:pPr>
      <w:r w:rsidRPr="002364C2">
        <w:rPr>
          <w:i/>
        </w:rPr>
        <w:t xml:space="preserve">Căn cứ </w:t>
      </w:r>
      <w:r w:rsidR="00556A27" w:rsidRPr="002364C2">
        <w:rPr>
          <w:i/>
        </w:rPr>
        <w:t xml:space="preserve">Điều lệ </w:t>
      </w:r>
      <w:r w:rsidR="00EE7308" w:rsidRPr="002364C2">
        <w:rPr>
          <w:i/>
        </w:rPr>
        <w:t xml:space="preserve">của </w:t>
      </w:r>
      <w:r w:rsidR="006E7D58" w:rsidRPr="002364C2">
        <w:rPr>
          <w:i/>
        </w:rPr>
        <w:t xml:space="preserve">Công ty cổ phần </w:t>
      </w:r>
      <w:r w:rsidR="00FE24DD" w:rsidRPr="002364C2">
        <w:rPr>
          <w:i/>
        </w:rPr>
        <w:t xml:space="preserve">Chứng khoán </w:t>
      </w:r>
      <w:r w:rsidR="006968BC">
        <w:rPr>
          <w:i/>
        </w:rPr>
        <w:t>IB</w:t>
      </w:r>
      <w:r w:rsidR="00EE7308" w:rsidRPr="002364C2">
        <w:rPr>
          <w:i/>
        </w:rPr>
        <w:t>;</w:t>
      </w:r>
    </w:p>
    <w:p w:rsidR="00C8560F" w:rsidRPr="002364C2" w:rsidRDefault="00C8560F" w:rsidP="00622771">
      <w:pPr>
        <w:widowControl w:val="0"/>
        <w:numPr>
          <w:ilvl w:val="0"/>
          <w:numId w:val="1"/>
        </w:numPr>
        <w:tabs>
          <w:tab w:val="clear" w:pos="720"/>
          <w:tab w:val="num" w:pos="567"/>
        </w:tabs>
        <w:ind w:left="568" w:hanging="284"/>
        <w:jc w:val="both"/>
        <w:rPr>
          <w:i/>
        </w:rPr>
      </w:pPr>
      <w:r w:rsidRPr="002364C2">
        <w:rPr>
          <w:i/>
        </w:rPr>
        <w:t xml:space="preserve">Căn cứ Biên bản </w:t>
      </w:r>
      <w:r w:rsidR="00E7503C">
        <w:rPr>
          <w:i/>
        </w:rPr>
        <w:t xml:space="preserve">họp </w:t>
      </w:r>
      <w:r w:rsidRPr="002364C2">
        <w:rPr>
          <w:i/>
        </w:rPr>
        <w:t>Đại hội đ</w:t>
      </w:r>
      <w:r w:rsidR="00F606DA" w:rsidRPr="002364C2">
        <w:rPr>
          <w:i/>
        </w:rPr>
        <w:t xml:space="preserve">ồng cổ đông </w:t>
      </w:r>
      <w:r w:rsidR="0065748A">
        <w:rPr>
          <w:i/>
        </w:rPr>
        <w:t xml:space="preserve">thường niên </w:t>
      </w:r>
      <w:r w:rsidR="00131991" w:rsidRPr="002364C2">
        <w:rPr>
          <w:i/>
        </w:rPr>
        <w:t>năm 201</w:t>
      </w:r>
      <w:r w:rsidR="0065748A">
        <w:rPr>
          <w:i/>
        </w:rPr>
        <w:t>5</w:t>
      </w:r>
      <w:r w:rsidR="00E7503C">
        <w:rPr>
          <w:i/>
        </w:rPr>
        <w:t xml:space="preserve"> số 01/2015/IBSC-BB-ĐHĐCĐ ngày 28/03/2015 của </w:t>
      </w:r>
      <w:r w:rsidRPr="002364C2">
        <w:rPr>
          <w:i/>
        </w:rPr>
        <w:t xml:space="preserve">Công ty Cổ phần Chứng khoán </w:t>
      </w:r>
      <w:r w:rsidR="006968BC">
        <w:rPr>
          <w:i/>
        </w:rPr>
        <w:t>IB</w:t>
      </w:r>
      <w:r w:rsidR="00D343E9" w:rsidRPr="002364C2">
        <w:rPr>
          <w:i/>
        </w:rPr>
        <w:t>;</w:t>
      </w:r>
    </w:p>
    <w:p w:rsidR="00FF4B63" w:rsidRPr="002364C2" w:rsidRDefault="00FF4B63" w:rsidP="00622771">
      <w:pPr>
        <w:widowControl w:val="0"/>
        <w:tabs>
          <w:tab w:val="num" w:pos="567"/>
        </w:tabs>
        <w:spacing w:before="120" w:after="120"/>
        <w:ind w:left="567" w:hanging="283"/>
        <w:rPr>
          <w:sz w:val="10"/>
          <w:szCs w:val="10"/>
        </w:rPr>
      </w:pPr>
    </w:p>
    <w:p w:rsidR="00BB380D" w:rsidRPr="00EA5061" w:rsidRDefault="00A45222" w:rsidP="00622771">
      <w:pPr>
        <w:widowControl w:val="0"/>
        <w:spacing w:before="120" w:after="120"/>
        <w:jc w:val="center"/>
        <w:rPr>
          <w:b/>
        </w:rPr>
      </w:pPr>
      <w:r w:rsidRPr="00EA5061">
        <w:rPr>
          <w:b/>
        </w:rPr>
        <w:t>QUYẾT NGHỊ</w:t>
      </w:r>
    </w:p>
    <w:p w:rsidR="00B067EB" w:rsidRPr="00B04C5F" w:rsidRDefault="00B067EB" w:rsidP="00622771">
      <w:pPr>
        <w:widowControl w:val="0"/>
        <w:spacing w:before="60" w:after="60" w:line="288" w:lineRule="auto"/>
        <w:jc w:val="center"/>
        <w:rPr>
          <w:b/>
        </w:rPr>
      </w:pPr>
    </w:p>
    <w:p w:rsidR="0065748A" w:rsidRPr="00B04C5F" w:rsidRDefault="008D4D18" w:rsidP="00FC58DF">
      <w:pPr>
        <w:widowControl w:val="0"/>
        <w:tabs>
          <w:tab w:val="left" w:pos="0"/>
        </w:tabs>
        <w:spacing w:before="240" w:after="240" w:line="288" w:lineRule="auto"/>
        <w:jc w:val="both"/>
        <w:rPr>
          <w:b/>
        </w:rPr>
      </w:pPr>
      <w:r w:rsidRPr="00B04C5F">
        <w:rPr>
          <w:b/>
        </w:rPr>
        <w:t xml:space="preserve">Điều </w:t>
      </w:r>
      <w:r w:rsidR="00A45222" w:rsidRPr="00B04C5F">
        <w:rPr>
          <w:b/>
        </w:rPr>
        <w:t>1</w:t>
      </w:r>
      <w:r w:rsidR="0065748A" w:rsidRPr="00B04C5F">
        <w:rPr>
          <w:b/>
        </w:rPr>
        <w:t>:</w:t>
      </w:r>
      <w:r w:rsidR="00A45222" w:rsidRPr="00B04C5F">
        <w:rPr>
          <w:b/>
        </w:rPr>
        <w:t xml:space="preserve"> </w:t>
      </w:r>
      <w:r w:rsidR="00A45222" w:rsidRPr="00B04C5F">
        <w:t>Thông qua báo cáo của Hội đồng quản t</w:t>
      </w:r>
      <w:r w:rsidR="006968BC" w:rsidRPr="00B04C5F">
        <w:t xml:space="preserve">rị </w:t>
      </w:r>
      <w:r w:rsidR="00E7503C">
        <w:t xml:space="preserve">về </w:t>
      </w:r>
      <w:r w:rsidR="0065748A" w:rsidRPr="00B04C5F">
        <w:t>đánh giá thực trạng công tác quản lý kinh doanh của Công ty trong năm tài chính 201</w:t>
      </w:r>
      <w:r w:rsidR="00D32F78">
        <w:t>4</w:t>
      </w:r>
      <w:r w:rsidR="00AB70DC" w:rsidRPr="00B04C5F">
        <w:t>.</w:t>
      </w:r>
    </w:p>
    <w:p w:rsidR="00AB70DC" w:rsidRPr="00B04C5F" w:rsidRDefault="0065748A" w:rsidP="00FC58DF">
      <w:pPr>
        <w:widowControl w:val="0"/>
        <w:tabs>
          <w:tab w:val="left" w:pos="0"/>
        </w:tabs>
        <w:spacing w:before="240" w:after="240" w:line="288" w:lineRule="auto"/>
        <w:jc w:val="both"/>
      </w:pPr>
      <w:r w:rsidRPr="00B04C5F">
        <w:rPr>
          <w:b/>
        </w:rPr>
        <w:t xml:space="preserve">Điều 2: </w:t>
      </w:r>
      <w:r w:rsidRPr="00B04C5F">
        <w:t xml:space="preserve">Thông qua báo cáo hoạt động của Ban Kiểm soát về quản lý Công ty của Hội đồng quản trị, Ban Giám đốc </w:t>
      </w:r>
      <w:r w:rsidR="00AB70DC" w:rsidRPr="00B04C5F">
        <w:t>Công ty trong năm 201</w:t>
      </w:r>
      <w:r w:rsidR="00D32F78">
        <w:t>4</w:t>
      </w:r>
      <w:r w:rsidR="00AB70DC" w:rsidRPr="00B04C5F">
        <w:t xml:space="preserve">. </w:t>
      </w:r>
    </w:p>
    <w:p w:rsidR="00E7503C" w:rsidRDefault="00E7503C" w:rsidP="00E7503C">
      <w:pPr>
        <w:widowControl w:val="0"/>
        <w:tabs>
          <w:tab w:val="left" w:pos="0"/>
        </w:tabs>
        <w:spacing w:before="240" w:after="240" w:line="288" w:lineRule="auto"/>
        <w:jc w:val="both"/>
      </w:pPr>
      <w:r w:rsidRPr="00B04C5F">
        <w:rPr>
          <w:b/>
        </w:rPr>
        <w:t xml:space="preserve">Điều </w:t>
      </w:r>
      <w:r>
        <w:rPr>
          <w:b/>
        </w:rPr>
        <w:t>3</w:t>
      </w:r>
      <w:r w:rsidRPr="00B04C5F">
        <w:rPr>
          <w:b/>
        </w:rPr>
        <w:t>:</w:t>
      </w:r>
      <w:r w:rsidRPr="00392D4A">
        <w:t xml:space="preserve"> Thông qua b</w:t>
      </w:r>
      <w:r w:rsidRPr="00B04C5F">
        <w:t>áo cáo tài chính</w:t>
      </w:r>
      <w:r>
        <w:t xml:space="preserve"> Công ty CP Chứng khoán IB</w:t>
      </w:r>
      <w:r w:rsidRPr="00B04C5F">
        <w:t xml:space="preserve"> năm 201</w:t>
      </w:r>
      <w:r>
        <w:t>4</w:t>
      </w:r>
      <w:r w:rsidRPr="00B04C5F">
        <w:t xml:space="preserve"> được kiểm toán bởi Công ty TNHH Ernst &amp; Young Việt Nam. </w:t>
      </w:r>
      <w:r>
        <w:t xml:space="preserve">Báo cáo tài chính năm 2014 đã kiểm toán được đăng tải trên trang thông tin điện tử của công ty. </w:t>
      </w:r>
    </w:p>
    <w:p w:rsidR="00D32F78" w:rsidRPr="00622771" w:rsidRDefault="00E7503C" w:rsidP="00FC58DF">
      <w:pPr>
        <w:widowControl w:val="0"/>
        <w:tabs>
          <w:tab w:val="left" w:pos="0"/>
        </w:tabs>
        <w:spacing w:before="240" w:after="240" w:line="288" w:lineRule="auto"/>
        <w:jc w:val="both"/>
        <w:rPr>
          <w:b/>
        </w:rPr>
      </w:pPr>
      <w:r>
        <w:rPr>
          <w:b/>
        </w:rPr>
        <w:t>Điều 4</w:t>
      </w:r>
      <w:r w:rsidR="00D32F78" w:rsidRPr="00622771">
        <w:rPr>
          <w:b/>
        </w:rPr>
        <w:t>:</w:t>
      </w:r>
      <w:r w:rsidR="00D32F78" w:rsidRPr="00622771">
        <w:t xml:space="preserve"> </w:t>
      </w:r>
      <w:r w:rsidR="00622771" w:rsidRPr="00622771">
        <w:t xml:space="preserve">Thông </w:t>
      </w:r>
      <w:r w:rsidR="00622771">
        <w:t>qua kết quả hoạt động kinh doanh năm 2014 như sau:</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977"/>
        <w:gridCol w:w="1417"/>
        <w:gridCol w:w="1276"/>
        <w:gridCol w:w="1276"/>
        <w:gridCol w:w="1276"/>
      </w:tblGrid>
      <w:tr w:rsidR="00D32F78" w:rsidRPr="00361065" w:rsidTr="00D204CE">
        <w:tc>
          <w:tcPr>
            <w:tcW w:w="724" w:type="dxa"/>
            <w:shd w:val="clear" w:color="auto" w:fill="auto"/>
            <w:vAlign w:val="center"/>
            <w:hideMark/>
          </w:tcPr>
          <w:p w:rsidR="00D32F78" w:rsidRPr="00361065" w:rsidRDefault="00D32F78" w:rsidP="00622771">
            <w:pPr>
              <w:widowControl w:val="0"/>
              <w:spacing w:before="100" w:beforeAutospacing="1" w:after="100" w:afterAutospacing="1"/>
              <w:jc w:val="center"/>
              <w:rPr>
                <w:b/>
                <w:bCs/>
                <w:color w:val="000000"/>
              </w:rPr>
            </w:pPr>
            <w:r w:rsidRPr="00361065">
              <w:rPr>
                <w:b/>
                <w:bCs/>
                <w:color w:val="000000"/>
              </w:rPr>
              <w:t>STT</w:t>
            </w:r>
          </w:p>
        </w:tc>
        <w:tc>
          <w:tcPr>
            <w:tcW w:w="2977" w:type="dxa"/>
            <w:shd w:val="clear" w:color="auto" w:fill="auto"/>
            <w:vAlign w:val="center"/>
            <w:hideMark/>
          </w:tcPr>
          <w:p w:rsidR="00D32F78" w:rsidRPr="00361065" w:rsidRDefault="00D32F78" w:rsidP="00622771">
            <w:pPr>
              <w:widowControl w:val="0"/>
              <w:spacing w:before="100" w:beforeAutospacing="1" w:after="100" w:afterAutospacing="1"/>
              <w:jc w:val="center"/>
              <w:rPr>
                <w:b/>
                <w:bCs/>
                <w:color w:val="000000"/>
              </w:rPr>
            </w:pPr>
            <w:r w:rsidRPr="00361065">
              <w:rPr>
                <w:b/>
                <w:bCs/>
                <w:color w:val="000000"/>
              </w:rPr>
              <w:t>Chỉ tiêu</w:t>
            </w:r>
          </w:p>
        </w:tc>
        <w:tc>
          <w:tcPr>
            <w:tcW w:w="1417" w:type="dxa"/>
            <w:shd w:val="clear" w:color="auto" w:fill="auto"/>
            <w:vAlign w:val="center"/>
            <w:hideMark/>
          </w:tcPr>
          <w:p w:rsidR="00D32F78" w:rsidRPr="00361065" w:rsidRDefault="00D32F78" w:rsidP="00622771">
            <w:pPr>
              <w:widowControl w:val="0"/>
              <w:spacing w:before="100" w:beforeAutospacing="1" w:after="100" w:afterAutospacing="1"/>
              <w:jc w:val="center"/>
              <w:rPr>
                <w:b/>
                <w:bCs/>
                <w:color w:val="000000"/>
              </w:rPr>
            </w:pPr>
            <w:r w:rsidRPr="00361065">
              <w:rPr>
                <w:b/>
                <w:bCs/>
                <w:color w:val="000000"/>
              </w:rPr>
              <w:t>Đơn vị</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center"/>
              <w:rPr>
                <w:b/>
                <w:bCs/>
                <w:color w:val="000000"/>
              </w:rPr>
            </w:pPr>
            <w:r w:rsidRPr="00361065">
              <w:rPr>
                <w:b/>
                <w:bCs/>
                <w:color w:val="000000"/>
              </w:rPr>
              <w:t>Kế hoạch năm 2014</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center"/>
              <w:rPr>
                <w:b/>
                <w:bCs/>
                <w:color w:val="000000"/>
              </w:rPr>
            </w:pPr>
            <w:r w:rsidRPr="00361065">
              <w:rPr>
                <w:b/>
                <w:bCs/>
                <w:color w:val="000000"/>
              </w:rPr>
              <w:t>Thực hiện năm 2014</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center"/>
              <w:rPr>
                <w:b/>
                <w:bCs/>
                <w:color w:val="000000"/>
              </w:rPr>
            </w:pPr>
            <w:r>
              <w:rPr>
                <w:b/>
                <w:bCs/>
                <w:color w:val="000000"/>
              </w:rPr>
              <w:t>Tỉ lệ thực hiện</w:t>
            </w:r>
          </w:p>
        </w:tc>
      </w:tr>
      <w:tr w:rsidR="00D32F78" w:rsidRPr="00361065" w:rsidTr="00D204CE">
        <w:tc>
          <w:tcPr>
            <w:tcW w:w="724"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sidRPr="00361065">
              <w:rPr>
                <w:color w:val="000000"/>
              </w:rPr>
              <w:t>1</w:t>
            </w:r>
          </w:p>
        </w:tc>
        <w:tc>
          <w:tcPr>
            <w:tcW w:w="2977" w:type="dxa"/>
            <w:shd w:val="clear" w:color="auto" w:fill="auto"/>
            <w:vAlign w:val="center"/>
            <w:hideMark/>
          </w:tcPr>
          <w:p w:rsidR="00D32F78" w:rsidRPr="00361065" w:rsidRDefault="00D32F78" w:rsidP="00622771">
            <w:pPr>
              <w:widowControl w:val="0"/>
              <w:spacing w:before="100" w:beforeAutospacing="1" w:after="100" w:afterAutospacing="1"/>
              <w:rPr>
                <w:color w:val="000000"/>
              </w:rPr>
            </w:pPr>
            <w:r w:rsidRPr="00361065">
              <w:rPr>
                <w:color w:val="000000"/>
              </w:rPr>
              <w:t>Vốn điều lệ</w:t>
            </w:r>
          </w:p>
        </w:tc>
        <w:tc>
          <w:tcPr>
            <w:tcW w:w="1417"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Pr>
                <w:color w:val="000000"/>
              </w:rPr>
              <w:t>Tỷ</w:t>
            </w:r>
            <w:r w:rsidRPr="00361065">
              <w:rPr>
                <w:color w:val="000000"/>
              </w:rPr>
              <w:t xml:space="preserve"> đồng</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color w:val="000000"/>
              </w:rPr>
              <w:t>60</w:t>
            </w:r>
            <w:r>
              <w:rPr>
                <w:color w:val="000000"/>
              </w:rPr>
              <w:t>9</w:t>
            </w:r>
            <w:r w:rsidRPr="00361065">
              <w:rPr>
                <w:color w:val="000000"/>
              </w:rPr>
              <w:t xml:space="preserve"> </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color w:val="000000"/>
              </w:rPr>
              <w:t>300</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Pr>
                <w:color w:val="000000"/>
              </w:rPr>
              <w:t>Đang thực hiện</w:t>
            </w:r>
          </w:p>
        </w:tc>
      </w:tr>
      <w:tr w:rsidR="00D32F78" w:rsidRPr="00361065" w:rsidTr="00D204CE">
        <w:tc>
          <w:tcPr>
            <w:tcW w:w="724"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sidRPr="00361065">
              <w:rPr>
                <w:color w:val="000000"/>
              </w:rPr>
              <w:t>2</w:t>
            </w:r>
          </w:p>
        </w:tc>
        <w:tc>
          <w:tcPr>
            <w:tcW w:w="2977" w:type="dxa"/>
            <w:shd w:val="clear" w:color="auto" w:fill="auto"/>
            <w:vAlign w:val="center"/>
            <w:hideMark/>
          </w:tcPr>
          <w:p w:rsidR="00D32F78" w:rsidRPr="00361065" w:rsidRDefault="00D32F78" w:rsidP="00622771">
            <w:pPr>
              <w:widowControl w:val="0"/>
              <w:spacing w:before="100" w:beforeAutospacing="1" w:after="100" w:afterAutospacing="1"/>
              <w:rPr>
                <w:color w:val="000000"/>
              </w:rPr>
            </w:pPr>
            <w:r w:rsidRPr="00361065">
              <w:rPr>
                <w:color w:val="000000"/>
              </w:rPr>
              <w:t>Doanh thu</w:t>
            </w:r>
          </w:p>
        </w:tc>
        <w:tc>
          <w:tcPr>
            <w:tcW w:w="1417"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sidRPr="00361065">
              <w:rPr>
                <w:color w:val="000000"/>
              </w:rPr>
              <w:t>Triệu đồng</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color w:val="000000"/>
              </w:rPr>
              <w:t>113</w:t>
            </w:r>
            <w:r>
              <w:rPr>
                <w:color w:val="000000"/>
              </w:rPr>
              <w:t>.</w:t>
            </w:r>
            <w:r w:rsidRPr="00361065">
              <w:rPr>
                <w:color w:val="000000"/>
              </w:rPr>
              <w:t xml:space="preserve">738 </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color w:val="000000"/>
              </w:rPr>
              <w:t>139</w:t>
            </w:r>
            <w:r>
              <w:rPr>
                <w:color w:val="000000"/>
              </w:rPr>
              <w:t>.</w:t>
            </w:r>
            <w:r w:rsidRPr="00361065">
              <w:rPr>
                <w:color w:val="000000"/>
              </w:rPr>
              <w:t xml:space="preserve">382 </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Pr>
                <w:color w:val="000000"/>
              </w:rPr>
              <w:t>1</w:t>
            </w:r>
            <w:r w:rsidRPr="00361065">
              <w:rPr>
                <w:color w:val="000000"/>
              </w:rPr>
              <w:t>23%</w:t>
            </w:r>
          </w:p>
        </w:tc>
      </w:tr>
      <w:tr w:rsidR="00D32F78" w:rsidRPr="00361065" w:rsidTr="00D204CE">
        <w:tc>
          <w:tcPr>
            <w:tcW w:w="724"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sidRPr="00361065">
              <w:rPr>
                <w:color w:val="000000"/>
              </w:rPr>
              <w:t>3</w:t>
            </w:r>
          </w:p>
        </w:tc>
        <w:tc>
          <w:tcPr>
            <w:tcW w:w="2977" w:type="dxa"/>
            <w:shd w:val="clear" w:color="auto" w:fill="auto"/>
            <w:vAlign w:val="center"/>
            <w:hideMark/>
          </w:tcPr>
          <w:p w:rsidR="00D32F78" w:rsidRPr="00361065" w:rsidRDefault="00D32F78" w:rsidP="00622771">
            <w:pPr>
              <w:widowControl w:val="0"/>
              <w:spacing w:before="100" w:beforeAutospacing="1" w:after="100" w:afterAutospacing="1"/>
              <w:rPr>
                <w:color w:val="000000"/>
              </w:rPr>
            </w:pPr>
            <w:r w:rsidRPr="00361065">
              <w:rPr>
                <w:color w:val="000000"/>
              </w:rPr>
              <w:t>Lợi nhuận trước thuế</w:t>
            </w:r>
          </w:p>
        </w:tc>
        <w:tc>
          <w:tcPr>
            <w:tcW w:w="1417"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sidRPr="00361065">
              <w:rPr>
                <w:color w:val="000000"/>
              </w:rPr>
              <w:t>Triệu đồng</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bCs/>
                <w:color w:val="000000"/>
              </w:rPr>
              <w:t>61</w:t>
            </w:r>
            <w:r>
              <w:rPr>
                <w:bCs/>
                <w:color w:val="000000"/>
              </w:rPr>
              <w:t>.</w:t>
            </w:r>
            <w:r w:rsidRPr="00361065">
              <w:rPr>
                <w:bCs/>
                <w:color w:val="000000"/>
              </w:rPr>
              <w:t xml:space="preserve">922 </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color w:val="000000"/>
              </w:rPr>
              <w:t>97</w:t>
            </w:r>
            <w:r>
              <w:rPr>
                <w:color w:val="000000"/>
              </w:rPr>
              <w:t>.</w:t>
            </w:r>
            <w:r w:rsidRPr="00361065">
              <w:rPr>
                <w:color w:val="000000"/>
              </w:rPr>
              <w:t xml:space="preserve">675 </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Pr>
                <w:color w:val="000000"/>
              </w:rPr>
              <w:t>1</w:t>
            </w:r>
            <w:r w:rsidRPr="00361065">
              <w:rPr>
                <w:color w:val="000000"/>
              </w:rPr>
              <w:t>58%</w:t>
            </w:r>
          </w:p>
        </w:tc>
      </w:tr>
      <w:tr w:rsidR="00D32F78" w:rsidRPr="00361065" w:rsidTr="00D204CE">
        <w:tc>
          <w:tcPr>
            <w:tcW w:w="724"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sidRPr="00361065">
              <w:rPr>
                <w:color w:val="000000"/>
              </w:rPr>
              <w:t>4</w:t>
            </w:r>
          </w:p>
        </w:tc>
        <w:tc>
          <w:tcPr>
            <w:tcW w:w="2977" w:type="dxa"/>
            <w:shd w:val="clear" w:color="auto" w:fill="auto"/>
            <w:vAlign w:val="center"/>
            <w:hideMark/>
          </w:tcPr>
          <w:p w:rsidR="00D32F78" w:rsidRPr="00361065" w:rsidRDefault="00D32F78" w:rsidP="00622771">
            <w:pPr>
              <w:widowControl w:val="0"/>
              <w:spacing w:before="100" w:beforeAutospacing="1" w:after="100" w:afterAutospacing="1"/>
              <w:rPr>
                <w:color w:val="000000"/>
              </w:rPr>
            </w:pPr>
            <w:r w:rsidRPr="00361065">
              <w:rPr>
                <w:color w:val="000000"/>
              </w:rPr>
              <w:t>Thuế thu nhập doanh nghiệp</w:t>
            </w:r>
          </w:p>
        </w:tc>
        <w:tc>
          <w:tcPr>
            <w:tcW w:w="1417"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sidRPr="00361065">
              <w:rPr>
                <w:color w:val="000000"/>
              </w:rPr>
              <w:t>Triệu đồng</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color w:val="000000"/>
              </w:rPr>
              <w:t>13</w:t>
            </w:r>
            <w:r>
              <w:rPr>
                <w:color w:val="000000"/>
              </w:rPr>
              <w:t>.</w:t>
            </w:r>
            <w:r w:rsidRPr="00361065">
              <w:rPr>
                <w:color w:val="000000"/>
              </w:rPr>
              <w:t xml:space="preserve">623 </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color w:val="000000"/>
              </w:rPr>
              <w:t>18</w:t>
            </w:r>
            <w:r>
              <w:rPr>
                <w:color w:val="000000"/>
              </w:rPr>
              <w:t>.</w:t>
            </w:r>
            <w:r w:rsidRPr="00361065">
              <w:rPr>
                <w:color w:val="000000"/>
              </w:rPr>
              <w:t xml:space="preserve">351 </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Pr>
                <w:color w:val="000000"/>
              </w:rPr>
              <w:t>1</w:t>
            </w:r>
            <w:r w:rsidRPr="00361065">
              <w:rPr>
                <w:color w:val="000000"/>
              </w:rPr>
              <w:t>35%</w:t>
            </w:r>
          </w:p>
        </w:tc>
      </w:tr>
      <w:tr w:rsidR="00D32F78" w:rsidRPr="00361065" w:rsidTr="00D204CE">
        <w:tc>
          <w:tcPr>
            <w:tcW w:w="724"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sidRPr="00361065">
              <w:rPr>
                <w:color w:val="000000"/>
              </w:rPr>
              <w:t>5</w:t>
            </w:r>
          </w:p>
        </w:tc>
        <w:tc>
          <w:tcPr>
            <w:tcW w:w="2977" w:type="dxa"/>
            <w:shd w:val="clear" w:color="auto" w:fill="auto"/>
            <w:vAlign w:val="center"/>
            <w:hideMark/>
          </w:tcPr>
          <w:p w:rsidR="00D32F78" w:rsidRPr="00361065" w:rsidRDefault="00D32F78" w:rsidP="00622771">
            <w:pPr>
              <w:widowControl w:val="0"/>
              <w:spacing w:before="100" w:beforeAutospacing="1" w:after="100" w:afterAutospacing="1"/>
              <w:rPr>
                <w:color w:val="000000"/>
              </w:rPr>
            </w:pPr>
            <w:r w:rsidRPr="00361065">
              <w:rPr>
                <w:color w:val="000000"/>
              </w:rPr>
              <w:t>Lợi nhuận sau thuế</w:t>
            </w:r>
          </w:p>
        </w:tc>
        <w:tc>
          <w:tcPr>
            <w:tcW w:w="1417"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sidRPr="00361065">
              <w:rPr>
                <w:color w:val="000000"/>
              </w:rPr>
              <w:t>Triệu đồng</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color w:val="000000"/>
              </w:rPr>
              <w:t xml:space="preserve"> 48</w:t>
            </w:r>
            <w:r>
              <w:rPr>
                <w:color w:val="000000"/>
              </w:rPr>
              <w:t>.</w:t>
            </w:r>
            <w:r w:rsidRPr="00361065">
              <w:rPr>
                <w:color w:val="000000"/>
              </w:rPr>
              <w:t xml:space="preserve">299 </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color w:val="000000"/>
              </w:rPr>
              <w:t>79</w:t>
            </w:r>
            <w:r>
              <w:rPr>
                <w:color w:val="000000"/>
              </w:rPr>
              <w:t>.</w:t>
            </w:r>
            <w:r w:rsidRPr="00361065">
              <w:rPr>
                <w:color w:val="000000"/>
              </w:rPr>
              <w:t xml:space="preserve">324 </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Pr>
                <w:color w:val="000000"/>
              </w:rPr>
              <w:t>1</w:t>
            </w:r>
            <w:r w:rsidRPr="00361065">
              <w:rPr>
                <w:color w:val="000000"/>
              </w:rPr>
              <w:t>64%</w:t>
            </w:r>
          </w:p>
        </w:tc>
      </w:tr>
      <w:tr w:rsidR="00D32F78" w:rsidRPr="00361065" w:rsidTr="00D204CE">
        <w:tc>
          <w:tcPr>
            <w:tcW w:w="724"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sidRPr="00361065">
              <w:rPr>
                <w:color w:val="000000"/>
              </w:rPr>
              <w:t>6</w:t>
            </w:r>
          </w:p>
        </w:tc>
        <w:tc>
          <w:tcPr>
            <w:tcW w:w="2977" w:type="dxa"/>
            <w:shd w:val="clear" w:color="auto" w:fill="auto"/>
            <w:vAlign w:val="center"/>
            <w:hideMark/>
          </w:tcPr>
          <w:p w:rsidR="00D32F78" w:rsidRPr="00361065" w:rsidRDefault="00D32F78" w:rsidP="00622771">
            <w:pPr>
              <w:widowControl w:val="0"/>
              <w:spacing w:before="100" w:beforeAutospacing="1" w:after="100" w:afterAutospacing="1"/>
              <w:rPr>
                <w:color w:val="000000"/>
              </w:rPr>
            </w:pPr>
            <w:r w:rsidRPr="00361065">
              <w:rPr>
                <w:color w:val="000000"/>
              </w:rPr>
              <w:t>Lãi cơ bản trên cổ phiếu</w:t>
            </w:r>
          </w:p>
        </w:tc>
        <w:tc>
          <w:tcPr>
            <w:tcW w:w="1417" w:type="dxa"/>
            <w:shd w:val="clear" w:color="auto" w:fill="auto"/>
            <w:vAlign w:val="center"/>
            <w:hideMark/>
          </w:tcPr>
          <w:p w:rsidR="00D32F78" w:rsidRPr="00361065" w:rsidRDefault="00D32F78" w:rsidP="00622771">
            <w:pPr>
              <w:widowControl w:val="0"/>
              <w:spacing w:before="100" w:beforeAutospacing="1" w:after="100" w:afterAutospacing="1"/>
              <w:jc w:val="center"/>
              <w:rPr>
                <w:color w:val="000000"/>
              </w:rPr>
            </w:pPr>
            <w:r w:rsidRPr="00361065">
              <w:rPr>
                <w:color w:val="000000"/>
              </w:rPr>
              <w:t>Đồng/cp</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color w:val="000000"/>
              </w:rPr>
              <w:t>1</w:t>
            </w:r>
            <w:r>
              <w:rPr>
                <w:color w:val="000000"/>
              </w:rPr>
              <w:t>.</w:t>
            </w:r>
            <w:r w:rsidRPr="00361065">
              <w:rPr>
                <w:color w:val="000000"/>
              </w:rPr>
              <w:t xml:space="preserve">288 </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sidRPr="00361065">
              <w:rPr>
                <w:color w:val="000000"/>
              </w:rPr>
              <w:t>2</w:t>
            </w:r>
            <w:r>
              <w:rPr>
                <w:color w:val="000000"/>
              </w:rPr>
              <w:t>.</w:t>
            </w:r>
            <w:r w:rsidRPr="00361065">
              <w:rPr>
                <w:color w:val="000000"/>
              </w:rPr>
              <w:t xml:space="preserve">644 </w:t>
            </w:r>
          </w:p>
        </w:tc>
        <w:tc>
          <w:tcPr>
            <w:tcW w:w="1276" w:type="dxa"/>
            <w:shd w:val="clear" w:color="auto" w:fill="auto"/>
            <w:vAlign w:val="center"/>
            <w:hideMark/>
          </w:tcPr>
          <w:p w:rsidR="00D32F78" w:rsidRPr="00361065" w:rsidRDefault="00D32F78" w:rsidP="00622771">
            <w:pPr>
              <w:widowControl w:val="0"/>
              <w:spacing w:before="100" w:beforeAutospacing="1" w:after="100" w:afterAutospacing="1"/>
              <w:jc w:val="right"/>
              <w:rPr>
                <w:color w:val="000000"/>
              </w:rPr>
            </w:pPr>
            <w:r>
              <w:rPr>
                <w:color w:val="000000"/>
              </w:rPr>
              <w:t>2</w:t>
            </w:r>
            <w:r w:rsidRPr="00361065">
              <w:rPr>
                <w:color w:val="000000"/>
              </w:rPr>
              <w:t>05%</w:t>
            </w:r>
          </w:p>
        </w:tc>
      </w:tr>
    </w:tbl>
    <w:p w:rsidR="006E1ABA" w:rsidRDefault="006E1ABA" w:rsidP="00FC58DF">
      <w:pPr>
        <w:widowControl w:val="0"/>
        <w:tabs>
          <w:tab w:val="left" w:pos="0"/>
        </w:tabs>
        <w:spacing w:before="120" w:after="120" w:line="288" w:lineRule="auto"/>
        <w:jc w:val="both"/>
      </w:pPr>
    </w:p>
    <w:p w:rsidR="00D32F78" w:rsidRDefault="00D32F78" w:rsidP="00FC58DF">
      <w:pPr>
        <w:widowControl w:val="0"/>
        <w:tabs>
          <w:tab w:val="left" w:pos="851"/>
        </w:tabs>
        <w:spacing w:before="240" w:after="240" w:line="288" w:lineRule="auto"/>
        <w:ind w:left="851" w:hanging="851"/>
        <w:jc w:val="both"/>
        <w:rPr>
          <w:lang w:val="it-IT"/>
        </w:rPr>
      </w:pPr>
      <w:r>
        <w:rPr>
          <w:b/>
          <w:lang w:val="it-IT"/>
        </w:rPr>
        <w:lastRenderedPageBreak/>
        <w:t xml:space="preserve">Điều </w:t>
      </w:r>
      <w:r w:rsidR="00622771">
        <w:rPr>
          <w:b/>
          <w:lang w:val="it-IT"/>
        </w:rPr>
        <w:t>5</w:t>
      </w:r>
      <w:r>
        <w:rPr>
          <w:b/>
          <w:lang w:val="it-IT"/>
        </w:rPr>
        <w:t>:</w:t>
      </w:r>
      <w:r>
        <w:rPr>
          <w:lang w:val="it-IT"/>
        </w:rPr>
        <w:tab/>
        <w:t>Thông qua phươn</w:t>
      </w:r>
      <w:r w:rsidR="00392D4A">
        <w:rPr>
          <w:lang w:val="it-IT"/>
        </w:rPr>
        <w:t>g án phân phối lợi nhuận năm 201</w:t>
      </w:r>
      <w:r>
        <w:rPr>
          <w:lang w:val="it-IT"/>
        </w:rPr>
        <w:t xml:space="preserve">4 như sau: </w:t>
      </w:r>
    </w:p>
    <w:tbl>
      <w:tblPr>
        <w:tblW w:w="9072" w:type="dxa"/>
        <w:tblInd w:w="108" w:type="dxa"/>
        <w:tblLook w:val="04A0"/>
      </w:tblPr>
      <w:tblGrid>
        <w:gridCol w:w="703"/>
        <w:gridCol w:w="5393"/>
        <w:gridCol w:w="1134"/>
        <w:gridCol w:w="1842"/>
      </w:tblGrid>
      <w:tr w:rsidR="00D32F78" w:rsidRPr="00AB5188" w:rsidTr="00622771">
        <w:trPr>
          <w:trHeight w:val="439"/>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F78" w:rsidRPr="00AB5188" w:rsidRDefault="00D32F78" w:rsidP="00622771">
            <w:pPr>
              <w:widowControl w:val="0"/>
              <w:rPr>
                <w:color w:val="000000"/>
              </w:rPr>
            </w:pPr>
            <w:r w:rsidRPr="00AB5188">
              <w:rPr>
                <w:color w:val="000000"/>
                <w:lang w:val="it-IT"/>
              </w:rPr>
              <w:t> </w:t>
            </w:r>
            <w:r w:rsidRPr="00AB5188">
              <w:rPr>
                <w:color w:val="000000"/>
              </w:rPr>
              <w:t>STT</w:t>
            </w:r>
          </w:p>
        </w:tc>
        <w:tc>
          <w:tcPr>
            <w:tcW w:w="5393" w:type="dxa"/>
            <w:tcBorders>
              <w:top w:val="single" w:sz="4" w:space="0" w:color="auto"/>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center"/>
              <w:rPr>
                <w:b/>
                <w:bCs/>
                <w:color w:val="000000"/>
              </w:rPr>
            </w:pPr>
            <w:r w:rsidRPr="00AB5188">
              <w:rPr>
                <w:b/>
                <w:bCs/>
                <w:color w:val="000000"/>
              </w:rPr>
              <w:t>Chỉ tiêu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center"/>
              <w:rPr>
                <w:b/>
                <w:bCs/>
                <w:color w:val="000000"/>
              </w:rPr>
            </w:pPr>
            <w:r w:rsidRPr="00AB5188">
              <w:rPr>
                <w:b/>
                <w:bCs/>
                <w:color w:val="000000"/>
              </w:rPr>
              <w:t>Ghi chú</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center"/>
              <w:rPr>
                <w:b/>
                <w:bCs/>
                <w:color w:val="000000"/>
              </w:rPr>
            </w:pPr>
            <w:r w:rsidRPr="00AB5188">
              <w:rPr>
                <w:b/>
                <w:bCs/>
                <w:color w:val="000000"/>
              </w:rPr>
              <w:t xml:space="preserve"> Giá trị </w:t>
            </w:r>
          </w:p>
        </w:tc>
      </w:tr>
      <w:tr w:rsidR="00D32F78" w:rsidRPr="00AF6B14" w:rsidTr="00622771">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center"/>
              <w:rPr>
                <w:b/>
                <w:color w:val="000000"/>
              </w:rPr>
            </w:pPr>
            <w:r w:rsidRPr="00AF6B14">
              <w:rPr>
                <w:b/>
                <w:color w:val="000000"/>
              </w:rPr>
              <w:t>1</w:t>
            </w:r>
          </w:p>
        </w:tc>
        <w:tc>
          <w:tcPr>
            <w:tcW w:w="5393"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rPr>
                <w:b/>
                <w:color w:val="000000"/>
              </w:rPr>
            </w:pPr>
            <w:r w:rsidRPr="00AF6B14">
              <w:rPr>
                <w:b/>
                <w:color w:val="000000"/>
              </w:rPr>
              <w:t>LNST chưa PP trên BCTC kiểm toán năm 2013</w:t>
            </w:r>
          </w:p>
        </w:tc>
        <w:tc>
          <w:tcPr>
            <w:tcW w:w="1134"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center"/>
              <w:rPr>
                <w:b/>
                <w:color w:val="000000"/>
              </w:rPr>
            </w:pPr>
            <w:r w:rsidRPr="00AF6B14">
              <w:rPr>
                <w:b/>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right"/>
              <w:rPr>
                <w:b/>
                <w:color w:val="000000"/>
              </w:rPr>
            </w:pPr>
            <w:r w:rsidRPr="00AF6B14">
              <w:rPr>
                <w:b/>
                <w:color w:val="000000"/>
              </w:rPr>
              <w:t xml:space="preserve">4,692,658,889 </w:t>
            </w:r>
          </w:p>
        </w:tc>
      </w:tr>
      <w:tr w:rsidR="00D32F78" w:rsidRPr="00AF6B14" w:rsidTr="00622771">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center"/>
              <w:rPr>
                <w:b/>
                <w:color w:val="000000"/>
              </w:rPr>
            </w:pPr>
            <w:r w:rsidRPr="00AF6B14">
              <w:rPr>
                <w:b/>
                <w:color w:val="000000"/>
              </w:rPr>
              <w:t>2</w:t>
            </w:r>
          </w:p>
        </w:tc>
        <w:tc>
          <w:tcPr>
            <w:tcW w:w="5393"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rPr>
                <w:b/>
                <w:color w:val="000000"/>
              </w:rPr>
            </w:pPr>
            <w:r w:rsidRPr="00AF6B14">
              <w:rPr>
                <w:b/>
                <w:color w:val="000000"/>
              </w:rPr>
              <w:t>LNST trên BCTC kiểm toán năm 2014</w:t>
            </w:r>
          </w:p>
        </w:tc>
        <w:tc>
          <w:tcPr>
            <w:tcW w:w="1134"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center"/>
              <w:rPr>
                <w:b/>
                <w:color w:val="000000"/>
              </w:rPr>
            </w:pPr>
            <w:r w:rsidRPr="00AF6B14">
              <w:rPr>
                <w:b/>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right"/>
              <w:rPr>
                <w:b/>
                <w:color w:val="000000"/>
              </w:rPr>
            </w:pPr>
            <w:r w:rsidRPr="00AF6B14">
              <w:rPr>
                <w:b/>
                <w:color w:val="000000"/>
              </w:rPr>
              <w:t xml:space="preserve">79,323,902,503 </w:t>
            </w:r>
          </w:p>
        </w:tc>
      </w:tr>
      <w:tr w:rsidR="00D32F78" w:rsidRPr="00AF6B14" w:rsidTr="00622771">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center"/>
              <w:rPr>
                <w:color w:val="000000"/>
              </w:rPr>
            </w:pPr>
            <w:r w:rsidRPr="00AB5188">
              <w:rPr>
                <w:color w:val="000000"/>
              </w:rPr>
              <w:t>3</w:t>
            </w:r>
          </w:p>
        </w:tc>
        <w:tc>
          <w:tcPr>
            <w:tcW w:w="5393" w:type="dxa"/>
            <w:tcBorders>
              <w:top w:val="nil"/>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rPr>
                <w:color w:val="000000"/>
              </w:rPr>
            </w:pPr>
            <w:r w:rsidRPr="00AB5188">
              <w:rPr>
                <w:color w:val="000000"/>
              </w:rPr>
              <w:t>Trích quỹ bổ sung năm 2014</w:t>
            </w:r>
          </w:p>
        </w:tc>
        <w:tc>
          <w:tcPr>
            <w:tcW w:w="1134" w:type="dxa"/>
            <w:tcBorders>
              <w:top w:val="nil"/>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center"/>
              <w:rPr>
                <w:color w:val="000000"/>
              </w:rPr>
            </w:pPr>
            <w:r w:rsidRPr="00AB5188">
              <w:rPr>
                <w:color w:val="000000"/>
              </w:rPr>
              <w:t>(3.1+3.2)</w:t>
            </w:r>
          </w:p>
        </w:tc>
        <w:tc>
          <w:tcPr>
            <w:tcW w:w="1842"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right"/>
              <w:rPr>
                <w:bCs/>
                <w:color w:val="000000"/>
              </w:rPr>
            </w:pPr>
            <w:r w:rsidRPr="00AF6B14">
              <w:rPr>
                <w:bCs/>
                <w:color w:val="000000"/>
              </w:rPr>
              <w:t xml:space="preserve">7,932,390,250 </w:t>
            </w:r>
          </w:p>
        </w:tc>
      </w:tr>
      <w:tr w:rsidR="00D32F78" w:rsidRPr="00AB5188" w:rsidTr="00622771">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center"/>
              <w:rPr>
                <w:color w:val="000000"/>
              </w:rPr>
            </w:pPr>
            <w:r w:rsidRPr="00AB5188">
              <w:rPr>
                <w:color w:val="000000"/>
              </w:rPr>
              <w:t>3.1</w:t>
            </w:r>
          </w:p>
        </w:tc>
        <w:tc>
          <w:tcPr>
            <w:tcW w:w="5393" w:type="dxa"/>
            <w:tcBorders>
              <w:top w:val="nil"/>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rPr>
                <w:i/>
                <w:iCs/>
                <w:color w:val="000000"/>
              </w:rPr>
            </w:pPr>
            <w:r w:rsidRPr="00AB5188">
              <w:rPr>
                <w:i/>
                <w:iCs/>
                <w:color w:val="000000"/>
              </w:rPr>
              <w:t>Trích quỹ  dự phòng tài chính ( 5% LNST)</w:t>
            </w:r>
          </w:p>
        </w:tc>
        <w:tc>
          <w:tcPr>
            <w:tcW w:w="1134" w:type="dxa"/>
            <w:tcBorders>
              <w:top w:val="nil"/>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center"/>
              <w:rPr>
                <w:i/>
                <w:iCs/>
                <w:color w:val="000000"/>
              </w:rPr>
            </w:pPr>
            <w:r w:rsidRPr="00AB5188">
              <w:rPr>
                <w:i/>
                <w:iCs/>
                <w:color w:val="000000"/>
              </w:rPr>
              <w:t>(2</w:t>
            </w:r>
            <w:r>
              <w:rPr>
                <w:i/>
                <w:iCs/>
                <w:color w:val="000000"/>
              </w:rPr>
              <w:t>)</w:t>
            </w:r>
            <w:r w:rsidRPr="00AB5188">
              <w:rPr>
                <w:i/>
                <w:iCs/>
                <w:color w:val="000000"/>
              </w:rPr>
              <w:t>*5%</w:t>
            </w:r>
          </w:p>
        </w:tc>
        <w:tc>
          <w:tcPr>
            <w:tcW w:w="1842" w:type="dxa"/>
            <w:tcBorders>
              <w:top w:val="nil"/>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right"/>
              <w:rPr>
                <w:i/>
                <w:iCs/>
                <w:color w:val="000000"/>
              </w:rPr>
            </w:pPr>
            <w:r w:rsidRPr="00AB5188">
              <w:rPr>
                <w:i/>
                <w:iCs/>
                <w:color w:val="000000"/>
              </w:rPr>
              <w:t xml:space="preserve">3,966,195,125 </w:t>
            </w:r>
          </w:p>
        </w:tc>
      </w:tr>
      <w:tr w:rsidR="00D32F78" w:rsidRPr="00AB5188" w:rsidTr="00622771">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center"/>
              <w:rPr>
                <w:color w:val="000000"/>
              </w:rPr>
            </w:pPr>
            <w:r w:rsidRPr="00AB5188">
              <w:rPr>
                <w:color w:val="000000"/>
              </w:rPr>
              <w:t>3.2</w:t>
            </w:r>
          </w:p>
        </w:tc>
        <w:tc>
          <w:tcPr>
            <w:tcW w:w="5393" w:type="dxa"/>
            <w:tcBorders>
              <w:top w:val="nil"/>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rPr>
                <w:i/>
                <w:iCs/>
                <w:color w:val="000000"/>
              </w:rPr>
            </w:pPr>
            <w:r w:rsidRPr="00AB5188">
              <w:rPr>
                <w:i/>
                <w:iCs/>
                <w:color w:val="000000"/>
              </w:rPr>
              <w:t>Trích quỹ  dự dự trữ bổ sung vốn điều lệ ( 5% LNST)</w:t>
            </w:r>
          </w:p>
        </w:tc>
        <w:tc>
          <w:tcPr>
            <w:tcW w:w="1134" w:type="dxa"/>
            <w:tcBorders>
              <w:top w:val="nil"/>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center"/>
              <w:rPr>
                <w:i/>
                <w:iCs/>
                <w:color w:val="000000"/>
              </w:rPr>
            </w:pPr>
            <w:r w:rsidRPr="00AB5188">
              <w:rPr>
                <w:i/>
                <w:iCs/>
                <w:color w:val="000000"/>
              </w:rPr>
              <w:t>(2</w:t>
            </w:r>
            <w:r>
              <w:rPr>
                <w:i/>
                <w:iCs/>
                <w:color w:val="000000"/>
              </w:rPr>
              <w:t>)</w:t>
            </w:r>
            <w:r w:rsidRPr="00AB5188">
              <w:rPr>
                <w:i/>
                <w:iCs/>
                <w:color w:val="000000"/>
              </w:rPr>
              <w:t>*5%</w:t>
            </w:r>
          </w:p>
        </w:tc>
        <w:tc>
          <w:tcPr>
            <w:tcW w:w="1842" w:type="dxa"/>
            <w:tcBorders>
              <w:top w:val="nil"/>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right"/>
              <w:rPr>
                <w:i/>
                <w:iCs/>
                <w:color w:val="000000"/>
              </w:rPr>
            </w:pPr>
            <w:r w:rsidRPr="00AB5188">
              <w:rPr>
                <w:i/>
                <w:iCs/>
                <w:color w:val="000000"/>
              </w:rPr>
              <w:t xml:space="preserve">3,966,195,125 </w:t>
            </w:r>
          </w:p>
        </w:tc>
      </w:tr>
      <w:tr w:rsidR="00D32F78" w:rsidRPr="00AF6B14" w:rsidTr="00622771">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center"/>
              <w:rPr>
                <w:b/>
                <w:color w:val="000000"/>
              </w:rPr>
            </w:pPr>
            <w:r>
              <w:rPr>
                <w:b/>
                <w:color w:val="000000"/>
              </w:rPr>
              <w:t>4</w:t>
            </w:r>
          </w:p>
        </w:tc>
        <w:tc>
          <w:tcPr>
            <w:tcW w:w="5393"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rPr>
                <w:b/>
                <w:color w:val="000000"/>
              </w:rPr>
            </w:pPr>
            <w:r w:rsidRPr="00AF6B14">
              <w:rPr>
                <w:b/>
                <w:color w:val="000000"/>
              </w:rPr>
              <w:t xml:space="preserve">LNST chưa </w:t>
            </w:r>
            <w:r>
              <w:rPr>
                <w:b/>
                <w:color w:val="000000"/>
              </w:rPr>
              <w:t>phân phối đến 31/12/2014</w:t>
            </w:r>
          </w:p>
        </w:tc>
        <w:tc>
          <w:tcPr>
            <w:tcW w:w="1134"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center"/>
              <w:rPr>
                <w:b/>
                <w:color w:val="000000"/>
              </w:rPr>
            </w:pPr>
            <w:r w:rsidRPr="00AF6B14">
              <w:rPr>
                <w:b/>
                <w:color w:val="000000"/>
              </w:rPr>
              <w:t>(1+2-3)</w:t>
            </w:r>
          </w:p>
        </w:tc>
        <w:tc>
          <w:tcPr>
            <w:tcW w:w="1842"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right"/>
              <w:rPr>
                <w:b/>
                <w:color w:val="000000"/>
              </w:rPr>
            </w:pPr>
            <w:r w:rsidRPr="00AF6B14">
              <w:rPr>
                <w:b/>
                <w:color w:val="000000"/>
              </w:rPr>
              <w:t xml:space="preserve">76,084,171,142 </w:t>
            </w:r>
          </w:p>
        </w:tc>
      </w:tr>
      <w:tr w:rsidR="00D32F78" w:rsidRPr="00AF6B14" w:rsidTr="00622771">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center"/>
              <w:rPr>
                <w:b/>
                <w:iCs/>
                <w:color w:val="000000"/>
              </w:rPr>
            </w:pPr>
            <w:r>
              <w:rPr>
                <w:b/>
                <w:iCs/>
                <w:color w:val="000000"/>
              </w:rPr>
              <w:t>5</w:t>
            </w:r>
          </w:p>
        </w:tc>
        <w:tc>
          <w:tcPr>
            <w:tcW w:w="5393"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rPr>
                <w:b/>
                <w:iCs/>
                <w:color w:val="000000"/>
              </w:rPr>
            </w:pPr>
            <w:r w:rsidRPr="00AF6B14">
              <w:rPr>
                <w:b/>
                <w:iCs/>
                <w:color w:val="000000"/>
              </w:rPr>
              <w:t>Chia cổ tức 10% bằng cổ phiếu (dự kiến)</w:t>
            </w:r>
          </w:p>
        </w:tc>
        <w:tc>
          <w:tcPr>
            <w:tcW w:w="1134"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center"/>
              <w:rPr>
                <w:b/>
                <w:iCs/>
                <w:color w:val="000000"/>
              </w:rPr>
            </w:pPr>
            <w:r w:rsidRPr="00AF6B14">
              <w:rPr>
                <w:b/>
                <w:i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D32F78" w:rsidRPr="00AF6B14" w:rsidRDefault="00D32F78" w:rsidP="00622771">
            <w:pPr>
              <w:widowControl w:val="0"/>
              <w:jc w:val="right"/>
              <w:rPr>
                <w:b/>
                <w:iCs/>
                <w:color w:val="000000"/>
              </w:rPr>
            </w:pPr>
            <w:r w:rsidRPr="00AF6B14">
              <w:rPr>
                <w:b/>
                <w:iCs/>
                <w:color w:val="000000"/>
              </w:rPr>
              <w:t xml:space="preserve">60,900,000,000 </w:t>
            </w:r>
          </w:p>
        </w:tc>
      </w:tr>
      <w:tr w:rsidR="00D32F78" w:rsidRPr="00AB5188" w:rsidTr="00622771">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center"/>
              <w:rPr>
                <w:b/>
                <w:bCs/>
                <w:color w:val="000000"/>
              </w:rPr>
            </w:pPr>
            <w:r>
              <w:rPr>
                <w:b/>
                <w:bCs/>
                <w:color w:val="000000"/>
              </w:rPr>
              <w:t>6</w:t>
            </w:r>
          </w:p>
        </w:tc>
        <w:tc>
          <w:tcPr>
            <w:tcW w:w="5393" w:type="dxa"/>
            <w:tcBorders>
              <w:top w:val="nil"/>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rPr>
                <w:b/>
                <w:bCs/>
                <w:color w:val="000000"/>
              </w:rPr>
            </w:pPr>
            <w:r w:rsidRPr="00AB5188">
              <w:rPr>
                <w:b/>
                <w:bCs/>
                <w:color w:val="000000"/>
              </w:rPr>
              <w:t>LNST năm 2014 còn lại</w:t>
            </w:r>
          </w:p>
        </w:tc>
        <w:tc>
          <w:tcPr>
            <w:tcW w:w="1134" w:type="dxa"/>
            <w:tcBorders>
              <w:top w:val="nil"/>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center"/>
              <w:rPr>
                <w:b/>
                <w:bCs/>
                <w:color w:val="000000"/>
              </w:rPr>
            </w:pPr>
            <w:r w:rsidRPr="00AB5188">
              <w:rPr>
                <w:b/>
                <w:bCs/>
                <w:color w:val="000000"/>
              </w:rPr>
              <w:t>(</w:t>
            </w:r>
            <w:r>
              <w:rPr>
                <w:b/>
                <w:bCs/>
                <w:color w:val="000000"/>
              </w:rPr>
              <w:t>4-5</w:t>
            </w:r>
            <w:r w:rsidRPr="00AB5188">
              <w:rPr>
                <w:b/>
                <w:bCs/>
                <w:color w:val="000000"/>
              </w:rPr>
              <w:t>)</w:t>
            </w:r>
          </w:p>
        </w:tc>
        <w:tc>
          <w:tcPr>
            <w:tcW w:w="1842" w:type="dxa"/>
            <w:tcBorders>
              <w:top w:val="nil"/>
              <w:left w:val="nil"/>
              <w:bottom w:val="single" w:sz="4" w:space="0" w:color="auto"/>
              <w:right w:val="single" w:sz="4" w:space="0" w:color="auto"/>
            </w:tcBorders>
            <w:shd w:val="clear" w:color="auto" w:fill="auto"/>
            <w:noWrap/>
            <w:vAlign w:val="center"/>
            <w:hideMark/>
          </w:tcPr>
          <w:p w:rsidR="00D32F78" w:rsidRPr="00AB5188" w:rsidRDefault="00D32F78" w:rsidP="00622771">
            <w:pPr>
              <w:widowControl w:val="0"/>
              <w:jc w:val="right"/>
              <w:rPr>
                <w:b/>
                <w:bCs/>
                <w:color w:val="000000"/>
              </w:rPr>
            </w:pPr>
            <w:r w:rsidRPr="00AB5188">
              <w:rPr>
                <w:b/>
                <w:bCs/>
                <w:color w:val="000000"/>
              </w:rPr>
              <w:t xml:space="preserve">15,184,171,142 </w:t>
            </w:r>
          </w:p>
        </w:tc>
      </w:tr>
    </w:tbl>
    <w:p w:rsidR="00D32F78" w:rsidRPr="00B04C5F" w:rsidRDefault="00D32F78" w:rsidP="00622771">
      <w:pPr>
        <w:pStyle w:val="ListParagraph"/>
        <w:widowControl w:val="0"/>
        <w:spacing w:before="60" w:after="60" w:line="288" w:lineRule="auto"/>
        <w:ind w:left="0"/>
        <w:contextualSpacing w:val="0"/>
        <w:jc w:val="both"/>
        <w:rPr>
          <w:rFonts w:ascii="Times New Roman" w:eastAsia="Arial Unicode MS" w:hAnsi="Times New Roman"/>
          <w:sz w:val="24"/>
          <w:szCs w:val="24"/>
          <w:lang w:val="it-IT"/>
        </w:rPr>
      </w:pPr>
      <w:r w:rsidRPr="00B04C5F">
        <w:rPr>
          <w:rFonts w:ascii="Times New Roman" w:eastAsia="Arial Unicode MS" w:hAnsi="Times New Roman"/>
          <w:sz w:val="24"/>
          <w:szCs w:val="24"/>
          <w:lang w:val="it-IT"/>
        </w:rPr>
        <w:t xml:space="preserve">Trong đó: </w:t>
      </w:r>
    </w:p>
    <w:p w:rsidR="00D32F78" w:rsidRPr="00B04C5F" w:rsidRDefault="00D32F78" w:rsidP="00667069">
      <w:pPr>
        <w:pStyle w:val="ListParagraph"/>
        <w:widowControl w:val="0"/>
        <w:numPr>
          <w:ilvl w:val="0"/>
          <w:numId w:val="8"/>
        </w:numPr>
        <w:spacing w:before="60" w:after="60" w:line="288" w:lineRule="auto"/>
        <w:ind w:left="568" w:hanging="284"/>
        <w:contextualSpacing w:val="0"/>
        <w:jc w:val="both"/>
        <w:rPr>
          <w:rFonts w:ascii="Times New Roman" w:eastAsia="Arial Unicode MS" w:hAnsi="Times New Roman"/>
          <w:sz w:val="24"/>
          <w:szCs w:val="24"/>
          <w:lang w:val="it-IT"/>
        </w:rPr>
      </w:pPr>
      <w:r w:rsidRPr="00B04C5F">
        <w:rPr>
          <w:rFonts w:ascii="Times New Roman" w:eastAsia="Arial Unicode MS" w:hAnsi="Times New Roman"/>
          <w:sz w:val="24"/>
          <w:szCs w:val="24"/>
          <w:lang w:val="it-IT"/>
        </w:rPr>
        <w:t>Công ty sẽ chi trả cổ tức 10% bằng c</w:t>
      </w:r>
      <w:r w:rsidR="00392D4A">
        <w:rPr>
          <w:rFonts w:ascii="Times New Roman" w:eastAsia="Arial Unicode MS" w:hAnsi="Times New Roman"/>
          <w:sz w:val="24"/>
          <w:szCs w:val="24"/>
          <w:lang w:val="it-IT"/>
        </w:rPr>
        <w:t>ổ</w:t>
      </w:r>
      <w:r w:rsidRPr="00B04C5F">
        <w:rPr>
          <w:rFonts w:ascii="Times New Roman" w:eastAsia="Arial Unicode MS" w:hAnsi="Times New Roman"/>
          <w:sz w:val="24"/>
          <w:szCs w:val="24"/>
          <w:lang w:val="it-IT"/>
        </w:rPr>
        <w:t xml:space="preserve"> phiếu, trích từ lợi nhuận sau thuế chưa phân phối đến 31/12/2014 trên BCTC đã kiểm toán. Mức cổ tức này được tính trên mức vốn điều lệ dự kiến 609 tỷ (bao gồm số cổ phiếu phát hành tăng vốn và cổ phiếu phát hành cho cán bộ nhân viên trong chương trình ESOP). Số tiền dự kiến chia cổ tức là 60,9 tỷ. Thời điểm chia cổ tức là sau khi được ĐHĐCĐ phê duyệt và UBCKNN chấp thuận. </w:t>
      </w:r>
    </w:p>
    <w:p w:rsidR="00D32F78" w:rsidRPr="00B04C5F" w:rsidRDefault="00D32F78" w:rsidP="00667069">
      <w:pPr>
        <w:pStyle w:val="ListParagraph"/>
        <w:widowControl w:val="0"/>
        <w:numPr>
          <w:ilvl w:val="0"/>
          <w:numId w:val="8"/>
        </w:numPr>
        <w:spacing w:before="60" w:after="60" w:line="288" w:lineRule="auto"/>
        <w:ind w:left="568" w:hanging="284"/>
        <w:contextualSpacing w:val="0"/>
        <w:jc w:val="both"/>
        <w:rPr>
          <w:rFonts w:ascii="Times New Roman" w:eastAsia="Arial Unicode MS" w:hAnsi="Times New Roman"/>
          <w:sz w:val="24"/>
          <w:szCs w:val="24"/>
          <w:lang w:val="it-IT"/>
        </w:rPr>
      </w:pPr>
      <w:r w:rsidRPr="00B04C5F">
        <w:rPr>
          <w:rFonts w:ascii="Times New Roman" w:eastAsia="Arial Unicode MS" w:hAnsi="Times New Roman"/>
          <w:sz w:val="24"/>
          <w:szCs w:val="24"/>
          <w:lang w:val="it-IT"/>
        </w:rPr>
        <w:t>Phần còn lại của Lợi nhuận sau thuế chưa phân phối sẽ để lại cho hoạt động kinh doanh của Công ty.</w:t>
      </w:r>
    </w:p>
    <w:p w:rsidR="00B56CE7" w:rsidRPr="006E1ABA" w:rsidRDefault="00B56CE7" w:rsidP="00FC58DF">
      <w:pPr>
        <w:widowControl w:val="0"/>
        <w:tabs>
          <w:tab w:val="left" w:pos="0"/>
        </w:tabs>
        <w:spacing w:before="240" w:after="240" w:line="288" w:lineRule="auto"/>
        <w:jc w:val="both"/>
        <w:rPr>
          <w:lang w:val="it-IT"/>
        </w:rPr>
      </w:pPr>
      <w:r w:rsidRPr="006E1ABA">
        <w:rPr>
          <w:b/>
          <w:lang w:val="it-IT"/>
        </w:rPr>
        <w:t xml:space="preserve">Điều </w:t>
      </w:r>
      <w:r w:rsidR="006E1ABA">
        <w:rPr>
          <w:b/>
          <w:lang w:val="it-IT"/>
        </w:rPr>
        <w:t>6</w:t>
      </w:r>
      <w:r w:rsidRPr="006E1ABA">
        <w:rPr>
          <w:b/>
          <w:lang w:val="it-IT"/>
        </w:rPr>
        <w:t>:</w:t>
      </w:r>
      <w:r w:rsidR="005649BC" w:rsidRPr="006E1ABA">
        <w:rPr>
          <w:lang w:val="it-IT"/>
        </w:rPr>
        <w:t xml:space="preserve"> </w:t>
      </w:r>
      <w:r w:rsidRPr="006E1ABA">
        <w:rPr>
          <w:lang w:val="it-IT"/>
        </w:rPr>
        <w:t xml:space="preserve">Thông qua mức thù lao và chi phí hoạt động của Hội đồng quản trị và Ban kiểm soát năm 2014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3"/>
        <w:gridCol w:w="3402"/>
      </w:tblGrid>
      <w:tr w:rsidR="00B56CE7" w:rsidRPr="0051621E" w:rsidTr="0056496B">
        <w:tc>
          <w:tcPr>
            <w:tcW w:w="709" w:type="dxa"/>
            <w:shd w:val="clear" w:color="auto" w:fill="auto"/>
          </w:tcPr>
          <w:p w:rsidR="00B56CE7" w:rsidRPr="0051621E" w:rsidRDefault="00B56CE7" w:rsidP="00622771">
            <w:pPr>
              <w:widowControl w:val="0"/>
              <w:spacing w:before="60" w:after="60" w:line="288" w:lineRule="auto"/>
              <w:jc w:val="both"/>
              <w:rPr>
                <w:b/>
                <w:lang w:val="it-IT"/>
              </w:rPr>
            </w:pPr>
            <w:r w:rsidRPr="0051621E">
              <w:rPr>
                <w:b/>
                <w:lang w:val="it-IT"/>
              </w:rPr>
              <w:t>STT</w:t>
            </w:r>
          </w:p>
        </w:tc>
        <w:tc>
          <w:tcPr>
            <w:tcW w:w="4253" w:type="dxa"/>
            <w:shd w:val="clear" w:color="auto" w:fill="auto"/>
          </w:tcPr>
          <w:p w:rsidR="00B56CE7" w:rsidRPr="0051621E" w:rsidRDefault="00B56CE7" w:rsidP="00622771">
            <w:pPr>
              <w:widowControl w:val="0"/>
              <w:spacing w:before="60" w:after="60" w:line="288" w:lineRule="auto"/>
              <w:jc w:val="both"/>
              <w:rPr>
                <w:b/>
                <w:lang w:val="it-IT"/>
              </w:rPr>
            </w:pPr>
            <w:r w:rsidRPr="0051621E">
              <w:rPr>
                <w:b/>
                <w:lang w:val="it-IT"/>
              </w:rPr>
              <w:t>Đơn vị</w:t>
            </w:r>
          </w:p>
        </w:tc>
        <w:tc>
          <w:tcPr>
            <w:tcW w:w="3402" w:type="dxa"/>
            <w:shd w:val="clear" w:color="auto" w:fill="auto"/>
          </w:tcPr>
          <w:p w:rsidR="00B56CE7" w:rsidRPr="0051621E" w:rsidRDefault="00B56CE7" w:rsidP="00622771">
            <w:pPr>
              <w:widowControl w:val="0"/>
              <w:spacing w:before="60" w:after="60" w:line="288" w:lineRule="auto"/>
              <w:jc w:val="center"/>
              <w:rPr>
                <w:b/>
                <w:lang w:val="it-IT"/>
              </w:rPr>
            </w:pPr>
            <w:r w:rsidRPr="0051621E">
              <w:rPr>
                <w:b/>
                <w:lang w:val="it-IT"/>
              </w:rPr>
              <w:t>Từ 01/04/2014 đến 31/12/2014</w:t>
            </w:r>
          </w:p>
        </w:tc>
      </w:tr>
      <w:tr w:rsidR="00B56CE7" w:rsidRPr="0051621E" w:rsidTr="0056496B">
        <w:tc>
          <w:tcPr>
            <w:tcW w:w="709" w:type="dxa"/>
            <w:shd w:val="clear" w:color="auto" w:fill="auto"/>
          </w:tcPr>
          <w:p w:rsidR="00B56CE7" w:rsidRPr="0051621E" w:rsidRDefault="00B56CE7" w:rsidP="00622771">
            <w:pPr>
              <w:widowControl w:val="0"/>
              <w:spacing w:before="60" w:after="60" w:line="288" w:lineRule="auto"/>
              <w:jc w:val="center"/>
              <w:rPr>
                <w:lang w:val="it-IT"/>
              </w:rPr>
            </w:pPr>
            <w:r w:rsidRPr="0051621E">
              <w:rPr>
                <w:lang w:val="it-IT"/>
              </w:rPr>
              <w:t>1</w:t>
            </w:r>
          </w:p>
        </w:tc>
        <w:tc>
          <w:tcPr>
            <w:tcW w:w="4253" w:type="dxa"/>
            <w:shd w:val="clear" w:color="auto" w:fill="auto"/>
          </w:tcPr>
          <w:p w:rsidR="00B56CE7" w:rsidRPr="0051621E" w:rsidRDefault="00B56CE7" w:rsidP="00622771">
            <w:pPr>
              <w:widowControl w:val="0"/>
              <w:spacing w:before="60" w:after="60" w:line="288" w:lineRule="auto"/>
              <w:jc w:val="both"/>
              <w:rPr>
                <w:lang w:val="it-IT"/>
              </w:rPr>
            </w:pPr>
            <w:r w:rsidRPr="0051621E">
              <w:rPr>
                <w:lang w:val="it-IT"/>
              </w:rPr>
              <w:t>Hội đồng quản trị</w:t>
            </w:r>
          </w:p>
        </w:tc>
        <w:tc>
          <w:tcPr>
            <w:tcW w:w="3402" w:type="dxa"/>
            <w:shd w:val="clear" w:color="auto" w:fill="auto"/>
          </w:tcPr>
          <w:p w:rsidR="00B56CE7" w:rsidRPr="0051621E" w:rsidRDefault="00B56CE7" w:rsidP="00622771">
            <w:pPr>
              <w:widowControl w:val="0"/>
              <w:spacing w:before="60" w:after="60" w:line="288" w:lineRule="auto"/>
              <w:jc w:val="right"/>
              <w:rPr>
                <w:lang w:val="it-IT"/>
              </w:rPr>
            </w:pPr>
            <w:r w:rsidRPr="0051621E">
              <w:rPr>
                <w:lang w:val="it-IT"/>
              </w:rPr>
              <w:t>1.023.000.000 VND</w:t>
            </w:r>
          </w:p>
        </w:tc>
      </w:tr>
      <w:tr w:rsidR="00B56CE7" w:rsidRPr="0051621E" w:rsidTr="0056496B">
        <w:tc>
          <w:tcPr>
            <w:tcW w:w="709" w:type="dxa"/>
            <w:shd w:val="clear" w:color="auto" w:fill="auto"/>
            <w:vAlign w:val="center"/>
          </w:tcPr>
          <w:p w:rsidR="00B56CE7" w:rsidRPr="0051621E" w:rsidRDefault="00B56CE7" w:rsidP="00622771">
            <w:pPr>
              <w:widowControl w:val="0"/>
              <w:spacing w:before="60" w:after="60" w:line="288" w:lineRule="auto"/>
              <w:jc w:val="center"/>
              <w:rPr>
                <w:color w:val="000000"/>
              </w:rPr>
            </w:pPr>
            <w:r w:rsidRPr="0051621E">
              <w:rPr>
                <w:color w:val="000000"/>
              </w:rPr>
              <w:t>2</w:t>
            </w:r>
          </w:p>
        </w:tc>
        <w:tc>
          <w:tcPr>
            <w:tcW w:w="4253" w:type="dxa"/>
            <w:shd w:val="clear" w:color="auto" w:fill="auto"/>
            <w:vAlign w:val="center"/>
          </w:tcPr>
          <w:p w:rsidR="00B56CE7" w:rsidRPr="0051621E" w:rsidRDefault="00B56CE7" w:rsidP="00622771">
            <w:pPr>
              <w:widowControl w:val="0"/>
              <w:spacing w:before="60" w:after="60" w:line="288" w:lineRule="auto"/>
              <w:rPr>
                <w:color w:val="000000"/>
              </w:rPr>
            </w:pPr>
            <w:r w:rsidRPr="0051621E">
              <w:rPr>
                <w:color w:val="000000"/>
              </w:rPr>
              <w:t>Ban Kiểm soát</w:t>
            </w:r>
          </w:p>
        </w:tc>
        <w:tc>
          <w:tcPr>
            <w:tcW w:w="3402" w:type="dxa"/>
            <w:shd w:val="clear" w:color="auto" w:fill="auto"/>
            <w:vAlign w:val="center"/>
          </w:tcPr>
          <w:p w:rsidR="00B56CE7" w:rsidRPr="0051621E" w:rsidRDefault="00B56CE7" w:rsidP="00622771">
            <w:pPr>
              <w:widowControl w:val="0"/>
              <w:spacing w:before="60" w:after="60" w:line="288" w:lineRule="auto"/>
              <w:jc w:val="right"/>
              <w:rPr>
                <w:color w:val="000000"/>
              </w:rPr>
            </w:pPr>
            <w:r w:rsidRPr="0051621E">
              <w:rPr>
                <w:color w:val="000000"/>
              </w:rPr>
              <w:t xml:space="preserve">189.000.000 VND  </w:t>
            </w:r>
          </w:p>
        </w:tc>
      </w:tr>
      <w:tr w:rsidR="00B56CE7" w:rsidRPr="0051621E" w:rsidTr="0056496B">
        <w:tc>
          <w:tcPr>
            <w:tcW w:w="709" w:type="dxa"/>
            <w:shd w:val="clear" w:color="auto" w:fill="auto"/>
            <w:vAlign w:val="center"/>
          </w:tcPr>
          <w:p w:rsidR="00B56CE7" w:rsidRPr="0051621E" w:rsidRDefault="00B56CE7" w:rsidP="00622771">
            <w:pPr>
              <w:widowControl w:val="0"/>
              <w:spacing w:before="60" w:after="60" w:line="288" w:lineRule="auto"/>
              <w:jc w:val="center"/>
              <w:rPr>
                <w:color w:val="000000"/>
              </w:rPr>
            </w:pPr>
            <w:r w:rsidRPr="0051621E">
              <w:rPr>
                <w:color w:val="000000"/>
              </w:rPr>
              <w:t>3</w:t>
            </w:r>
          </w:p>
        </w:tc>
        <w:tc>
          <w:tcPr>
            <w:tcW w:w="4253" w:type="dxa"/>
            <w:shd w:val="clear" w:color="auto" w:fill="auto"/>
            <w:vAlign w:val="center"/>
          </w:tcPr>
          <w:p w:rsidR="00B56CE7" w:rsidRPr="0051621E" w:rsidRDefault="00B56CE7" w:rsidP="00622771">
            <w:pPr>
              <w:widowControl w:val="0"/>
              <w:spacing w:before="60" w:after="60" w:line="288" w:lineRule="auto"/>
              <w:rPr>
                <w:color w:val="000000"/>
              </w:rPr>
            </w:pPr>
            <w:r w:rsidRPr="0051621E">
              <w:rPr>
                <w:color w:val="000000"/>
              </w:rPr>
              <w:t>Tổng thù lao HĐQT và BKS</w:t>
            </w:r>
          </w:p>
        </w:tc>
        <w:tc>
          <w:tcPr>
            <w:tcW w:w="3402" w:type="dxa"/>
            <w:shd w:val="clear" w:color="auto" w:fill="auto"/>
            <w:vAlign w:val="center"/>
          </w:tcPr>
          <w:p w:rsidR="00B56CE7" w:rsidRPr="0051621E" w:rsidRDefault="00B56CE7" w:rsidP="00622771">
            <w:pPr>
              <w:widowControl w:val="0"/>
              <w:spacing w:before="60" w:after="60" w:line="288" w:lineRule="auto"/>
              <w:jc w:val="right"/>
              <w:rPr>
                <w:color w:val="000000"/>
              </w:rPr>
            </w:pPr>
            <w:r w:rsidRPr="0051621E">
              <w:rPr>
                <w:color w:val="000000"/>
              </w:rPr>
              <w:t>1.212.000.000 VND</w:t>
            </w:r>
          </w:p>
        </w:tc>
      </w:tr>
    </w:tbl>
    <w:p w:rsidR="00B56CE7" w:rsidRPr="00B04C5F" w:rsidRDefault="00B56CE7" w:rsidP="00FC58DF">
      <w:pPr>
        <w:widowControl w:val="0"/>
        <w:tabs>
          <w:tab w:val="left" w:pos="0"/>
        </w:tabs>
        <w:spacing w:before="240" w:after="240" w:line="288" w:lineRule="auto"/>
        <w:jc w:val="both"/>
      </w:pPr>
      <w:r w:rsidRPr="00B04C5F">
        <w:rPr>
          <w:b/>
        </w:rPr>
        <w:t xml:space="preserve">Điều </w:t>
      </w:r>
      <w:r w:rsidR="006E1ABA">
        <w:rPr>
          <w:b/>
        </w:rPr>
        <w:t>7</w:t>
      </w:r>
      <w:r w:rsidRPr="00B04C5F">
        <w:rPr>
          <w:b/>
        </w:rPr>
        <w:t>:</w:t>
      </w:r>
      <w:r w:rsidRPr="00B04C5F">
        <w:t xml:space="preserve"> Thông qua kế hoạch thù lao và chi phí hoạt động của Hội đồng quản trị và Ban kiểm soát năm 2015 như sau: </w:t>
      </w:r>
    </w:p>
    <w:p w:rsidR="00B56CE7" w:rsidRPr="00B04C5F" w:rsidRDefault="00B56CE7" w:rsidP="00622771">
      <w:pPr>
        <w:pStyle w:val="ListParagraph"/>
        <w:widowControl w:val="0"/>
        <w:numPr>
          <w:ilvl w:val="0"/>
          <w:numId w:val="6"/>
        </w:numPr>
        <w:spacing w:before="60" w:after="60" w:line="288" w:lineRule="auto"/>
        <w:ind w:left="567" w:hanging="283"/>
        <w:contextualSpacing w:val="0"/>
        <w:jc w:val="both"/>
        <w:rPr>
          <w:rFonts w:ascii="Times New Roman" w:hAnsi="Times New Roman"/>
          <w:sz w:val="24"/>
          <w:szCs w:val="24"/>
          <w:lang w:val="it-IT"/>
        </w:rPr>
      </w:pPr>
      <w:r w:rsidRPr="00B04C5F">
        <w:rPr>
          <w:rFonts w:ascii="Times New Roman" w:hAnsi="Times New Roman"/>
          <w:sz w:val="24"/>
          <w:szCs w:val="24"/>
          <w:lang w:val="it-IT"/>
        </w:rPr>
        <w:t>Thành viên HĐQT và BKS làm việc và hưởng thù lao theo chế độ chuyên trách và không chuyên trách. Tổng mức thù lao cho HĐQT và BKS năm 2015 là tối thiểu 1,8 tỉ đồng và không vượt quá 2% lợi nhuận sau thuế.</w:t>
      </w:r>
    </w:p>
    <w:p w:rsidR="00B56CE7" w:rsidRPr="00B04C5F" w:rsidRDefault="00B56CE7" w:rsidP="00622771">
      <w:pPr>
        <w:pStyle w:val="ListParagraph"/>
        <w:widowControl w:val="0"/>
        <w:numPr>
          <w:ilvl w:val="0"/>
          <w:numId w:val="6"/>
        </w:numPr>
        <w:spacing w:before="60" w:after="60" w:line="288" w:lineRule="auto"/>
        <w:ind w:left="567" w:hanging="283"/>
        <w:contextualSpacing w:val="0"/>
        <w:jc w:val="both"/>
        <w:rPr>
          <w:rFonts w:ascii="Times New Roman" w:hAnsi="Times New Roman"/>
          <w:sz w:val="24"/>
          <w:szCs w:val="24"/>
          <w:lang w:val="it-IT"/>
        </w:rPr>
      </w:pPr>
      <w:r w:rsidRPr="00B04C5F">
        <w:rPr>
          <w:rFonts w:ascii="Times New Roman" w:hAnsi="Times New Roman"/>
          <w:sz w:val="24"/>
          <w:szCs w:val="24"/>
          <w:lang w:val="it-IT"/>
        </w:rPr>
        <w:t>Nếu Công ty không hoàn thành kế hoạch các thành viên HĐQT và BKS chỉ hưởng 80% mức thù lao đề xuất. Trong trường hợp hoàn thành kế hoạch được hưởng 100% mức đề xuất. Trong trường hợp vượt mức kế hoạch sẽ được hưởng theo tỉ lệ tương ứng với tỉ lệ vượt mức kế hoạch đề ra trên cơ sở mức thù lao đề xuất.</w:t>
      </w:r>
    </w:p>
    <w:p w:rsidR="00B56CE7" w:rsidRDefault="00B56CE7" w:rsidP="00622771">
      <w:pPr>
        <w:pStyle w:val="ListParagraph"/>
        <w:widowControl w:val="0"/>
        <w:numPr>
          <w:ilvl w:val="0"/>
          <w:numId w:val="6"/>
        </w:numPr>
        <w:spacing w:before="60" w:after="60" w:line="288" w:lineRule="auto"/>
        <w:ind w:left="567" w:hanging="283"/>
        <w:contextualSpacing w:val="0"/>
        <w:jc w:val="both"/>
        <w:rPr>
          <w:rFonts w:ascii="Times New Roman" w:hAnsi="Times New Roman"/>
          <w:sz w:val="24"/>
          <w:szCs w:val="24"/>
          <w:lang w:val="it-IT"/>
        </w:rPr>
      </w:pPr>
      <w:r w:rsidRPr="00B04C5F">
        <w:rPr>
          <w:rFonts w:ascii="Times New Roman" w:hAnsi="Times New Roman"/>
          <w:sz w:val="24"/>
          <w:szCs w:val="24"/>
          <w:lang w:val="it-IT"/>
        </w:rPr>
        <w:lastRenderedPageBreak/>
        <w:t xml:space="preserve">Trích tối đa 1% từ lợi nhuận sau thuế để bổ sung chi phí hoạt động của HĐQT và BKS. </w:t>
      </w:r>
    </w:p>
    <w:p w:rsidR="00B56CE7" w:rsidRDefault="00B56CE7" w:rsidP="00FC58DF">
      <w:pPr>
        <w:widowControl w:val="0"/>
        <w:tabs>
          <w:tab w:val="left" w:pos="851"/>
        </w:tabs>
        <w:spacing w:before="240" w:after="240" w:line="288" w:lineRule="auto"/>
        <w:ind w:left="851" w:hanging="851"/>
        <w:jc w:val="both"/>
        <w:rPr>
          <w:lang w:val="it-IT"/>
        </w:rPr>
      </w:pPr>
      <w:r w:rsidRPr="00B04C5F">
        <w:rPr>
          <w:b/>
          <w:lang w:val="it-IT"/>
        </w:rPr>
        <w:t xml:space="preserve">Điều </w:t>
      </w:r>
      <w:r w:rsidR="006E1ABA">
        <w:rPr>
          <w:b/>
          <w:lang w:val="it-IT"/>
        </w:rPr>
        <w:t>8</w:t>
      </w:r>
      <w:r w:rsidRPr="00B04C5F">
        <w:rPr>
          <w:b/>
          <w:lang w:val="it-IT"/>
        </w:rPr>
        <w:t>:</w:t>
      </w:r>
      <w:r w:rsidRPr="00B04C5F">
        <w:rPr>
          <w:lang w:val="it-IT"/>
        </w:rPr>
        <w:t xml:space="preserve"> Thông qua chỉ tiêu hoạt động kinh doanh năm 2015 như sau: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1417"/>
        <w:gridCol w:w="1418"/>
        <w:gridCol w:w="1417"/>
        <w:gridCol w:w="1276"/>
      </w:tblGrid>
      <w:tr w:rsidR="006E1ABA" w:rsidRPr="002E23FF" w:rsidTr="00D204CE">
        <w:tc>
          <w:tcPr>
            <w:tcW w:w="709" w:type="dxa"/>
            <w:shd w:val="clear" w:color="auto" w:fill="auto"/>
            <w:vAlign w:val="center"/>
            <w:hideMark/>
          </w:tcPr>
          <w:p w:rsidR="006E1ABA" w:rsidRPr="002E23FF" w:rsidRDefault="006E1ABA" w:rsidP="002E126A">
            <w:pPr>
              <w:spacing w:before="100" w:beforeAutospacing="1" w:after="100" w:afterAutospacing="1"/>
              <w:jc w:val="center"/>
              <w:rPr>
                <w:b/>
                <w:bCs/>
                <w:color w:val="000000"/>
              </w:rPr>
            </w:pPr>
            <w:r w:rsidRPr="002E23FF">
              <w:rPr>
                <w:b/>
                <w:bCs/>
                <w:color w:val="000000"/>
              </w:rPr>
              <w:t>STT</w:t>
            </w:r>
          </w:p>
        </w:tc>
        <w:tc>
          <w:tcPr>
            <w:tcW w:w="2552" w:type="dxa"/>
            <w:shd w:val="clear" w:color="auto" w:fill="auto"/>
            <w:vAlign w:val="center"/>
            <w:hideMark/>
          </w:tcPr>
          <w:p w:rsidR="006E1ABA" w:rsidRPr="002E23FF" w:rsidRDefault="006E1ABA" w:rsidP="002E126A">
            <w:pPr>
              <w:spacing w:before="100" w:beforeAutospacing="1" w:after="100" w:afterAutospacing="1"/>
              <w:jc w:val="center"/>
              <w:rPr>
                <w:b/>
                <w:bCs/>
                <w:color w:val="000000"/>
              </w:rPr>
            </w:pPr>
            <w:r w:rsidRPr="002E23FF">
              <w:rPr>
                <w:b/>
                <w:bCs/>
                <w:color w:val="000000"/>
              </w:rPr>
              <w:t>Chỉ tiêu</w:t>
            </w:r>
          </w:p>
        </w:tc>
        <w:tc>
          <w:tcPr>
            <w:tcW w:w="1417" w:type="dxa"/>
            <w:shd w:val="clear" w:color="auto" w:fill="auto"/>
            <w:vAlign w:val="center"/>
            <w:hideMark/>
          </w:tcPr>
          <w:p w:rsidR="006E1ABA" w:rsidRPr="002E23FF" w:rsidRDefault="006E1ABA" w:rsidP="002E126A">
            <w:pPr>
              <w:spacing w:before="100" w:beforeAutospacing="1" w:after="100" w:afterAutospacing="1"/>
              <w:jc w:val="center"/>
              <w:rPr>
                <w:b/>
                <w:bCs/>
                <w:color w:val="000000"/>
              </w:rPr>
            </w:pPr>
            <w:r w:rsidRPr="002E23FF">
              <w:rPr>
                <w:b/>
                <w:bCs/>
                <w:color w:val="000000"/>
              </w:rPr>
              <w:t>Đơn vị</w:t>
            </w:r>
          </w:p>
        </w:tc>
        <w:tc>
          <w:tcPr>
            <w:tcW w:w="1418" w:type="dxa"/>
            <w:shd w:val="clear" w:color="auto" w:fill="auto"/>
            <w:vAlign w:val="center"/>
            <w:hideMark/>
          </w:tcPr>
          <w:p w:rsidR="006E1ABA" w:rsidRPr="002E23FF" w:rsidRDefault="006E1ABA" w:rsidP="002E126A">
            <w:pPr>
              <w:spacing w:before="100" w:beforeAutospacing="1" w:after="100" w:afterAutospacing="1"/>
              <w:jc w:val="center"/>
              <w:rPr>
                <w:b/>
                <w:bCs/>
                <w:color w:val="000000"/>
              </w:rPr>
            </w:pPr>
            <w:r w:rsidRPr="002E23FF">
              <w:rPr>
                <w:b/>
                <w:bCs/>
                <w:color w:val="000000"/>
              </w:rPr>
              <w:t>Thực hiện năm 2014</w:t>
            </w:r>
          </w:p>
        </w:tc>
        <w:tc>
          <w:tcPr>
            <w:tcW w:w="1417" w:type="dxa"/>
            <w:shd w:val="clear" w:color="auto" w:fill="auto"/>
            <w:vAlign w:val="center"/>
            <w:hideMark/>
          </w:tcPr>
          <w:p w:rsidR="006E1ABA" w:rsidRPr="002E23FF" w:rsidRDefault="006E1ABA" w:rsidP="002E126A">
            <w:pPr>
              <w:spacing w:before="100" w:beforeAutospacing="1" w:after="100" w:afterAutospacing="1"/>
              <w:jc w:val="center"/>
              <w:rPr>
                <w:b/>
                <w:bCs/>
                <w:color w:val="000000"/>
              </w:rPr>
            </w:pPr>
            <w:r w:rsidRPr="002E23FF">
              <w:rPr>
                <w:b/>
                <w:bCs/>
                <w:color w:val="000000"/>
              </w:rPr>
              <w:t>Kế hoạch năm 2015</w:t>
            </w:r>
          </w:p>
        </w:tc>
        <w:tc>
          <w:tcPr>
            <w:tcW w:w="1276" w:type="dxa"/>
            <w:shd w:val="clear" w:color="auto" w:fill="auto"/>
            <w:vAlign w:val="center"/>
            <w:hideMark/>
          </w:tcPr>
          <w:p w:rsidR="006E1ABA" w:rsidRPr="002E23FF" w:rsidRDefault="006E1ABA" w:rsidP="002E126A">
            <w:pPr>
              <w:spacing w:before="100" w:beforeAutospacing="1" w:after="100" w:afterAutospacing="1"/>
              <w:jc w:val="center"/>
              <w:rPr>
                <w:b/>
                <w:bCs/>
                <w:color w:val="000000"/>
              </w:rPr>
            </w:pPr>
            <w:r w:rsidRPr="002E23FF">
              <w:rPr>
                <w:b/>
                <w:bCs/>
                <w:color w:val="000000"/>
              </w:rPr>
              <w:t>% tăng 2015/2014</w:t>
            </w:r>
          </w:p>
        </w:tc>
      </w:tr>
      <w:tr w:rsidR="006E1ABA" w:rsidRPr="002E23FF" w:rsidTr="00D204CE">
        <w:tc>
          <w:tcPr>
            <w:tcW w:w="709"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sidRPr="002E23FF">
              <w:rPr>
                <w:color w:val="000000"/>
              </w:rPr>
              <w:t>1</w:t>
            </w:r>
          </w:p>
        </w:tc>
        <w:tc>
          <w:tcPr>
            <w:tcW w:w="2552" w:type="dxa"/>
            <w:shd w:val="clear" w:color="auto" w:fill="auto"/>
            <w:vAlign w:val="center"/>
            <w:hideMark/>
          </w:tcPr>
          <w:p w:rsidR="006E1ABA" w:rsidRPr="002E23FF" w:rsidRDefault="006E1ABA" w:rsidP="002E126A">
            <w:pPr>
              <w:spacing w:before="100" w:beforeAutospacing="1" w:after="100" w:afterAutospacing="1"/>
              <w:rPr>
                <w:color w:val="000000"/>
              </w:rPr>
            </w:pPr>
            <w:r w:rsidRPr="002E23FF">
              <w:rPr>
                <w:color w:val="000000"/>
              </w:rPr>
              <w:t>Vốn điều lệ</w:t>
            </w:r>
          </w:p>
        </w:tc>
        <w:tc>
          <w:tcPr>
            <w:tcW w:w="1417"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Pr>
                <w:color w:val="000000"/>
              </w:rPr>
              <w:t>Tỷ</w:t>
            </w:r>
            <w:r w:rsidRPr="002E23FF">
              <w:rPr>
                <w:color w:val="000000"/>
              </w:rPr>
              <w:t xml:space="preserve"> đồng</w:t>
            </w:r>
          </w:p>
        </w:tc>
        <w:tc>
          <w:tcPr>
            <w:tcW w:w="1418"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300</w:t>
            </w:r>
          </w:p>
        </w:tc>
        <w:tc>
          <w:tcPr>
            <w:tcW w:w="1417"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6</w:t>
            </w:r>
            <w:r>
              <w:rPr>
                <w:color w:val="000000"/>
              </w:rPr>
              <w:t>69,9</w:t>
            </w:r>
          </w:p>
        </w:tc>
        <w:tc>
          <w:tcPr>
            <w:tcW w:w="1276"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1</w:t>
            </w:r>
            <w:r>
              <w:rPr>
                <w:color w:val="000000"/>
              </w:rPr>
              <w:t>23,30</w:t>
            </w:r>
            <w:r w:rsidRPr="002E23FF">
              <w:rPr>
                <w:color w:val="000000"/>
              </w:rPr>
              <w:t>%</w:t>
            </w:r>
          </w:p>
        </w:tc>
      </w:tr>
      <w:tr w:rsidR="006E1ABA" w:rsidRPr="002E23FF" w:rsidTr="00D204CE">
        <w:tc>
          <w:tcPr>
            <w:tcW w:w="709"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sidRPr="002E23FF">
              <w:rPr>
                <w:color w:val="000000"/>
              </w:rPr>
              <w:t>2</w:t>
            </w:r>
          </w:p>
        </w:tc>
        <w:tc>
          <w:tcPr>
            <w:tcW w:w="2552" w:type="dxa"/>
            <w:shd w:val="clear" w:color="auto" w:fill="auto"/>
            <w:vAlign w:val="center"/>
            <w:hideMark/>
          </w:tcPr>
          <w:p w:rsidR="006E1ABA" w:rsidRPr="002E23FF" w:rsidRDefault="006E1ABA" w:rsidP="002E126A">
            <w:pPr>
              <w:spacing w:before="100" w:beforeAutospacing="1" w:after="100" w:afterAutospacing="1"/>
              <w:rPr>
                <w:color w:val="000000"/>
              </w:rPr>
            </w:pPr>
            <w:r w:rsidRPr="002E23FF">
              <w:rPr>
                <w:color w:val="000000"/>
              </w:rPr>
              <w:t>Doanh thu</w:t>
            </w:r>
          </w:p>
        </w:tc>
        <w:tc>
          <w:tcPr>
            <w:tcW w:w="1417"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sidRPr="002E23FF">
              <w:rPr>
                <w:color w:val="000000"/>
              </w:rPr>
              <w:t>Triệu đồng</w:t>
            </w:r>
          </w:p>
        </w:tc>
        <w:tc>
          <w:tcPr>
            <w:tcW w:w="1418"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 xml:space="preserve">      139</w:t>
            </w:r>
            <w:r>
              <w:rPr>
                <w:color w:val="000000"/>
              </w:rPr>
              <w:t>.</w:t>
            </w:r>
            <w:r w:rsidRPr="002E23FF">
              <w:rPr>
                <w:color w:val="000000"/>
              </w:rPr>
              <w:t xml:space="preserve">382 </w:t>
            </w:r>
          </w:p>
        </w:tc>
        <w:tc>
          <w:tcPr>
            <w:tcW w:w="1417"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197</w:t>
            </w:r>
            <w:r>
              <w:rPr>
                <w:color w:val="000000"/>
              </w:rPr>
              <w:t>.</w:t>
            </w:r>
            <w:r w:rsidRPr="002E23FF">
              <w:rPr>
                <w:color w:val="000000"/>
              </w:rPr>
              <w:t xml:space="preserve">020 </w:t>
            </w:r>
          </w:p>
        </w:tc>
        <w:tc>
          <w:tcPr>
            <w:tcW w:w="1276"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41</w:t>
            </w:r>
            <w:r>
              <w:rPr>
                <w:color w:val="000000"/>
              </w:rPr>
              <w:t>,35</w:t>
            </w:r>
            <w:r w:rsidRPr="002E23FF">
              <w:rPr>
                <w:color w:val="000000"/>
              </w:rPr>
              <w:t>%</w:t>
            </w:r>
          </w:p>
        </w:tc>
      </w:tr>
      <w:tr w:rsidR="006E1ABA" w:rsidRPr="002E23FF" w:rsidTr="00D204CE">
        <w:tc>
          <w:tcPr>
            <w:tcW w:w="709"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sidRPr="002E23FF">
              <w:rPr>
                <w:color w:val="000000"/>
              </w:rPr>
              <w:t>3</w:t>
            </w:r>
          </w:p>
        </w:tc>
        <w:tc>
          <w:tcPr>
            <w:tcW w:w="2552" w:type="dxa"/>
            <w:shd w:val="clear" w:color="auto" w:fill="auto"/>
            <w:vAlign w:val="center"/>
            <w:hideMark/>
          </w:tcPr>
          <w:p w:rsidR="006E1ABA" w:rsidRPr="002E23FF" w:rsidRDefault="006E1ABA" w:rsidP="002E126A">
            <w:pPr>
              <w:spacing w:before="100" w:beforeAutospacing="1" w:after="100" w:afterAutospacing="1"/>
              <w:rPr>
                <w:color w:val="000000"/>
              </w:rPr>
            </w:pPr>
            <w:r w:rsidRPr="002E23FF">
              <w:rPr>
                <w:color w:val="000000"/>
              </w:rPr>
              <w:t>Lợi nhuận trước thuế</w:t>
            </w:r>
          </w:p>
        </w:tc>
        <w:tc>
          <w:tcPr>
            <w:tcW w:w="1417"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sidRPr="002E23FF">
              <w:rPr>
                <w:color w:val="000000"/>
              </w:rPr>
              <w:t>Triệu đồng</w:t>
            </w:r>
          </w:p>
        </w:tc>
        <w:tc>
          <w:tcPr>
            <w:tcW w:w="1418"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 xml:space="preserve">        97</w:t>
            </w:r>
            <w:r>
              <w:rPr>
                <w:color w:val="000000"/>
              </w:rPr>
              <w:t>.</w:t>
            </w:r>
            <w:r w:rsidRPr="002E23FF">
              <w:rPr>
                <w:color w:val="000000"/>
              </w:rPr>
              <w:t xml:space="preserve">675 </w:t>
            </w:r>
          </w:p>
        </w:tc>
        <w:tc>
          <w:tcPr>
            <w:tcW w:w="1417"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118</w:t>
            </w:r>
            <w:r>
              <w:rPr>
                <w:color w:val="000000"/>
              </w:rPr>
              <w:t>.</w:t>
            </w:r>
            <w:r w:rsidRPr="002E23FF">
              <w:rPr>
                <w:color w:val="000000"/>
              </w:rPr>
              <w:t xml:space="preserve">360 </w:t>
            </w:r>
          </w:p>
        </w:tc>
        <w:tc>
          <w:tcPr>
            <w:tcW w:w="1276"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21</w:t>
            </w:r>
            <w:r>
              <w:rPr>
                <w:color w:val="000000"/>
              </w:rPr>
              <w:t>,18</w:t>
            </w:r>
            <w:r w:rsidRPr="002E23FF">
              <w:rPr>
                <w:color w:val="000000"/>
              </w:rPr>
              <w:t>%</w:t>
            </w:r>
          </w:p>
        </w:tc>
      </w:tr>
      <w:tr w:rsidR="006E1ABA" w:rsidRPr="002E23FF" w:rsidTr="00D204CE">
        <w:tc>
          <w:tcPr>
            <w:tcW w:w="709"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sidRPr="002E23FF">
              <w:rPr>
                <w:color w:val="000000"/>
              </w:rPr>
              <w:t>4</w:t>
            </w:r>
          </w:p>
        </w:tc>
        <w:tc>
          <w:tcPr>
            <w:tcW w:w="2552" w:type="dxa"/>
            <w:shd w:val="clear" w:color="auto" w:fill="auto"/>
            <w:vAlign w:val="center"/>
            <w:hideMark/>
          </w:tcPr>
          <w:p w:rsidR="006E1ABA" w:rsidRPr="002E23FF" w:rsidRDefault="006E1ABA" w:rsidP="002E126A">
            <w:pPr>
              <w:spacing w:before="100" w:beforeAutospacing="1" w:after="100" w:afterAutospacing="1"/>
              <w:rPr>
                <w:color w:val="000000"/>
              </w:rPr>
            </w:pPr>
            <w:r w:rsidRPr="002E23FF">
              <w:rPr>
                <w:color w:val="000000"/>
              </w:rPr>
              <w:t>Thuế thu nhập doanh nghiệp</w:t>
            </w:r>
          </w:p>
        </w:tc>
        <w:tc>
          <w:tcPr>
            <w:tcW w:w="1417"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sidRPr="002E23FF">
              <w:rPr>
                <w:color w:val="000000"/>
              </w:rPr>
              <w:t>Triệu đồng</w:t>
            </w:r>
          </w:p>
        </w:tc>
        <w:tc>
          <w:tcPr>
            <w:tcW w:w="1418"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18</w:t>
            </w:r>
            <w:r>
              <w:rPr>
                <w:color w:val="000000"/>
              </w:rPr>
              <w:t>.</w:t>
            </w:r>
            <w:r w:rsidRPr="002E23FF">
              <w:rPr>
                <w:color w:val="000000"/>
              </w:rPr>
              <w:t xml:space="preserve">351 </w:t>
            </w:r>
          </w:p>
        </w:tc>
        <w:tc>
          <w:tcPr>
            <w:tcW w:w="1417"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26</w:t>
            </w:r>
            <w:r>
              <w:rPr>
                <w:color w:val="000000"/>
              </w:rPr>
              <w:t>.</w:t>
            </w:r>
            <w:r w:rsidRPr="002E23FF">
              <w:rPr>
                <w:color w:val="000000"/>
              </w:rPr>
              <w:t xml:space="preserve">039 </w:t>
            </w:r>
          </w:p>
        </w:tc>
        <w:tc>
          <w:tcPr>
            <w:tcW w:w="1276" w:type="dxa"/>
            <w:shd w:val="clear" w:color="auto" w:fill="auto"/>
            <w:vAlign w:val="center"/>
            <w:hideMark/>
          </w:tcPr>
          <w:p w:rsidR="006E1ABA" w:rsidRPr="002E23FF" w:rsidRDefault="006E1ABA" w:rsidP="002E126A">
            <w:pPr>
              <w:spacing w:before="100" w:beforeAutospacing="1" w:after="100" w:afterAutospacing="1"/>
              <w:jc w:val="right"/>
              <w:rPr>
                <w:color w:val="000000"/>
              </w:rPr>
            </w:pPr>
            <w:r>
              <w:rPr>
                <w:color w:val="000000"/>
              </w:rPr>
              <w:t>41,89</w:t>
            </w:r>
            <w:r w:rsidRPr="002E23FF">
              <w:rPr>
                <w:color w:val="000000"/>
              </w:rPr>
              <w:t>%</w:t>
            </w:r>
          </w:p>
        </w:tc>
      </w:tr>
      <w:tr w:rsidR="006E1ABA" w:rsidRPr="002E23FF" w:rsidTr="00D204CE">
        <w:tc>
          <w:tcPr>
            <w:tcW w:w="709"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sidRPr="002E23FF">
              <w:rPr>
                <w:color w:val="000000"/>
              </w:rPr>
              <w:t>5</w:t>
            </w:r>
          </w:p>
        </w:tc>
        <w:tc>
          <w:tcPr>
            <w:tcW w:w="2552" w:type="dxa"/>
            <w:shd w:val="clear" w:color="auto" w:fill="auto"/>
            <w:vAlign w:val="center"/>
            <w:hideMark/>
          </w:tcPr>
          <w:p w:rsidR="006E1ABA" w:rsidRPr="002E23FF" w:rsidRDefault="006E1ABA" w:rsidP="002E126A">
            <w:pPr>
              <w:spacing w:before="100" w:beforeAutospacing="1" w:after="100" w:afterAutospacing="1"/>
              <w:rPr>
                <w:color w:val="000000"/>
              </w:rPr>
            </w:pPr>
            <w:r w:rsidRPr="002E23FF">
              <w:rPr>
                <w:color w:val="000000"/>
              </w:rPr>
              <w:t>Lợi nhuận sau thuế</w:t>
            </w:r>
          </w:p>
        </w:tc>
        <w:tc>
          <w:tcPr>
            <w:tcW w:w="1417"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sidRPr="002E23FF">
              <w:rPr>
                <w:color w:val="000000"/>
              </w:rPr>
              <w:t>Triệu đồng</w:t>
            </w:r>
          </w:p>
        </w:tc>
        <w:tc>
          <w:tcPr>
            <w:tcW w:w="1418"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 xml:space="preserve">        79</w:t>
            </w:r>
            <w:r>
              <w:rPr>
                <w:color w:val="000000"/>
              </w:rPr>
              <w:t>.</w:t>
            </w:r>
            <w:r w:rsidRPr="002E23FF">
              <w:rPr>
                <w:color w:val="000000"/>
              </w:rPr>
              <w:t xml:space="preserve">324 </w:t>
            </w:r>
          </w:p>
        </w:tc>
        <w:tc>
          <w:tcPr>
            <w:tcW w:w="1417"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92</w:t>
            </w:r>
            <w:r>
              <w:rPr>
                <w:color w:val="000000"/>
              </w:rPr>
              <w:t>.</w:t>
            </w:r>
            <w:r w:rsidRPr="002E23FF">
              <w:rPr>
                <w:color w:val="000000"/>
              </w:rPr>
              <w:t xml:space="preserve">321 </w:t>
            </w:r>
          </w:p>
        </w:tc>
        <w:tc>
          <w:tcPr>
            <w:tcW w:w="1276" w:type="dxa"/>
            <w:shd w:val="clear" w:color="auto" w:fill="auto"/>
            <w:vAlign w:val="center"/>
            <w:hideMark/>
          </w:tcPr>
          <w:p w:rsidR="006E1ABA" w:rsidRPr="002E23FF" w:rsidRDefault="006E1ABA" w:rsidP="002E126A">
            <w:pPr>
              <w:spacing w:before="100" w:beforeAutospacing="1" w:after="100" w:afterAutospacing="1"/>
              <w:jc w:val="right"/>
              <w:rPr>
                <w:color w:val="000000"/>
              </w:rPr>
            </w:pPr>
            <w:r>
              <w:rPr>
                <w:color w:val="000000"/>
              </w:rPr>
              <w:t>16,38</w:t>
            </w:r>
            <w:r w:rsidRPr="002E23FF">
              <w:rPr>
                <w:color w:val="000000"/>
              </w:rPr>
              <w:t>%</w:t>
            </w:r>
          </w:p>
        </w:tc>
      </w:tr>
      <w:tr w:rsidR="006E1ABA" w:rsidRPr="002E23FF" w:rsidTr="00D204CE">
        <w:tc>
          <w:tcPr>
            <w:tcW w:w="709"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sidRPr="002E23FF">
              <w:rPr>
                <w:color w:val="000000"/>
              </w:rPr>
              <w:t>6</w:t>
            </w:r>
          </w:p>
        </w:tc>
        <w:tc>
          <w:tcPr>
            <w:tcW w:w="2552" w:type="dxa"/>
            <w:shd w:val="clear" w:color="auto" w:fill="auto"/>
            <w:vAlign w:val="center"/>
            <w:hideMark/>
          </w:tcPr>
          <w:p w:rsidR="006E1ABA" w:rsidRPr="002E23FF" w:rsidRDefault="006E1ABA" w:rsidP="002E126A">
            <w:pPr>
              <w:spacing w:before="100" w:beforeAutospacing="1" w:after="100" w:afterAutospacing="1"/>
              <w:rPr>
                <w:color w:val="000000"/>
              </w:rPr>
            </w:pPr>
            <w:r w:rsidRPr="002E23FF">
              <w:rPr>
                <w:color w:val="000000"/>
              </w:rPr>
              <w:t>Lãi cơ bản trên cổ phiếu</w:t>
            </w:r>
          </w:p>
        </w:tc>
        <w:tc>
          <w:tcPr>
            <w:tcW w:w="1417" w:type="dxa"/>
            <w:shd w:val="clear" w:color="auto" w:fill="auto"/>
            <w:vAlign w:val="center"/>
            <w:hideMark/>
          </w:tcPr>
          <w:p w:rsidR="006E1ABA" w:rsidRPr="002E23FF" w:rsidRDefault="006E1ABA" w:rsidP="002E126A">
            <w:pPr>
              <w:spacing w:before="100" w:beforeAutospacing="1" w:after="100" w:afterAutospacing="1"/>
              <w:jc w:val="center"/>
              <w:rPr>
                <w:color w:val="000000"/>
              </w:rPr>
            </w:pPr>
            <w:r w:rsidRPr="002E23FF">
              <w:rPr>
                <w:color w:val="000000"/>
              </w:rPr>
              <w:t>Đồng/cp</w:t>
            </w:r>
          </w:p>
        </w:tc>
        <w:tc>
          <w:tcPr>
            <w:tcW w:w="1418"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 xml:space="preserve">          2</w:t>
            </w:r>
            <w:r>
              <w:rPr>
                <w:color w:val="000000"/>
              </w:rPr>
              <w:t>.</w:t>
            </w:r>
            <w:r w:rsidRPr="002E23FF">
              <w:rPr>
                <w:color w:val="000000"/>
              </w:rPr>
              <w:t xml:space="preserve">644 </w:t>
            </w:r>
          </w:p>
        </w:tc>
        <w:tc>
          <w:tcPr>
            <w:tcW w:w="1417" w:type="dxa"/>
            <w:shd w:val="clear" w:color="auto" w:fill="auto"/>
            <w:vAlign w:val="center"/>
            <w:hideMark/>
          </w:tcPr>
          <w:p w:rsidR="006E1ABA" w:rsidRPr="002E23FF" w:rsidRDefault="006E1ABA" w:rsidP="002E126A">
            <w:pPr>
              <w:spacing w:before="100" w:beforeAutospacing="1" w:after="100" w:afterAutospacing="1"/>
              <w:jc w:val="right"/>
              <w:rPr>
                <w:color w:val="000000"/>
              </w:rPr>
            </w:pPr>
            <w:r w:rsidRPr="002E23FF">
              <w:rPr>
                <w:color w:val="000000"/>
              </w:rPr>
              <w:t>1</w:t>
            </w:r>
            <w:r>
              <w:rPr>
                <w:color w:val="000000"/>
              </w:rPr>
              <w:t>.844</w:t>
            </w:r>
            <w:r w:rsidRPr="002E23FF">
              <w:rPr>
                <w:color w:val="000000"/>
              </w:rPr>
              <w:t xml:space="preserve"> </w:t>
            </w:r>
          </w:p>
        </w:tc>
        <w:tc>
          <w:tcPr>
            <w:tcW w:w="1276" w:type="dxa"/>
            <w:shd w:val="clear" w:color="auto" w:fill="auto"/>
            <w:vAlign w:val="center"/>
            <w:hideMark/>
          </w:tcPr>
          <w:p w:rsidR="006E1ABA" w:rsidRPr="002E23FF" w:rsidRDefault="006E1ABA" w:rsidP="00D204CE">
            <w:pPr>
              <w:spacing w:before="100" w:beforeAutospacing="1" w:after="100" w:afterAutospacing="1"/>
              <w:jc w:val="right"/>
              <w:rPr>
                <w:color w:val="000000"/>
              </w:rPr>
            </w:pPr>
            <w:r w:rsidRPr="002E23FF">
              <w:rPr>
                <w:color w:val="000000"/>
              </w:rPr>
              <w:t>-3</w:t>
            </w:r>
            <w:r>
              <w:rPr>
                <w:color w:val="000000"/>
              </w:rPr>
              <w:t>0</w:t>
            </w:r>
            <w:r w:rsidR="00D204CE">
              <w:rPr>
                <w:color w:val="000000"/>
              </w:rPr>
              <w:t>,</w:t>
            </w:r>
            <w:r>
              <w:rPr>
                <w:color w:val="000000"/>
              </w:rPr>
              <w:t>26</w:t>
            </w:r>
            <w:r w:rsidRPr="002E23FF">
              <w:rPr>
                <w:color w:val="000000"/>
              </w:rPr>
              <w:t>%</w:t>
            </w:r>
          </w:p>
        </w:tc>
      </w:tr>
    </w:tbl>
    <w:p w:rsidR="00B56CE7" w:rsidRDefault="00B04C5F" w:rsidP="00651F2E">
      <w:pPr>
        <w:widowControl w:val="0"/>
        <w:tabs>
          <w:tab w:val="left" w:pos="851"/>
        </w:tabs>
        <w:spacing w:before="240" w:after="240" w:line="288" w:lineRule="auto"/>
        <w:jc w:val="both"/>
        <w:rPr>
          <w:lang w:val="it-IT"/>
        </w:rPr>
      </w:pPr>
      <w:r w:rsidRPr="00B04C5F">
        <w:rPr>
          <w:b/>
          <w:lang w:val="it-IT"/>
        </w:rPr>
        <w:t xml:space="preserve">Điều </w:t>
      </w:r>
      <w:r w:rsidR="00E7503C">
        <w:rPr>
          <w:b/>
          <w:lang w:val="it-IT"/>
        </w:rPr>
        <w:t>9</w:t>
      </w:r>
      <w:r w:rsidRPr="00B04C5F">
        <w:rPr>
          <w:b/>
          <w:lang w:val="it-IT"/>
        </w:rPr>
        <w:t>:</w:t>
      </w:r>
      <w:r w:rsidR="006E1ABA">
        <w:rPr>
          <w:b/>
          <w:lang w:val="it-IT"/>
        </w:rPr>
        <w:t xml:space="preserve"> </w:t>
      </w:r>
      <w:r>
        <w:rPr>
          <w:lang w:val="it-IT"/>
        </w:rPr>
        <w:t>Thông qua phương án tăng vốn điều lệ bằng</w:t>
      </w:r>
      <w:r w:rsidR="00651F2E">
        <w:rPr>
          <w:lang w:val="it-IT"/>
        </w:rPr>
        <w:t xml:space="preserve"> hình thức</w:t>
      </w:r>
      <w:r>
        <w:rPr>
          <w:lang w:val="it-IT"/>
        </w:rPr>
        <w:t xml:space="preserve"> trả cổ tức bằng cổ phiếu như sau: </w:t>
      </w:r>
    </w:p>
    <w:p w:rsidR="00FD4E3C" w:rsidRDefault="00FD4E3C" w:rsidP="00622771">
      <w:pPr>
        <w:widowControl w:val="0"/>
        <w:numPr>
          <w:ilvl w:val="0"/>
          <w:numId w:val="6"/>
        </w:numPr>
        <w:tabs>
          <w:tab w:val="left" w:pos="567"/>
        </w:tabs>
        <w:spacing w:before="60" w:after="60" w:line="288" w:lineRule="auto"/>
        <w:ind w:left="567" w:hanging="283"/>
        <w:jc w:val="both"/>
        <w:rPr>
          <w:lang w:val="it-IT"/>
        </w:rPr>
      </w:pPr>
      <w:r w:rsidRPr="00FD4E3C">
        <w:rPr>
          <w:lang w:val="it-IT"/>
        </w:rPr>
        <w:t xml:space="preserve">Thông qua </w:t>
      </w:r>
      <w:r>
        <w:rPr>
          <w:lang w:val="it-IT"/>
        </w:rPr>
        <w:t xml:space="preserve">việc tăng vốn điều lệ bằng hình thức trả cổ tức bằng cổ phiếu cho các cổ đông hiện hữu. </w:t>
      </w:r>
    </w:p>
    <w:p w:rsidR="00FD4E3C" w:rsidRDefault="00FD4E3C" w:rsidP="00622771">
      <w:pPr>
        <w:widowControl w:val="0"/>
        <w:numPr>
          <w:ilvl w:val="0"/>
          <w:numId w:val="6"/>
        </w:numPr>
        <w:tabs>
          <w:tab w:val="left" w:pos="567"/>
        </w:tabs>
        <w:spacing w:before="60" w:after="60" w:line="288" w:lineRule="auto"/>
        <w:ind w:left="567" w:hanging="283"/>
        <w:jc w:val="both"/>
        <w:rPr>
          <w:lang w:val="it-IT"/>
        </w:rPr>
      </w:pPr>
      <w:r>
        <w:rPr>
          <w:lang w:val="it-IT"/>
        </w:rPr>
        <w:t xml:space="preserve">Thông qua phương án </w:t>
      </w:r>
      <w:r w:rsidR="0096218C">
        <w:rPr>
          <w:lang w:val="it-IT"/>
        </w:rPr>
        <w:t xml:space="preserve">phát hành cổ phiếu để trả cổ tức </w:t>
      </w:r>
      <w:r>
        <w:rPr>
          <w:lang w:val="it-IT"/>
        </w:rPr>
        <w:t xml:space="preserve">kèm theo tờ trình số </w:t>
      </w:r>
      <w:r w:rsidR="00FC58DF">
        <w:rPr>
          <w:lang w:val="it-IT"/>
        </w:rPr>
        <w:t>04/</w:t>
      </w:r>
      <w:r>
        <w:rPr>
          <w:lang w:val="it-IT"/>
        </w:rPr>
        <w:t xml:space="preserve">2015/TT-HĐQT ngày 28/03/2015. Tờ trình và phương án </w:t>
      </w:r>
      <w:r w:rsidR="0096218C">
        <w:rPr>
          <w:lang w:val="it-IT"/>
        </w:rPr>
        <w:t xml:space="preserve">phát hành cổ phiếu để trả cổ tức </w:t>
      </w:r>
      <w:r>
        <w:rPr>
          <w:lang w:val="it-IT"/>
        </w:rPr>
        <w:t xml:space="preserve">kèm theo nghị quyết này. </w:t>
      </w:r>
    </w:p>
    <w:p w:rsidR="001578D6" w:rsidRPr="00FD4E3C" w:rsidRDefault="001578D6" w:rsidP="001578D6">
      <w:pPr>
        <w:widowControl w:val="0"/>
        <w:numPr>
          <w:ilvl w:val="0"/>
          <w:numId w:val="6"/>
        </w:numPr>
        <w:tabs>
          <w:tab w:val="left" w:pos="567"/>
        </w:tabs>
        <w:spacing w:before="60" w:after="60" w:line="288" w:lineRule="auto"/>
        <w:ind w:left="567" w:hanging="283"/>
        <w:jc w:val="both"/>
        <w:rPr>
          <w:lang w:val="it-IT"/>
        </w:rPr>
      </w:pPr>
      <w:r>
        <w:rPr>
          <w:lang w:val="it-IT"/>
        </w:rPr>
        <w:t>Thông qua việc đăng ký lưu ký bổ sung số lượng cổ phiếu phát hành thêm trả cổ tức tại TTLKCKVN và đăng ký niêm yết bổ sung tại SGDCK nơi CP công ty được niêm yết.</w:t>
      </w:r>
    </w:p>
    <w:p w:rsidR="001578D6" w:rsidRPr="00D212A0" w:rsidRDefault="001578D6" w:rsidP="001578D6">
      <w:pPr>
        <w:suppressAutoHyphens/>
        <w:spacing w:line="288" w:lineRule="auto"/>
        <w:jc w:val="both"/>
        <w:rPr>
          <w:lang w:val="fr-FR"/>
        </w:rPr>
      </w:pPr>
      <w:r w:rsidRPr="00D212A0">
        <w:rPr>
          <w:lang w:val="fr-FR"/>
        </w:rPr>
        <w:t>Đại hội đồng cổ đông ủy quyền cho Hội đồng quản trị quyết định các vấn đề liên quan đến đợt phát hành cổ phiếu để trả cổ tức, cụ thể:</w:t>
      </w:r>
    </w:p>
    <w:p w:rsidR="001578D6" w:rsidRPr="00D212A0" w:rsidRDefault="001578D6" w:rsidP="001578D6">
      <w:pPr>
        <w:numPr>
          <w:ilvl w:val="0"/>
          <w:numId w:val="12"/>
        </w:numPr>
        <w:suppressAutoHyphens/>
        <w:spacing w:line="288" w:lineRule="auto"/>
        <w:ind w:left="567"/>
        <w:jc w:val="both"/>
        <w:rPr>
          <w:lang w:val="fr-FR"/>
        </w:rPr>
      </w:pPr>
      <w:r w:rsidRPr="00D212A0">
        <w:rPr>
          <w:lang w:val="fr-FR"/>
        </w:rPr>
        <w:t>Lựa chọn thời điểm phát hành, xây dựng và hoàn thiện hồ sơ phát hành cổ phiếu gửi cho các cơ quan Nhà nước có thẩm quyền. Trong trường hợp các cơ quan này yêu cầu phải sửa đổi, bổ sung thì Hội đồng quản trị được phép quyết định sửa đổi, bổ sung theo khuyến nghị/đề nghị của các cơ quan Nhà nước có thẩm quyền.</w:t>
      </w:r>
    </w:p>
    <w:p w:rsidR="001578D6" w:rsidRPr="00D212A0" w:rsidRDefault="001578D6" w:rsidP="001578D6">
      <w:pPr>
        <w:numPr>
          <w:ilvl w:val="0"/>
          <w:numId w:val="12"/>
        </w:numPr>
        <w:suppressAutoHyphens/>
        <w:spacing w:line="288" w:lineRule="auto"/>
        <w:ind w:left="567"/>
        <w:jc w:val="both"/>
        <w:rPr>
          <w:lang w:val="fr-FR"/>
        </w:rPr>
      </w:pPr>
      <w:r w:rsidRPr="00D212A0">
        <w:rPr>
          <w:lang w:val="fr-FR"/>
        </w:rPr>
        <w:t>Lựa chọn thời gian phù hợp để chốt ngày thực hiện quyền và các mốc thời gian khác liên quan đến việc triển khai phát hành cổ phiếu để trả cổ tức theo quy định.</w:t>
      </w:r>
    </w:p>
    <w:p w:rsidR="001578D6" w:rsidRPr="00D212A0" w:rsidRDefault="001578D6" w:rsidP="001578D6">
      <w:pPr>
        <w:numPr>
          <w:ilvl w:val="0"/>
          <w:numId w:val="12"/>
        </w:numPr>
        <w:suppressAutoHyphens/>
        <w:spacing w:line="288" w:lineRule="auto"/>
        <w:ind w:left="567"/>
        <w:jc w:val="both"/>
        <w:rPr>
          <w:lang w:val="fr-FR"/>
        </w:rPr>
      </w:pPr>
      <w:r w:rsidRPr="00D212A0">
        <w:rPr>
          <w:lang w:val="fr-FR"/>
        </w:rPr>
        <w:t>Thực hiện các thủ tục điều chỉnh Giấy phép thành lập và hoạt động sau khi kết thúc đợt chào bán.</w:t>
      </w:r>
    </w:p>
    <w:p w:rsidR="001578D6" w:rsidRPr="00D212A0" w:rsidRDefault="001578D6" w:rsidP="001578D6">
      <w:pPr>
        <w:numPr>
          <w:ilvl w:val="0"/>
          <w:numId w:val="12"/>
        </w:numPr>
        <w:suppressAutoHyphens/>
        <w:spacing w:line="288" w:lineRule="auto"/>
        <w:ind w:left="567"/>
        <w:jc w:val="both"/>
        <w:rPr>
          <w:lang w:val="fr-FR"/>
        </w:rPr>
      </w:pPr>
      <w:r w:rsidRPr="00D212A0">
        <w:rPr>
          <w:lang w:val="fr-FR"/>
        </w:rPr>
        <w:t>Thực hiện các thủ tục bổ sung, sửa đổi các điều khoản có liên quan trong Điều lệ tổ chức và hoạt động của Công ty sau khi kết thúc đợt phát hành.</w:t>
      </w:r>
    </w:p>
    <w:p w:rsidR="001578D6" w:rsidRPr="00813E2C" w:rsidRDefault="001578D6" w:rsidP="001578D6">
      <w:pPr>
        <w:widowControl w:val="0"/>
        <w:numPr>
          <w:ilvl w:val="0"/>
          <w:numId w:val="12"/>
        </w:numPr>
        <w:spacing w:before="60" w:after="60" w:line="288" w:lineRule="auto"/>
        <w:ind w:left="567"/>
        <w:rPr>
          <w:lang w:val="fr-FR"/>
        </w:rPr>
      </w:pPr>
      <w:r w:rsidRPr="00D212A0">
        <w:rPr>
          <w:lang w:val="fr-FR"/>
        </w:rPr>
        <w:t>Ngoài các nội dung nêu trên, Đại hội đồng cổ đông thống nhất thông qua việc ủy quyền cho Hội đồng quản trị quyết định toàn bộ các vấn đề khác có liên quan phát sinh trong quá trình triển khai việc phát hành cổ phiếu để trả cổ tức theo quy định.</w:t>
      </w:r>
    </w:p>
    <w:p w:rsidR="00B04C5F" w:rsidRDefault="00E5377F" w:rsidP="00FC58DF">
      <w:pPr>
        <w:widowControl w:val="0"/>
        <w:tabs>
          <w:tab w:val="left" w:pos="851"/>
        </w:tabs>
        <w:spacing w:before="240" w:after="240" w:line="288" w:lineRule="auto"/>
        <w:ind w:left="851" w:hanging="851"/>
        <w:jc w:val="both"/>
        <w:rPr>
          <w:lang w:val="it-IT"/>
        </w:rPr>
      </w:pPr>
      <w:r w:rsidRPr="00FD4E3C">
        <w:rPr>
          <w:b/>
          <w:lang w:val="it-IT"/>
        </w:rPr>
        <w:t>Đi</w:t>
      </w:r>
      <w:r w:rsidR="00FD4E3C" w:rsidRPr="00FD4E3C">
        <w:rPr>
          <w:b/>
          <w:lang w:val="it-IT"/>
        </w:rPr>
        <w:t xml:space="preserve">ều </w:t>
      </w:r>
      <w:r w:rsidR="006E1ABA">
        <w:rPr>
          <w:b/>
          <w:lang w:val="it-IT"/>
        </w:rPr>
        <w:t>1</w:t>
      </w:r>
      <w:r w:rsidR="00E7503C">
        <w:rPr>
          <w:b/>
          <w:lang w:val="it-IT"/>
        </w:rPr>
        <w:t>0</w:t>
      </w:r>
      <w:r w:rsidR="00FD4E3C" w:rsidRPr="00FD4E3C">
        <w:rPr>
          <w:b/>
          <w:lang w:val="it-IT"/>
        </w:rPr>
        <w:t>:</w:t>
      </w:r>
      <w:r w:rsidR="006E1ABA">
        <w:rPr>
          <w:b/>
          <w:lang w:val="it-IT"/>
        </w:rPr>
        <w:t xml:space="preserve"> </w:t>
      </w:r>
      <w:r w:rsidR="00FD4E3C">
        <w:rPr>
          <w:lang w:val="it-IT"/>
        </w:rPr>
        <w:t>Thông qua việc chuyển</w:t>
      </w:r>
      <w:r w:rsidR="00B677B3">
        <w:rPr>
          <w:lang w:val="it-IT"/>
        </w:rPr>
        <w:t xml:space="preserve"> sàn </w:t>
      </w:r>
      <w:r w:rsidR="00FD4E3C">
        <w:rPr>
          <w:lang w:val="it-IT"/>
        </w:rPr>
        <w:t xml:space="preserve">niêm yết </w:t>
      </w:r>
      <w:r w:rsidR="00B677B3">
        <w:rPr>
          <w:lang w:val="it-IT"/>
        </w:rPr>
        <w:t xml:space="preserve">cổ phiếu công ty </w:t>
      </w:r>
      <w:r w:rsidR="00FD4E3C">
        <w:rPr>
          <w:lang w:val="it-IT"/>
        </w:rPr>
        <w:t xml:space="preserve">như sau: </w:t>
      </w:r>
    </w:p>
    <w:p w:rsidR="00FD4E3C" w:rsidRDefault="0056496B" w:rsidP="00622771">
      <w:pPr>
        <w:widowControl w:val="0"/>
        <w:numPr>
          <w:ilvl w:val="0"/>
          <w:numId w:val="6"/>
        </w:numPr>
        <w:tabs>
          <w:tab w:val="left" w:pos="567"/>
        </w:tabs>
        <w:spacing w:before="60" w:after="60" w:line="288" w:lineRule="auto"/>
        <w:ind w:left="567" w:hanging="283"/>
        <w:jc w:val="both"/>
        <w:rPr>
          <w:lang w:val="it-IT"/>
        </w:rPr>
      </w:pPr>
      <w:r>
        <w:rPr>
          <w:lang w:val="it-IT"/>
        </w:rPr>
        <w:t>T</w:t>
      </w:r>
      <w:r w:rsidR="00FD4E3C" w:rsidRPr="0013497C">
        <w:rPr>
          <w:lang w:val="it-IT"/>
        </w:rPr>
        <w:t xml:space="preserve">hông qua việc </w:t>
      </w:r>
      <w:r w:rsidR="00FD4E3C" w:rsidRPr="00E8572D">
        <w:rPr>
          <w:lang w:val="it-IT"/>
        </w:rPr>
        <w:t xml:space="preserve">hủy đăng ký niêm yết trên Sở giao dịch chứng khoán Hà Nội </w:t>
      </w:r>
      <w:r w:rsidR="00FD4E3C">
        <w:rPr>
          <w:lang w:val="it-IT"/>
        </w:rPr>
        <w:t xml:space="preserve">(HNX) </w:t>
      </w:r>
      <w:r w:rsidR="00FD4E3C" w:rsidRPr="00E8572D">
        <w:rPr>
          <w:lang w:val="it-IT"/>
        </w:rPr>
        <w:t>và đăng ký niêm yết trên Sở giao dịch chứng khoán TP Hồ Chí Minh</w:t>
      </w:r>
      <w:r w:rsidR="00FD4E3C" w:rsidRPr="0013497C">
        <w:rPr>
          <w:lang w:val="it-IT"/>
        </w:rPr>
        <w:t xml:space="preserve"> </w:t>
      </w:r>
      <w:r w:rsidR="00FD4E3C">
        <w:rPr>
          <w:lang w:val="it-IT"/>
        </w:rPr>
        <w:t xml:space="preserve">(HOSE) </w:t>
      </w:r>
      <w:r w:rsidR="00FD4E3C" w:rsidRPr="0013497C">
        <w:rPr>
          <w:lang w:val="it-IT"/>
        </w:rPr>
        <w:t xml:space="preserve">khi Công ty </w:t>
      </w:r>
      <w:r w:rsidR="00FD4E3C" w:rsidRPr="0013497C">
        <w:rPr>
          <w:lang w:val="it-IT"/>
        </w:rPr>
        <w:lastRenderedPageBreak/>
        <w:t>đủ điề</w:t>
      </w:r>
      <w:r w:rsidR="00392D4A">
        <w:rPr>
          <w:lang w:val="it-IT"/>
        </w:rPr>
        <w:t>u kiện theo quy định</w:t>
      </w:r>
      <w:r w:rsidR="00FD4E3C">
        <w:rPr>
          <w:lang w:val="it-IT"/>
        </w:rPr>
        <w:t xml:space="preserve">. </w:t>
      </w:r>
    </w:p>
    <w:p w:rsidR="00FD4E3C" w:rsidRDefault="00FD4E3C" w:rsidP="00622771">
      <w:pPr>
        <w:widowControl w:val="0"/>
        <w:numPr>
          <w:ilvl w:val="0"/>
          <w:numId w:val="6"/>
        </w:numPr>
        <w:tabs>
          <w:tab w:val="left" w:pos="567"/>
        </w:tabs>
        <w:spacing w:before="60" w:after="60" w:line="288" w:lineRule="auto"/>
        <w:ind w:left="567" w:hanging="283"/>
        <w:jc w:val="both"/>
        <w:rPr>
          <w:lang w:val="it-IT"/>
        </w:rPr>
      </w:pPr>
      <w:r>
        <w:rPr>
          <w:lang w:val="it-IT"/>
        </w:rPr>
        <w:t>Ủy</w:t>
      </w:r>
      <w:r w:rsidRPr="0013497C">
        <w:rPr>
          <w:lang w:val="it-IT"/>
        </w:rPr>
        <w:t xml:space="preserve"> quyền cho Hội đồng quản trị </w:t>
      </w:r>
      <w:r>
        <w:rPr>
          <w:lang w:val="it-IT"/>
        </w:rPr>
        <w:t>q</w:t>
      </w:r>
      <w:r w:rsidRPr="00E8572D">
        <w:rPr>
          <w:lang w:val="it-IT"/>
        </w:rPr>
        <w:t xml:space="preserve">uyết định thời điểm và hoàn thiện các hồ sơ, thủ tục liên quan đến hủy đăng ký niêm yết </w:t>
      </w:r>
      <w:r>
        <w:rPr>
          <w:lang w:val="it-IT"/>
        </w:rPr>
        <w:t xml:space="preserve">tại Sở giao dịch Chứng khoán Hà Nội </w:t>
      </w:r>
      <w:r w:rsidRPr="00E8572D">
        <w:rPr>
          <w:lang w:val="it-IT"/>
        </w:rPr>
        <w:t xml:space="preserve">và đăng ký niêm yết </w:t>
      </w:r>
      <w:r>
        <w:rPr>
          <w:lang w:val="it-IT"/>
        </w:rPr>
        <w:t xml:space="preserve">tại Sở giao dịch Chứng khoán TP Hồ Chí Minh </w:t>
      </w:r>
      <w:r w:rsidRPr="00E8572D">
        <w:rPr>
          <w:lang w:val="it-IT"/>
        </w:rPr>
        <w:t xml:space="preserve">theo quy định; </w:t>
      </w:r>
    </w:p>
    <w:p w:rsidR="00FD4E3C" w:rsidRPr="00E8572D" w:rsidRDefault="00FD4E3C" w:rsidP="00622771">
      <w:pPr>
        <w:widowControl w:val="0"/>
        <w:numPr>
          <w:ilvl w:val="0"/>
          <w:numId w:val="6"/>
        </w:numPr>
        <w:tabs>
          <w:tab w:val="left" w:pos="567"/>
        </w:tabs>
        <w:spacing w:before="60" w:after="60" w:line="288" w:lineRule="auto"/>
        <w:ind w:left="567" w:hanging="283"/>
        <w:jc w:val="both"/>
        <w:rPr>
          <w:lang w:val="it-IT"/>
        </w:rPr>
      </w:pPr>
      <w:r>
        <w:rPr>
          <w:lang w:val="it-IT"/>
        </w:rPr>
        <w:t xml:space="preserve">Ủy </w:t>
      </w:r>
      <w:r w:rsidRPr="0013497C">
        <w:rPr>
          <w:lang w:val="it-IT"/>
        </w:rPr>
        <w:t>quyền cho Hội đồng quản trị</w:t>
      </w:r>
      <w:r>
        <w:rPr>
          <w:lang w:val="it-IT"/>
        </w:rPr>
        <w:t xml:space="preserve"> l</w:t>
      </w:r>
      <w:r w:rsidRPr="00E8572D">
        <w:rPr>
          <w:lang w:val="it-IT"/>
        </w:rPr>
        <w:t xml:space="preserve">ựa chọn và quyết định mã chứng khoán phù hợp khi chuyển </w:t>
      </w:r>
      <w:r w:rsidR="00392D4A">
        <w:rPr>
          <w:lang w:val="it-IT"/>
        </w:rPr>
        <w:t>niêm yết</w:t>
      </w:r>
      <w:r w:rsidRPr="00E8572D">
        <w:rPr>
          <w:lang w:val="it-IT"/>
        </w:rPr>
        <w:t>.</w:t>
      </w:r>
    </w:p>
    <w:p w:rsidR="00E7503C" w:rsidRPr="00B04C5F" w:rsidRDefault="00E7503C" w:rsidP="00E7503C">
      <w:pPr>
        <w:widowControl w:val="0"/>
        <w:tabs>
          <w:tab w:val="left" w:pos="851"/>
        </w:tabs>
        <w:spacing w:before="240" w:after="240" w:line="288" w:lineRule="auto"/>
        <w:jc w:val="both"/>
        <w:rPr>
          <w:lang w:val="it-IT"/>
        </w:rPr>
      </w:pPr>
      <w:r w:rsidRPr="00B04C5F">
        <w:rPr>
          <w:b/>
          <w:lang w:val="it-IT"/>
        </w:rPr>
        <w:t xml:space="preserve">Điều </w:t>
      </w:r>
      <w:r>
        <w:rPr>
          <w:b/>
          <w:lang w:val="it-IT"/>
        </w:rPr>
        <w:t>11</w:t>
      </w:r>
      <w:r w:rsidRPr="00B04C5F">
        <w:rPr>
          <w:b/>
          <w:lang w:val="it-IT"/>
        </w:rPr>
        <w:t>:</w:t>
      </w:r>
      <w:r>
        <w:rPr>
          <w:lang w:val="it-IT"/>
        </w:rPr>
        <w:t xml:space="preserve"> </w:t>
      </w:r>
      <w:r w:rsidRPr="00B04C5F">
        <w:rPr>
          <w:lang w:val="it-IT"/>
        </w:rPr>
        <w:t xml:space="preserve">Thông qua việc lựa chọn đơn vị kiểm toán Báo cáo tài chính năm </w:t>
      </w:r>
      <w:r>
        <w:rPr>
          <w:lang w:val="it-IT"/>
        </w:rPr>
        <w:t xml:space="preserve">2015 của Công ty CP Chứng khoán IB </w:t>
      </w:r>
      <w:r w:rsidRPr="00B04C5F">
        <w:rPr>
          <w:lang w:val="it-IT"/>
        </w:rPr>
        <w:t xml:space="preserve">như sau: </w:t>
      </w:r>
    </w:p>
    <w:p w:rsidR="00E7503C" w:rsidRPr="00B04C5F" w:rsidRDefault="00E7503C" w:rsidP="00E7503C">
      <w:pPr>
        <w:widowControl w:val="0"/>
        <w:numPr>
          <w:ilvl w:val="0"/>
          <w:numId w:val="6"/>
        </w:numPr>
        <w:tabs>
          <w:tab w:val="left" w:pos="567"/>
        </w:tabs>
        <w:spacing w:before="60" w:after="60" w:line="288" w:lineRule="auto"/>
        <w:ind w:left="567" w:hanging="283"/>
        <w:jc w:val="both"/>
        <w:rPr>
          <w:lang w:val="it-IT"/>
        </w:rPr>
      </w:pPr>
      <w:r w:rsidRPr="00B04C5F">
        <w:rPr>
          <w:lang w:val="it-IT"/>
        </w:rPr>
        <w:t xml:space="preserve">Danh sách các Công ty </w:t>
      </w:r>
      <w:r>
        <w:rPr>
          <w:lang w:val="it-IT"/>
        </w:rPr>
        <w:t xml:space="preserve">kiểm toán </w:t>
      </w:r>
      <w:r w:rsidRPr="00B04C5F">
        <w:rPr>
          <w:lang w:val="it-IT"/>
        </w:rPr>
        <w:t xml:space="preserve">sẽ lựa chọn để kiểm toán Báo cáo tài chính năm 2015: </w:t>
      </w:r>
    </w:p>
    <w:p w:rsidR="00E7503C" w:rsidRPr="00B04C5F" w:rsidRDefault="00E7503C" w:rsidP="00E7503C">
      <w:pPr>
        <w:pStyle w:val="ListParagraph"/>
        <w:widowControl w:val="0"/>
        <w:numPr>
          <w:ilvl w:val="0"/>
          <w:numId w:val="7"/>
        </w:numPr>
        <w:spacing w:before="60" w:after="60" w:line="288" w:lineRule="auto"/>
        <w:ind w:left="1701"/>
        <w:contextualSpacing w:val="0"/>
        <w:jc w:val="both"/>
        <w:rPr>
          <w:rFonts w:ascii="Times New Roman" w:hAnsi="Times New Roman"/>
          <w:sz w:val="24"/>
          <w:szCs w:val="24"/>
          <w:lang w:val="it-IT"/>
        </w:rPr>
      </w:pPr>
      <w:r w:rsidRPr="00B04C5F">
        <w:rPr>
          <w:rFonts w:ascii="Times New Roman" w:hAnsi="Times New Roman"/>
          <w:sz w:val="24"/>
          <w:szCs w:val="24"/>
          <w:lang w:val="it-IT"/>
        </w:rPr>
        <w:t>Công ty trách  nhiệm hữu hạn Ernst &amp; Young Việt Nam</w:t>
      </w:r>
    </w:p>
    <w:p w:rsidR="00E7503C" w:rsidRPr="00B04C5F" w:rsidRDefault="00E7503C" w:rsidP="00E7503C">
      <w:pPr>
        <w:pStyle w:val="ListParagraph"/>
        <w:widowControl w:val="0"/>
        <w:numPr>
          <w:ilvl w:val="0"/>
          <w:numId w:val="7"/>
        </w:numPr>
        <w:spacing w:before="60" w:after="60" w:line="288" w:lineRule="auto"/>
        <w:ind w:left="1701"/>
        <w:contextualSpacing w:val="0"/>
        <w:jc w:val="both"/>
        <w:rPr>
          <w:rFonts w:ascii="Times New Roman" w:hAnsi="Times New Roman"/>
          <w:sz w:val="24"/>
          <w:szCs w:val="24"/>
        </w:rPr>
      </w:pPr>
      <w:r w:rsidRPr="00B04C5F">
        <w:rPr>
          <w:rFonts w:ascii="Times New Roman" w:hAnsi="Times New Roman"/>
          <w:sz w:val="24"/>
          <w:szCs w:val="24"/>
        </w:rPr>
        <w:t>Công ty trách nhiệm hữu hạn Price Waterhouse Coopers</w:t>
      </w:r>
    </w:p>
    <w:p w:rsidR="00E7503C" w:rsidRPr="00B04C5F" w:rsidRDefault="00E7503C" w:rsidP="00E7503C">
      <w:pPr>
        <w:pStyle w:val="ListParagraph"/>
        <w:widowControl w:val="0"/>
        <w:numPr>
          <w:ilvl w:val="0"/>
          <w:numId w:val="7"/>
        </w:numPr>
        <w:spacing w:before="60" w:after="60" w:line="288" w:lineRule="auto"/>
        <w:ind w:left="1701"/>
        <w:contextualSpacing w:val="0"/>
        <w:jc w:val="both"/>
        <w:rPr>
          <w:rFonts w:ascii="Times New Roman" w:hAnsi="Times New Roman"/>
          <w:sz w:val="24"/>
          <w:szCs w:val="24"/>
        </w:rPr>
      </w:pPr>
      <w:r w:rsidRPr="00B04C5F">
        <w:rPr>
          <w:rFonts w:ascii="Times New Roman" w:hAnsi="Times New Roman"/>
          <w:sz w:val="24"/>
          <w:szCs w:val="24"/>
        </w:rPr>
        <w:t>Công ty trách nhiệm hữu hạn Deloitte Việt Nam</w:t>
      </w:r>
    </w:p>
    <w:p w:rsidR="00E7503C" w:rsidRPr="00B04C5F" w:rsidRDefault="00E7503C" w:rsidP="00E7503C">
      <w:pPr>
        <w:pStyle w:val="ListParagraph"/>
        <w:widowControl w:val="0"/>
        <w:numPr>
          <w:ilvl w:val="0"/>
          <w:numId w:val="7"/>
        </w:numPr>
        <w:spacing w:before="60" w:after="60" w:line="288" w:lineRule="auto"/>
        <w:ind w:left="1701"/>
        <w:contextualSpacing w:val="0"/>
        <w:jc w:val="both"/>
        <w:rPr>
          <w:rFonts w:ascii="Times New Roman" w:hAnsi="Times New Roman"/>
          <w:sz w:val="24"/>
          <w:szCs w:val="24"/>
        </w:rPr>
      </w:pPr>
      <w:r w:rsidRPr="00B04C5F">
        <w:rPr>
          <w:rFonts w:ascii="Times New Roman" w:hAnsi="Times New Roman"/>
          <w:sz w:val="24"/>
          <w:szCs w:val="24"/>
        </w:rPr>
        <w:t>Công ty trách nhiệm hữu hạn KPMG Việt Nam</w:t>
      </w:r>
    </w:p>
    <w:p w:rsidR="00E7503C" w:rsidRPr="00B04C5F" w:rsidRDefault="00E7503C" w:rsidP="00E7503C">
      <w:pPr>
        <w:widowControl w:val="0"/>
        <w:numPr>
          <w:ilvl w:val="0"/>
          <w:numId w:val="6"/>
        </w:numPr>
        <w:tabs>
          <w:tab w:val="left" w:pos="567"/>
        </w:tabs>
        <w:spacing w:before="60" w:after="60" w:line="288" w:lineRule="auto"/>
        <w:ind w:left="567" w:hanging="283"/>
        <w:jc w:val="both"/>
        <w:rPr>
          <w:lang w:val="it-IT"/>
        </w:rPr>
      </w:pPr>
      <w:r w:rsidRPr="00B04C5F">
        <w:rPr>
          <w:lang w:val="it-IT"/>
        </w:rPr>
        <w:t xml:space="preserve">Đại hội đồng cổ đông ủy quyền cho Hội đồng quản trị </w:t>
      </w:r>
      <w:r w:rsidRPr="00C277EA">
        <w:rPr>
          <w:lang w:val="it-IT"/>
        </w:rPr>
        <w:t>lựa chọn một trong các công ty kiểm toán nói trên để ký hợp đồng kiểm toán năm 2015</w:t>
      </w:r>
      <w:r>
        <w:rPr>
          <w:lang w:val="it-IT"/>
        </w:rPr>
        <w:t xml:space="preserve"> theo quy định của pháp luật</w:t>
      </w:r>
      <w:r w:rsidRPr="00C277EA">
        <w:rPr>
          <w:lang w:val="it-IT"/>
        </w:rPr>
        <w:t>.</w:t>
      </w:r>
    </w:p>
    <w:p w:rsidR="00E5377F" w:rsidRDefault="00E5377F" w:rsidP="00FC58DF">
      <w:pPr>
        <w:widowControl w:val="0"/>
        <w:tabs>
          <w:tab w:val="left" w:pos="851"/>
        </w:tabs>
        <w:spacing w:before="240" w:after="240" w:line="288" w:lineRule="auto"/>
        <w:ind w:left="851" w:hanging="851"/>
        <w:jc w:val="both"/>
        <w:rPr>
          <w:lang w:val="it-IT"/>
        </w:rPr>
      </w:pPr>
      <w:r w:rsidRPr="00FD4E3C">
        <w:rPr>
          <w:b/>
          <w:lang w:val="it-IT"/>
        </w:rPr>
        <w:t>Điều 1</w:t>
      </w:r>
      <w:r w:rsidR="006E1ABA">
        <w:rPr>
          <w:b/>
          <w:lang w:val="it-IT"/>
        </w:rPr>
        <w:t>2</w:t>
      </w:r>
      <w:r w:rsidRPr="00FD4E3C">
        <w:rPr>
          <w:b/>
          <w:lang w:val="it-IT"/>
        </w:rPr>
        <w:t>:</w:t>
      </w:r>
      <w:r w:rsidR="00FD4E3C">
        <w:rPr>
          <w:b/>
          <w:lang w:val="it-IT"/>
        </w:rPr>
        <w:t xml:space="preserve"> </w:t>
      </w:r>
      <w:r>
        <w:rPr>
          <w:lang w:val="it-IT"/>
        </w:rPr>
        <w:t>Thông qua việc s</w:t>
      </w:r>
      <w:r w:rsidR="005649BC">
        <w:rPr>
          <w:lang w:val="it-IT"/>
        </w:rPr>
        <w:t xml:space="preserve">ửa đổi, bổ sung Điều lệ Công ty như sau: </w:t>
      </w:r>
    </w:p>
    <w:p w:rsidR="00FD4E3C" w:rsidRDefault="00FD4E3C" w:rsidP="00622771">
      <w:pPr>
        <w:widowControl w:val="0"/>
        <w:numPr>
          <w:ilvl w:val="0"/>
          <w:numId w:val="6"/>
        </w:numPr>
        <w:tabs>
          <w:tab w:val="left" w:pos="567"/>
        </w:tabs>
        <w:spacing w:before="60" w:after="60" w:line="288" w:lineRule="auto"/>
        <w:ind w:left="567" w:hanging="283"/>
        <w:jc w:val="both"/>
        <w:rPr>
          <w:lang w:val="it-IT"/>
        </w:rPr>
      </w:pPr>
      <w:r>
        <w:rPr>
          <w:lang w:val="it-IT"/>
        </w:rPr>
        <w:t xml:space="preserve">Sửa đổi điều lệ công ty do thay đổi trụ sở đăng ký của Công ty. </w:t>
      </w:r>
    </w:p>
    <w:p w:rsidR="00FD4E3C" w:rsidRDefault="00FD4E3C" w:rsidP="00622771">
      <w:pPr>
        <w:widowControl w:val="0"/>
        <w:numPr>
          <w:ilvl w:val="0"/>
          <w:numId w:val="6"/>
        </w:numPr>
        <w:tabs>
          <w:tab w:val="left" w:pos="567"/>
        </w:tabs>
        <w:spacing w:before="60" w:after="60" w:line="288" w:lineRule="auto"/>
        <w:ind w:left="567" w:hanging="283"/>
        <w:jc w:val="both"/>
        <w:rPr>
          <w:lang w:val="it-IT"/>
        </w:rPr>
      </w:pPr>
      <w:r>
        <w:rPr>
          <w:lang w:val="it-IT"/>
        </w:rPr>
        <w:t xml:space="preserve">Ban hành Điều lệ mới của công ty theo quy định mới của Luật Doanh nghiệp số 68/2014/QH13. Điều lệ mới có hiệu lực kể từ ngày Luật Doanh nghiệp số 68/2014/QH13 có hiệu lực và sẽ thay thế cho bản Điều lệ hiện </w:t>
      </w:r>
      <w:r w:rsidR="005649BC">
        <w:rPr>
          <w:lang w:val="it-IT"/>
        </w:rPr>
        <w:t>nay</w:t>
      </w:r>
      <w:r>
        <w:rPr>
          <w:lang w:val="it-IT"/>
        </w:rPr>
        <w:t xml:space="preserve">. </w:t>
      </w:r>
      <w:r w:rsidR="005649BC">
        <w:rPr>
          <w:lang w:val="it-IT"/>
        </w:rPr>
        <w:t xml:space="preserve">Bản dự thảo Điều lệ </w:t>
      </w:r>
      <w:r w:rsidR="0056496B">
        <w:rPr>
          <w:lang w:val="it-IT"/>
        </w:rPr>
        <w:t xml:space="preserve">mới </w:t>
      </w:r>
      <w:r w:rsidR="005649BC">
        <w:rPr>
          <w:lang w:val="it-IT"/>
        </w:rPr>
        <w:t xml:space="preserve">đi kèm Nghị quyết này. </w:t>
      </w:r>
    </w:p>
    <w:p w:rsidR="00E5377F" w:rsidRDefault="00E5377F" w:rsidP="00FC58DF">
      <w:pPr>
        <w:widowControl w:val="0"/>
        <w:tabs>
          <w:tab w:val="left" w:pos="851"/>
        </w:tabs>
        <w:spacing w:before="240" w:after="240" w:line="288" w:lineRule="auto"/>
        <w:jc w:val="both"/>
        <w:rPr>
          <w:lang w:val="it-IT"/>
        </w:rPr>
      </w:pPr>
      <w:r w:rsidRPr="005649BC">
        <w:rPr>
          <w:b/>
          <w:lang w:val="it-IT"/>
        </w:rPr>
        <w:t>Điều 1</w:t>
      </w:r>
      <w:r w:rsidR="006E1ABA">
        <w:rPr>
          <w:b/>
          <w:lang w:val="it-IT"/>
        </w:rPr>
        <w:t>3</w:t>
      </w:r>
      <w:r w:rsidRPr="005649BC">
        <w:rPr>
          <w:b/>
          <w:lang w:val="it-IT"/>
        </w:rPr>
        <w:t>:</w:t>
      </w:r>
      <w:r>
        <w:rPr>
          <w:lang w:val="it-IT"/>
        </w:rPr>
        <w:t xml:space="preserve"> Thông qua việc ủy quyền</w:t>
      </w:r>
      <w:r w:rsidR="005649BC">
        <w:rPr>
          <w:lang w:val="it-IT"/>
        </w:rPr>
        <w:t xml:space="preserve"> cho Hội đồng quản trị quyết định một số nội dung thuộc thẩm quyền của Đại hội đồng cổ đông như sau: </w:t>
      </w:r>
    </w:p>
    <w:p w:rsidR="005649BC" w:rsidRPr="005649BC" w:rsidRDefault="005649BC" w:rsidP="00622771">
      <w:pPr>
        <w:widowControl w:val="0"/>
        <w:numPr>
          <w:ilvl w:val="0"/>
          <w:numId w:val="6"/>
        </w:numPr>
        <w:tabs>
          <w:tab w:val="left" w:pos="567"/>
        </w:tabs>
        <w:spacing w:before="60" w:after="60" w:line="288" w:lineRule="auto"/>
        <w:ind w:left="567" w:hanging="283"/>
        <w:jc w:val="both"/>
        <w:rPr>
          <w:lang w:val="it-IT"/>
        </w:rPr>
      </w:pPr>
      <w:r w:rsidRPr="005649BC">
        <w:rPr>
          <w:lang w:val="it-IT"/>
        </w:rPr>
        <w:t xml:space="preserve">Sửa đổi điều khoản về vốn điều lệ trong Điều lệ </w:t>
      </w:r>
      <w:r w:rsidR="0096218C">
        <w:rPr>
          <w:lang w:val="it-IT"/>
        </w:rPr>
        <w:t>Công ty CP Chứng khoán IB</w:t>
      </w:r>
      <w:r w:rsidRPr="005649BC">
        <w:rPr>
          <w:lang w:val="it-IT"/>
        </w:rPr>
        <w:t xml:space="preserve"> sau khi </w:t>
      </w:r>
      <w:r w:rsidR="00392D4A">
        <w:rPr>
          <w:lang w:val="it-IT"/>
        </w:rPr>
        <w:t xml:space="preserve">Công ty </w:t>
      </w:r>
      <w:r w:rsidRPr="005649BC">
        <w:rPr>
          <w:lang w:val="it-IT"/>
        </w:rPr>
        <w:t>nhận được giấy phép điều chỉnh của UBCKNN.</w:t>
      </w:r>
    </w:p>
    <w:p w:rsidR="005649BC" w:rsidRPr="005649BC" w:rsidRDefault="005649BC" w:rsidP="00622771">
      <w:pPr>
        <w:widowControl w:val="0"/>
        <w:numPr>
          <w:ilvl w:val="0"/>
          <w:numId w:val="6"/>
        </w:numPr>
        <w:tabs>
          <w:tab w:val="left" w:pos="567"/>
        </w:tabs>
        <w:spacing w:before="60" w:after="60" w:line="288" w:lineRule="auto"/>
        <w:ind w:left="567" w:hanging="283"/>
        <w:jc w:val="both"/>
        <w:rPr>
          <w:lang w:val="it-IT"/>
        </w:rPr>
      </w:pPr>
      <w:r w:rsidRPr="005649BC">
        <w:rPr>
          <w:lang w:val="it-IT"/>
        </w:rPr>
        <w:t xml:space="preserve">Quyết định tất cả các Hợp đồng bảo lãnh phát hành thuộc thẩm quyền quyết định của Đại hội đồng cổ đông theo quy định của pháp luật và Điều lệ Công ty. </w:t>
      </w:r>
    </w:p>
    <w:p w:rsidR="005649BC" w:rsidRPr="005649BC" w:rsidRDefault="005649BC" w:rsidP="00B677B3">
      <w:pPr>
        <w:widowControl w:val="0"/>
        <w:tabs>
          <w:tab w:val="left" w:pos="567"/>
        </w:tabs>
        <w:spacing w:before="60" w:after="60" w:line="288" w:lineRule="auto"/>
        <w:jc w:val="both"/>
        <w:rPr>
          <w:lang w:val="it-IT"/>
        </w:rPr>
      </w:pPr>
      <w:r w:rsidRPr="005649BC">
        <w:rPr>
          <w:lang w:val="it-IT"/>
        </w:rPr>
        <w:t>Hội đồng quản trị có trách nhiệm báo cáo tình hình thực hiện các nội dung uỷ quyền nêu trên (nếu phát sinh) với Đại hội đồng cổ đông Công ty Cổ phần chứng khoán IB tại phiên họp gần nhất.</w:t>
      </w:r>
    </w:p>
    <w:p w:rsidR="00E5377F" w:rsidRDefault="00E5377F" w:rsidP="00FC58DF">
      <w:pPr>
        <w:widowControl w:val="0"/>
        <w:tabs>
          <w:tab w:val="left" w:pos="851"/>
        </w:tabs>
        <w:spacing w:before="240" w:after="240" w:line="288" w:lineRule="auto"/>
        <w:ind w:left="851" w:hanging="851"/>
        <w:jc w:val="both"/>
        <w:rPr>
          <w:lang w:val="it-IT"/>
        </w:rPr>
      </w:pPr>
      <w:r w:rsidRPr="005649BC">
        <w:rPr>
          <w:b/>
          <w:lang w:val="it-IT"/>
        </w:rPr>
        <w:t>Điều 1</w:t>
      </w:r>
      <w:r w:rsidR="006E1ABA">
        <w:rPr>
          <w:b/>
          <w:lang w:val="it-IT"/>
        </w:rPr>
        <w:t>4</w:t>
      </w:r>
      <w:r w:rsidRPr="005649BC">
        <w:rPr>
          <w:b/>
          <w:lang w:val="it-IT"/>
        </w:rPr>
        <w:t xml:space="preserve">: </w:t>
      </w:r>
      <w:r>
        <w:rPr>
          <w:lang w:val="it-IT"/>
        </w:rPr>
        <w:t xml:space="preserve">Thông qua việc miễn nhiệm </w:t>
      </w:r>
      <w:r w:rsidR="00EA5061">
        <w:rPr>
          <w:lang w:val="it-IT"/>
        </w:rPr>
        <w:t>t</w:t>
      </w:r>
      <w:r>
        <w:rPr>
          <w:lang w:val="it-IT"/>
        </w:rPr>
        <w:t>hành viên B</w:t>
      </w:r>
      <w:r w:rsidR="00EA5061">
        <w:rPr>
          <w:lang w:val="it-IT"/>
        </w:rPr>
        <w:t xml:space="preserve">an kiểm soát </w:t>
      </w:r>
      <w:r w:rsidR="005649BC">
        <w:rPr>
          <w:lang w:val="it-IT"/>
        </w:rPr>
        <w:t>như sau:</w:t>
      </w:r>
    </w:p>
    <w:p w:rsidR="005649BC" w:rsidRDefault="005649BC" w:rsidP="00622771">
      <w:pPr>
        <w:widowControl w:val="0"/>
        <w:numPr>
          <w:ilvl w:val="0"/>
          <w:numId w:val="6"/>
        </w:numPr>
        <w:tabs>
          <w:tab w:val="left" w:pos="567"/>
        </w:tabs>
        <w:spacing w:before="60" w:after="60" w:line="288" w:lineRule="auto"/>
        <w:ind w:left="567" w:hanging="283"/>
        <w:jc w:val="both"/>
        <w:rPr>
          <w:lang w:val="it-IT"/>
        </w:rPr>
      </w:pPr>
      <w:r w:rsidRPr="009C0F22">
        <w:rPr>
          <w:lang w:val="it-IT"/>
        </w:rPr>
        <w:t xml:space="preserve">Thông qua việc miễn nhiệm </w:t>
      </w:r>
      <w:r w:rsidR="00E7503C">
        <w:rPr>
          <w:lang w:val="it-IT"/>
        </w:rPr>
        <w:t xml:space="preserve">chức danh Thành viên BKS nhiệm kỳ 2011-2016 và thôi giữ chức </w:t>
      </w:r>
      <w:r w:rsidR="001E670B">
        <w:rPr>
          <w:lang w:val="it-IT"/>
        </w:rPr>
        <w:t xml:space="preserve">Trưởng ban </w:t>
      </w:r>
      <w:r w:rsidRPr="009C0F22">
        <w:rPr>
          <w:lang w:val="it-IT"/>
        </w:rPr>
        <w:t xml:space="preserve">kiểm soát </w:t>
      </w:r>
      <w:r>
        <w:rPr>
          <w:lang w:val="it-IT"/>
        </w:rPr>
        <w:t xml:space="preserve">của Bà </w:t>
      </w:r>
      <w:r w:rsidR="001E670B">
        <w:rPr>
          <w:lang w:val="it-IT"/>
        </w:rPr>
        <w:t xml:space="preserve">Nguyễn Thị Hường </w:t>
      </w:r>
      <w:r>
        <w:rPr>
          <w:lang w:val="it-IT"/>
        </w:rPr>
        <w:t>kể từ ngày 28/03/2015</w:t>
      </w:r>
      <w:r w:rsidR="001E670B">
        <w:rPr>
          <w:lang w:val="it-IT"/>
        </w:rPr>
        <w:t xml:space="preserve"> theo đơn từ nhiệm.</w:t>
      </w:r>
    </w:p>
    <w:p w:rsidR="001E670B" w:rsidRPr="001E670B" w:rsidRDefault="001E670B" w:rsidP="001E670B">
      <w:pPr>
        <w:widowControl w:val="0"/>
        <w:numPr>
          <w:ilvl w:val="0"/>
          <w:numId w:val="6"/>
        </w:numPr>
        <w:tabs>
          <w:tab w:val="left" w:pos="567"/>
        </w:tabs>
        <w:spacing w:before="60" w:after="60" w:line="288" w:lineRule="auto"/>
        <w:ind w:left="567" w:hanging="283"/>
        <w:jc w:val="both"/>
        <w:rPr>
          <w:lang w:val="it-IT"/>
        </w:rPr>
      </w:pPr>
      <w:r w:rsidRPr="009C0F22">
        <w:rPr>
          <w:lang w:val="it-IT"/>
        </w:rPr>
        <w:lastRenderedPageBreak/>
        <w:t xml:space="preserve">Thông qua việc miễn nhiệm </w:t>
      </w:r>
      <w:r w:rsidR="00E7503C">
        <w:rPr>
          <w:lang w:val="it-IT"/>
        </w:rPr>
        <w:t xml:space="preserve">chức danh </w:t>
      </w:r>
      <w:r>
        <w:rPr>
          <w:lang w:val="it-IT"/>
        </w:rPr>
        <w:t xml:space="preserve">Thành viên </w:t>
      </w:r>
      <w:r w:rsidR="00E7503C">
        <w:rPr>
          <w:lang w:val="it-IT"/>
        </w:rPr>
        <w:t>BKS nhiệm kỳ 2011-2016</w:t>
      </w:r>
      <w:r w:rsidRPr="009C0F22">
        <w:rPr>
          <w:lang w:val="it-IT"/>
        </w:rPr>
        <w:t xml:space="preserve"> </w:t>
      </w:r>
      <w:r>
        <w:rPr>
          <w:lang w:val="it-IT"/>
        </w:rPr>
        <w:t>của Ông Dư Văn Toàn kể từ ngày 28/03/2015 theo đơn từ nhiệm.</w:t>
      </w:r>
    </w:p>
    <w:p w:rsidR="00E5377F" w:rsidRDefault="00E5377F" w:rsidP="00FC58DF">
      <w:pPr>
        <w:widowControl w:val="0"/>
        <w:tabs>
          <w:tab w:val="left" w:pos="851"/>
        </w:tabs>
        <w:spacing w:before="240" w:after="240" w:line="288" w:lineRule="auto"/>
        <w:jc w:val="both"/>
        <w:rPr>
          <w:lang w:val="it-IT"/>
        </w:rPr>
      </w:pPr>
      <w:r w:rsidRPr="005649BC">
        <w:rPr>
          <w:b/>
          <w:lang w:val="it-IT"/>
        </w:rPr>
        <w:t>Điều 1</w:t>
      </w:r>
      <w:r w:rsidR="006E1ABA">
        <w:rPr>
          <w:b/>
          <w:lang w:val="it-IT"/>
        </w:rPr>
        <w:t>5</w:t>
      </w:r>
      <w:r w:rsidRPr="005649BC">
        <w:rPr>
          <w:b/>
          <w:lang w:val="it-IT"/>
        </w:rPr>
        <w:t>:</w:t>
      </w:r>
      <w:r>
        <w:rPr>
          <w:lang w:val="it-IT"/>
        </w:rPr>
        <w:t xml:space="preserve"> Thông qua việc bầu Thành viên B</w:t>
      </w:r>
      <w:r w:rsidR="00EA5061">
        <w:rPr>
          <w:lang w:val="it-IT"/>
        </w:rPr>
        <w:t xml:space="preserve">an kiểm soát </w:t>
      </w:r>
      <w:r>
        <w:rPr>
          <w:lang w:val="it-IT"/>
        </w:rPr>
        <w:t>thay thế cho thành viên B</w:t>
      </w:r>
      <w:r w:rsidR="00EA5061">
        <w:rPr>
          <w:lang w:val="it-IT"/>
        </w:rPr>
        <w:t xml:space="preserve">an kiểm soát </w:t>
      </w:r>
      <w:r>
        <w:rPr>
          <w:lang w:val="it-IT"/>
        </w:rPr>
        <w:t>từ nhiệm</w:t>
      </w:r>
      <w:r w:rsidR="005649BC">
        <w:rPr>
          <w:lang w:val="it-IT"/>
        </w:rPr>
        <w:t xml:space="preserve"> như sau: </w:t>
      </w:r>
    </w:p>
    <w:p w:rsidR="005649BC" w:rsidRDefault="005649BC" w:rsidP="00622771">
      <w:pPr>
        <w:widowControl w:val="0"/>
        <w:numPr>
          <w:ilvl w:val="0"/>
          <w:numId w:val="6"/>
        </w:numPr>
        <w:tabs>
          <w:tab w:val="left" w:pos="567"/>
        </w:tabs>
        <w:spacing w:before="60" w:after="60" w:line="288" w:lineRule="auto"/>
        <w:ind w:left="567" w:hanging="283"/>
        <w:jc w:val="both"/>
        <w:rPr>
          <w:lang w:val="it-IT"/>
        </w:rPr>
      </w:pPr>
      <w:r>
        <w:rPr>
          <w:lang w:val="it-IT"/>
        </w:rPr>
        <w:t xml:space="preserve">Bà </w:t>
      </w:r>
      <w:r w:rsidR="001E670B">
        <w:rPr>
          <w:lang w:val="it-IT"/>
        </w:rPr>
        <w:t>Dương Thị Kim Oanh</w:t>
      </w:r>
      <w:r>
        <w:rPr>
          <w:lang w:val="it-IT"/>
        </w:rPr>
        <w:t xml:space="preserve">, </w:t>
      </w:r>
      <w:r w:rsidR="001E670B">
        <w:rPr>
          <w:lang w:val="it-IT"/>
        </w:rPr>
        <w:t xml:space="preserve">sinh ngày 03/01/1984, </w:t>
      </w:r>
      <w:r>
        <w:rPr>
          <w:lang w:val="it-IT"/>
        </w:rPr>
        <w:t xml:space="preserve">CMND số </w:t>
      </w:r>
      <w:r w:rsidR="001E670B">
        <w:rPr>
          <w:lang w:val="it-IT"/>
        </w:rPr>
        <w:t xml:space="preserve">017479836 do CA Hà Nội </w:t>
      </w:r>
      <w:r>
        <w:rPr>
          <w:lang w:val="it-IT"/>
        </w:rPr>
        <w:t xml:space="preserve">cấp </w:t>
      </w:r>
      <w:r w:rsidR="001E670B">
        <w:rPr>
          <w:lang w:val="it-IT"/>
        </w:rPr>
        <w:t xml:space="preserve">ngày 29/06/2013 </w:t>
      </w:r>
      <w:r w:rsidR="00E7503C">
        <w:rPr>
          <w:lang w:val="it-IT"/>
        </w:rPr>
        <w:t xml:space="preserve">trúng cử </w:t>
      </w:r>
      <w:r>
        <w:rPr>
          <w:lang w:val="it-IT"/>
        </w:rPr>
        <w:t xml:space="preserve">vào Ban </w:t>
      </w:r>
      <w:r w:rsidR="00EA5061">
        <w:rPr>
          <w:lang w:val="it-IT"/>
        </w:rPr>
        <w:t>k</w:t>
      </w:r>
      <w:r>
        <w:rPr>
          <w:lang w:val="it-IT"/>
        </w:rPr>
        <w:t xml:space="preserve">iểm soát Công ty nhiệm kỳ 2011-2016 kể từ ngày 28/03/2015. </w:t>
      </w:r>
    </w:p>
    <w:p w:rsidR="001E670B" w:rsidRDefault="001E670B" w:rsidP="001E670B">
      <w:pPr>
        <w:widowControl w:val="0"/>
        <w:numPr>
          <w:ilvl w:val="0"/>
          <w:numId w:val="6"/>
        </w:numPr>
        <w:tabs>
          <w:tab w:val="left" w:pos="567"/>
        </w:tabs>
        <w:spacing w:before="60" w:after="60" w:line="288" w:lineRule="auto"/>
        <w:ind w:left="567" w:hanging="283"/>
        <w:jc w:val="both"/>
        <w:rPr>
          <w:lang w:val="it-IT"/>
        </w:rPr>
      </w:pPr>
      <w:r>
        <w:rPr>
          <w:lang w:val="it-IT"/>
        </w:rPr>
        <w:t xml:space="preserve">Bà Bùi Thị Xuân, sinh ngày 11/11/1988, CMND số </w:t>
      </w:r>
      <w:r w:rsidRPr="001E670B">
        <w:rPr>
          <w:lang w:val="it-IT"/>
        </w:rPr>
        <w:t>186484428 do CA Nghệ An cấp ngày 08/10/2004</w:t>
      </w:r>
      <w:r>
        <w:rPr>
          <w:lang w:val="it-IT"/>
        </w:rPr>
        <w:t xml:space="preserve"> </w:t>
      </w:r>
      <w:r w:rsidR="00461E38">
        <w:rPr>
          <w:lang w:val="it-IT"/>
        </w:rPr>
        <w:t xml:space="preserve">trúng cử </w:t>
      </w:r>
      <w:r>
        <w:rPr>
          <w:lang w:val="it-IT"/>
        </w:rPr>
        <w:t xml:space="preserve">vào Ban kiểm soát Công ty nhiệm kỳ 2011-2016 kể từ ngày 28/03/2015. </w:t>
      </w:r>
    </w:p>
    <w:p w:rsidR="005649BC" w:rsidRDefault="005649BC" w:rsidP="00622771">
      <w:pPr>
        <w:widowControl w:val="0"/>
        <w:numPr>
          <w:ilvl w:val="0"/>
          <w:numId w:val="6"/>
        </w:numPr>
        <w:tabs>
          <w:tab w:val="left" w:pos="567"/>
        </w:tabs>
        <w:spacing w:before="60" w:after="60" w:line="288" w:lineRule="auto"/>
        <w:ind w:left="567" w:hanging="283"/>
        <w:jc w:val="both"/>
        <w:rPr>
          <w:lang w:val="it-IT"/>
        </w:rPr>
      </w:pPr>
      <w:r>
        <w:rPr>
          <w:lang w:val="it-IT"/>
        </w:rPr>
        <w:t xml:space="preserve">Ban Kiểm soát </w:t>
      </w:r>
      <w:r w:rsidR="00EA5061">
        <w:rPr>
          <w:lang w:val="it-IT"/>
        </w:rPr>
        <w:t xml:space="preserve">sẽ bao gồm các thành viên sau đây: </w:t>
      </w:r>
    </w:p>
    <w:p w:rsidR="00EA5061" w:rsidRPr="00EA5061" w:rsidRDefault="001E670B" w:rsidP="00622771">
      <w:pPr>
        <w:pStyle w:val="ListParagraph"/>
        <w:widowControl w:val="0"/>
        <w:numPr>
          <w:ilvl w:val="0"/>
          <w:numId w:val="7"/>
        </w:numPr>
        <w:spacing w:before="60" w:after="60" w:line="288" w:lineRule="auto"/>
        <w:ind w:left="1701"/>
        <w:contextualSpacing w:val="0"/>
        <w:jc w:val="both"/>
        <w:rPr>
          <w:rFonts w:ascii="Times New Roman" w:hAnsi="Times New Roman"/>
          <w:sz w:val="24"/>
          <w:szCs w:val="24"/>
          <w:lang w:val="it-IT"/>
        </w:rPr>
      </w:pPr>
      <w:r>
        <w:rPr>
          <w:rFonts w:ascii="Times New Roman" w:hAnsi="Times New Roman"/>
          <w:sz w:val="24"/>
          <w:szCs w:val="24"/>
          <w:lang w:val="it-IT"/>
        </w:rPr>
        <w:t>B</w:t>
      </w:r>
      <w:r w:rsidR="00EA5061" w:rsidRPr="00EA5061">
        <w:rPr>
          <w:rFonts w:ascii="Times New Roman" w:hAnsi="Times New Roman"/>
          <w:sz w:val="24"/>
          <w:szCs w:val="24"/>
          <w:lang w:val="it-IT"/>
        </w:rPr>
        <w:t xml:space="preserve">à </w:t>
      </w:r>
      <w:r>
        <w:rPr>
          <w:rFonts w:ascii="Times New Roman" w:hAnsi="Times New Roman"/>
          <w:sz w:val="24"/>
          <w:szCs w:val="24"/>
          <w:lang w:val="it-IT"/>
        </w:rPr>
        <w:t>Dương Thị Kim Oanh</w:t>
      </w:r>
    </w:p>
    <w:p w:rsidR="00EA5061" w:rsidRPr="00EA5061" w:rsidRDefault="001E670B" w:rsidP="00622771">
      <w:pPr>
        <w:pStyle w:val="ListParagraph"/>
        <w:widowControl w:val="0"/>
        <w:numPr>
          <w:ilvl w:val="0"/>
          <w:numId w:val="7"/>
        </w:numPr>
        <w:spacing w:before="60" w:after="60" w:line="288" w:lineRule="auto"/>
        <w:ind w:left="1701"/>
        <w:contextualSpacing w:val="0"/>
        <w:jc w:val="both"/>
        <w:rPr>
          <w:rFonts w:ascii="Times New Roman" w:hAnsi="Times New Roman"/>
          <w:sz w:val="24"/>
          <w:szCs w:val="24"/>
          <w:lang w:val="it-IT"/>
        </w:rPr>
      </w:pPr>
      <w:r>
        <w:rPr>
          <w:rFonts w:ascii="Times New Roman" w:hAnsi="Times New Roman"/>
          <w:sz w:val="24"/>
          <w:szCs w:val="24"/>
          <w:lang w:val="it-IT"/>
        </w:rPr>
        <w:t>B</w:t>
      </w:r>
      <w:r w:rsidR="00EA5061" w:rsidRPr="00EA5061">
        <w:rPr>
          <w:rFonts w:ascii="Times New Roman" w:hAnsi="Times New Roman"/>
          <w:sz w:val="24"/>
          <w:szCs w:val="24"/>
          <w:lang w:val="it-IT"/>
        </w:rPr>
        <w:t>à</w:t>
      </w:r>
      <w:r>
        <w:rPr>
          <w:rFonts w:ascii="Times New Roman" w:hAnsi="Times New Roman"/>
          <w:sz w:val="24"/>
          <w:szCs w:val="24"/>
          <w:lang w:val="it-IT"/>
        </w:rPr>
        <w:t xml:space="preserve"> Bùi Thị Xuân</w:t>
      </w:r>
    </w:p>
    <w:p w:rsidR="00EA5061" w:rsidRPr="00EA5061" w:rsidRDefault="001E670B" w:rsidP="00622771">
      <w:pPr>
        <w:pStyle w:val="ListParagraph"/>
        <w:widowControl w:val="0"/>
        <w:numPr>
          <w:ilvl w:val="0"/>
          <w:numId w:val="7"/>
        </w:numPr>
        <w:spacing w:before="60" w:after="60" w:line="288" w:lineRule="auto"/>
        <w:ind w:left="1701"/>
        <w:contextualSpacing w:val="0"/>
        <w:jc w:val="both"/>
        <w:rPr>
          <w:rFonts w:ascii="Times New Roman" w:hAnsi="Times New Roman"/>
          <w:sz w:val="24"/>
          <w:szCs w:val="24"/>
          <w:lang w:val="it-IT"/>
        </w:rPr>
      </w:pPr>
      <w:r>
        <w:rPr>
          <w:rFonts w:ascii="Times New Roman" w:hAnsi="Times New Roman"/>
          <w:sz w:val="24"/>
          <w:szCs w:val="24"/>
          <w:lang w:val="it-IT"/>
        </w:rPr>
        <w:t>B</w:t>
      </w:r>
      <w:r w:rsidR="00EA5061">
        <w:rPr>
          <w:rFonts w:ascii="Times New Roman" w:hAnsi="Times New Roman"/>
          <w:sz w:val="24"/>
          <w:szCs w:val="24"/>
          <w:lang w:val="it-IT"/>
        </w:rPr>
        <w:t>à</w:t>
      </w:r>
      <w:r>
        <w:rPr>
          <w:rFonts w:ascii="Times New Roman" w:hAnsi="Times New Roman"/>
          <w:sz w:val="24"/>
          <w:szCs w:val="24"/>
          <w:lang w:val="it-IT"/>
        </w:rPr>
        <w:t xml:space="preserve"> Nguyễn Tú Uyên</w:t>
      </w:r>
    </w:p>
    <w:p w:rsidR="00E5377F" w:rsidRDefault="00E5377F" w:rsidP="00FC58DF">
      <w:pPr>
        <w:widowControl w:val="0"/>
        <w:tabs>
          <w:tab w:val="left" w:pos="851"/>
        </w:tabs>
        <w:spacing w:before="240" w:after="240" w:line="288" w:lineRule="auto"/>
        <w:jc w:val="both"/>
        <w:rPr>
          <w:lang w:val="it-IT"/>
        </w:rPr>
      </w:pPr>
      <w:r w:rsidRPr="005649BC">
        <w:rPr>
          <w:b/>
          <w:lang w:val="it-IT"/>
        </w:rPr>
        <w:t>Điều 1</w:t>
      </w:r>
      <w:r w:rsidR="006E1ABA">
        <w:rPr>
          <w:b/>
          <w:lang w:val="it-IT"/>
        </w:rPr>
        <w:t>6</w:t>
      </w:r>
      <w:r w:rsidRPr="005649BC">
        <w:rPr>
          <w:b/>
          <w:lang w:val="it-IT"/>
        </w:rPr>
        <w:t>:</w:t>
      </w:r>
      <w:r>
        <w:rPr>
          <w:lang w:val="it-IT"/>
        </w:rPr>
        <w:t xml:space="preserve"> Điều khoản thi hành</w:t>
      </w:r>
      <w:r w:rsidR="005649BC">
        <w:rPr>
          <w:lang w:val="it-IT"/>
        </w:rPr>
        <w:t>:</w:t>
      </w:r>
    </w:p>
    <w:p w:rsidR="005649BC" w:rsidRDefault="005649BC" w:rsidP="00622771">
      <w:pPr>
        <w:widowControl w:val="0"/>
        <w:tabs>
          <w:tab w:val="left" w:pos="851"/>
        </w:tabs>
        <w:spacing w:before="60" w:after="60" w:line="288" w:lineRule="auto"/>
        <w:jc w:val="both"/>
        <w:rPr>
          <w:lang w:val="it-IT"/>
        </w:rPr>
      </w:pPr>
      <w:r>
        <w:rPr>
          <w:lang w:val="it-IT"/>
        </w:rPr>
        <w:t xml:space="preserve">Nghị quyết này có </w:t>
      </w:r>
      <w:r w:rsidR="00EA5061">
        <w:rPr>
          <w:lang w:val="it-IT"/>
        </w:rPr>
        <w:t>hiệu lực kể từ ngày 28/0</w:t>
      </w:r>
      <w:r w:rsidR="00392D4A">
        <w:rPr>
          <w:lang w:val="it-IT"/>
        </w:rPr>
        <w:t>3</w:t>
      </w:r>
      <w:r w:rsidR="00EA5061">
        <w:rPr>
          <w:lang w:val="it-IT"/>
        </w:rPr>
        <w:t xml:space="preserve">/2015. Các Ông/Bà Thành viên Hội đồng quản trị, Ban kiểm soát, Ban </w:t>
      </w:r>
      <w:r w:rsidR="00461E38">
        <w:rPr>
          <w:lang w:val="it-IT"/>
        </w:rPr>
        <w:t>tổng g</w:t>
      </w:r>
      <w:r w:rsidR="00EA5061">
        <w:rPr>
          <w:lang w:val="it-IT"/>
        </w:rPr>
        <w:t>iám đốc Công ty có trách nhiệm thi hành Nghị quyết này và tổ chức triển khai theo chức năng</w:t>
      </w:r>
      <w:r w:rsidR="00392D4A">
        <w:rPr>
          <w:lang w:val="it-IT"/>
        </w:rPr>
        <w:t>, nhiệm vụ</w:t>
      </w:r>
      <w:r w:rsidR="00EA5061">
        <w:rPr>
          <w:lang w:val="it-IT"/>
        </w:rPr>
        <w:t xml:space="preserve"> hoạt động của mình phù hợp với quy định tại Điều lệ Công ty CP Chứng khoán IB và các quy định của pháp luật Việt Nam. </w:t>
      </w:r>
    </w:p>
    <w:p w:rsidR="00EA5061" w:rsidRDefault="00EA5061" w:rsidP="00622771">
      <w:pPr>
        <w:widowControl w:val="0"/>
        <w:tabs>
          <w:tab w:val="left" w:pos="851"/>
        </w:tabs>
        <w:spacing w:before="60" w:after="60" w:line="288" w:lineRule="auto"/>
        <w:jc w:val="both"/>
        <w:rPr>
          <w:lang w:val="it-IT"/>
        </w:rPr>
      </w:pPr>
    </w:p>
    <w:tbl>
      <w:tblPr>
        <w:tblW w:w="0" w:type="auto"/>
        <w:tblLook w:val="04A0"/>
      </w:tblPr>
      <w:tblGrid>
        <w:gridCol w:w="4643"/>
        <w:gridCol w:w="4644"/>
      </w:tblGrid>
      <w:tr w:rsidR="00EA5061" w:rsidRPr="004F3179" w:rsidTr="004F3179">
        <w:tc>
          <w:tcPr>
            <w:tcW w:w="4643" w:type="dxa"/>
            <w:shd w:val="clear" w:color="auto" w:fill="auto"/>
          </w:tcPr>
          <w:p w:rsidR="00EA5061" w:rsidRPr="004F3179" w:rsidRDefault="00EA5061" w:rsidP="00622771">
            <w:pPr>
              <w:widowControl w:val="0"/>
              <w:tabs>
                <w:tab w:val="left" w:pos="851"/>
              </w:tabs>
              <w:jc w:val="both"/>
              <w:rPr>
                <w:lang w:val="it-IT"/>
              </w:rPr>
            </w:pPr>
          </w:p>
        </w:tc>
        <w:tc>
          <w:tcPr>
            <w:tcW w:w="4644" w:type="dxa"/>
            <w:shd w:val="clear" w:color="auto" w:fill="auto"/>
          </w:tcPr>
          <w:p w:rsidR="00EA5061" w:rsidRPr="004F3179" w:rsidRDefault="00EA5061" w:rsidP="00622771">
            <w:pPr>
              <w:widowControl w:val="0"/>
              <w:tabs>
                <w:tab w:val="left" w:pos="851"/>
              </w:tabs>
              <w:jc w:val="center"/>
              <w:rPr>
                <w:b/>
                <w:lang w:val="it-IT"/>
              </w:rPr>
            </w:pPr>
            <w:r w:rsidRPr="004F3179">
              <w:rPr>
                <w:b/>
                <w:lang w:val="it-IT"/>
              </w:rPr>
              <w:t>T/M ĐẠI HỘI ĐỒNG CỔ ĐÔNG</w:t>
            </w:r>
          </w:p>
          <w:p w:rsidR="00EA5061" w:rsidRPr="004F3179" w:rsidRDefault="0056496B" w:rsidP="00622771">
            <w:pPr>
              <w:widowControl w:val="0"/>
              <w:tabs>
                <w:tab w:val="left" w:pos="851"/>
              </w:tabs>
              <w:jc w:val="center"/>
              <w:rPr>
                <w:b/>
                <w:lang w:val="it-IT"/>
              </w:rPr>
            </w:pPr>
            <w:r>
              <w:rPr>
                <w:b/>
                <w:lang w:val="it-IT"/>
              </w:rPr>
              <w:t>CHỦ TỊCH HỘI ĐỒNG QUẢN TRỊ</w:t>
            </w:r>
          </w:p>
        </w:tc>
      </w:tr>
      <w:tr w:rsidR="00EA5061" w:rsidRPr="004F3179" w:rsidTr="004F3179">
        <w:tc>
          <w:tcPr>
            <w:tcW w:w="4643" w:type="dxa"/>
            <w:shd w:val="clear" w:color="auto" w:fill="auto"/>
          </w:tcPr>
          <w:p w:rsidR="00EA5061" w:rsidRPr="004F3179" w:rsidRDefault="00EA5061" w:rsidP="00622771">
            <w:pPr>
              <w:widowControl w:val="0"/>
              <w:tabs>
                <w:tab w:val="left" w:pos="851"/>
              </w:tabs>
              <w:jc w:val="both"/>
              <w:rPr>
                <w:b/>
                <w:sz w:val="20"/>
                <w:szCs w:val="20"/>
                <w:lang w:val="it-IT"/>
              </w:rPr>
            </w:pPr>
          </w:p>
          <w:p w:rsidR="00EA5061" w:rsidRPr="004F3179" w:rsidRDefault="00EA5061" w:rsidP="00622771">
            <w:pPr>
              <w:widowControl w:val="0"/>
              <w:tabs>
                <w:tab w:val="left" w:pos="851"/>
              </w:tabs>
              <w:jc w:val="both"/>
              <w:rPr>
                <w:b/>
                <w:sz w:val="20"/>
                <w:szCs w:val="20"/>
                <w:lang w:val="it-IT"/>
              </w:rPr>
            </w:pPr>
            <w:r w:rsidRPr="004F3179">
              <w:rPr>
                <w:b/>
                <w:sz w:val="20"/>
                <w:szCs w:val="20"/>
                <w:lang w:val="it-IT"/>
              </w:rPr>
              <w:t xml:space="preserve">Nơi nhận: </w:t>
            </w:r>
          </w:p>
          <w:p w:rsidR="002E27E1" w:rsidRPr="004F3179" w:rsidRDefault="002E27E1" w:rsidP="00622771">
            <w:pPr>
              <w:widowControl w:val="0"/>
              <w:numPr>
                <w:ilvl w:val="0"/>
                <w:numId w:val="6"/>
              </w:numPr>
              <w:ind w:left="284" w:hanging="284"/>
              <w:jc w:val="both"/>
              <w:rPr>
                <w:i/>
                <w:sz w:val="20"/>
                <w:szCs w:val="20"/>
                <w:lang w:val="it-IT"/>
              </w:rPr>
            </w:pPr>
            <w:r w:rsidRPr="004F3179">
              <w:rPr>
                <w:i/>
                <w:sz w:val="20"/>
                <w:szCs w:val="20"/>
                <w:lang w:val="it-IT"/>
              </w:rPr>
              <w:t>Các cổ đông</w:t>
            </w:r>
          </w:p>
          <w:p w:rsidR="00EA5061" w:rsidRPr="004F3179" w:rsidRDefault="00EA5061" w:rsidP="00622771">
            <w:pPr>
              <w:widowControl w:val="0"/>
              <w:numPr>
                <w:ilvl w:val="0"/>
                <w:numId w:val="6"/>
              </w:numPr>
              <w:ind w:left="284" w:hanging="284"/>
              <w:jc w:val="both"/>
              <w:rPr>
                <w:i/>
                <w:sz w:val="20"/>
                <w:szCs w:val="20"/>
                <w:lang w:val="it-IT"/>
              </w:rPr>
            </w:pPr>
            <w:r w:rsidRPr="004F3179">
              <w:rPr>
                <w:i/>
                <w:sz w:val="20"/>
                <w:szCs w:val="20"/>
                <w:lang w:val="it-IT"/>
              </w:rPr>
              <w:t>Như điều 1</w:t>
            </w:r>
            <w:r w:rsidR="00CF5658">
              <w:rPr>
                <w:i/>
                <w:sz w:val="20"/>
                <w:szCs w:val="20"/>
                <w:lang w:val="it-IT"/>
              </w:rPr>
              <w:t>6</w:t>
            </w:r>
          </w:p>
          <w:p w:rsidR="00EA5061" w:rsidRPr="004F3179" w:rsidRDefault="00EA5061" w:rsidP="00622771">
            <w:pPr>
              <w:widowControl w:val="0"/>
              <w:numPr>
                <w:ilvl w:val="0"/>
                <w:numId w:val="6"/>
              </w:numPr>
              <w:ind w:left="284" w:hanging="284"/>
              <w:jc w:val="both"/>
              <w:rPr>
                <w:i/>
                <w:sz w:val="20"/>
                <w:szCs w:val="20"/>
                <w:lang w:val="it-IT"/>
              </w:rPr>
            </w:pPr>
            <w:r w:rsidRPr="004F3179">
              <w:rPr>
                <w:i/>
                <w:sz w:val="20"/>
                <w:szCs w:val="20"/>
                <w:lang w:val="it-IT"/>
              </w:rPr>
              <w:t>Ủy ban Chứng khoán Nhà nước</w:t>
            </w:r>
          </w:p>
          <w:p w:rsidR="00EA5061" w:rsidRPr="004F3179" w:rsidRDefault="00EA5061" w:rsidP="00622771">
            <w:pPr>
              <w:widowControl w:val="0"/>
              <w:numPr>
                <w:ilvl w:val="0"/>
                <w:numId w:val="6"/>
              </w:numPr>
              <w:ind w:left="284" w:hanging="284"/>
              <w:jc w:val="both"/>
              <w:rPr>
                <w:i/>
                <w:sz w:val="20"/>
                <w:szCs w:val="20"/>
                <w:lang w:val="it-IT"/>
              </w:rPr>
            </w:pPr>
            <w:r w:rsidRPr="004F3179">
              <w:rPr>
                <w:i/>
                <w:sz w:val="20"/>
                <w:szCs w:val="20"/>
                <w:lang w:val="it-IT"/>
              </w:rPr>
              <w:t>Các Sở GDCK</w:t>
            </w:r>
          </w:p>
          <w:p w:rsidR="00EA5061" w:rsidRPr="004F3179" w:rsidRDefault="00EA5061" w:rsidP="00622771">
            <w:pPr>
              <w:widowControl w:val="0"/>
              <w:numPr>
                <w:ilvl w:val="0"/>
                <w:numId w:val="6"/>
              </w:numPr>
              <w:ind w:left="284" w:hanging="284"/>
              <w:jc w:val="both"/>
              <w:rPr>
                <w:i/>
                <w:sz w:val="20"/>
                <w:szCs w:val="20"/>
                <w:lang w:val="it-IT"/>
              </w:rPr>
            </w:pPr>
            <w:r w:rsidRPr="004F3179">
              <w:rPr>
                <w:i/>
                <w:sz w:val="20"/>
                <w:szCs w:val="20"/>
                <w:lang w:val="it-IT"/>
              </w:rPr>
              <w:t>Trung tâm lưu ký</w:t>
            </w:r>
            <w:r w:rsidR="004F3179" w:rsidRPr="004F3179">
              <w:rPr>
                <w:i/>
                <w:sz w:val="20"/>
                <w:szCs w:val="20"/>
                <w:lang w:val="it-IT"/>
              </w:rPr>
              <w:t xml:space="preserve"> Chứng khoán</w:t>
            </w:r>
          </w:p>
          <w:p w:rsidR="00EA5061" w:rsidRPr="004F3179" w:rsidRDefault="00EA5061" w:rsidP="00622771">
            <w:pPr>
              <w:widowControl w:val="0"/>
              <w:numPr>
                <w:ilvl w:val="0"/>
                <w:numId w:val="6"/>
              </w:numPr>
              <w:ind w:left="284" w:hanging="284"/>
              <w:jc w:val="both"/>
              <w:rPr>
                <w:lang w:val="it-IT"/>
              </w:rPr>
            </w:pPr>
            <w:r w:rsidRPr="004F3179">
              <w:rPr>
                <w:i/>
                <w:sz w:val="20"/>
                <w:szCs w:val="20"/>
                <w:lang w:val="it-IT"/>
              </w:rPr>
              <w:t>Lưu thư ký HĐQT</w:t>
            </w:r>
            <w:r w:rsidR="00461E38">
              <w:rPr>
                <w:i/>
                <w:sz w:val="20"/>
                <w:szCs w:val="20"/>
                <w:lang w:val="it-IT"/>
              </w:rPr>
              <w:t>, VP</w:t>
            </w:r>
            <w:r w:rsidRPr="004F3179">
              <w:rPr>
                <w:i/>
                <w:sz w:val="20"/>
                <w:szCs w:val="20"/>
                <w:lang w:val="it-IT"/>
              </w:rPr>
              <w:t>.</w:t>
            </w:r>
            <w:r w:rsidRPr="004F3179">
              <w:rPr>
                <w:lang w:val="it-IT"/>
              </w:rPr>
              <w:t xml:space="preserve"> </w:t>
            </w:r>
          </w:p>
        </w:tc>
        <w:tc>
          <w:tcPr>
            <w:tcW w:w="4644" w:type="dxa"/>
            <w:shd w:val="clear" w:color="auto" w:fill="auto"/>
          </w:tcPr>
          <w:p w:rsidR="00EA5061" w:rsidRPr="004F3179" w:rsidRDefault="00EA5061" w:rsidP="00622771">
            <w:pPr>
              <w:widowControl w:val="0"/>
              <w:tabs>
                <w:tab w:val="left" w:pos="851"/>
              </w:tabs>
              <w:jc w:val="center"/>
              <w:rPr>
                <w:b/>
                <w:lang w:val="it-IT"/>
              </w:rPr>
            </w:pPr>
          </w:p>
          <w:p w:rsidR="00EA5061" w:rsidRPr="004F3179" w:rsidRDefault="00EA5061" w:rsidP="00622771">
            <w:pPr>
              <w:widowControl w:val="0"/>
              <w:tabs>
                <w:tab w:val="left" w:pos="851"/>
              </w:tabs>
              <w:jc w:val="center"/>
              <w:rPr>
                <w:b/>
                <w:lang w:val="it-IT"/>
              </w:rPr>
            </w:pPr>
          </w:p>
          <w:p w:rsidR="00EA5061" w:rsidRPr="004F3179" w:rsidRDefault="00EA5061" w:rsidP="00622771">
            <w:pPr>
              <w:widowControl w:val="0"/>
              <w:tabs>
                <w:tab w:val="left" w:pos="851"/>
              </w:tabs>
              <w:jc w:val="center"/>
              <w:rPr>
                <w:b/>
                <w:lang w:val="it-IT"/>
              </w:rPr>
            </w:pPr>
          </w:p>
          <w:p w:rsidR="00EA5061" w:rsidRPr="004F3179" w:rsidRDefault="00EA5061" w:rsidP="00622771">
            <w:pPr>
              <w:widowControl w:val="0"/>
              <w:tabs>
                <w:tab w:val="left" w:pos="851"/>
              </w:tabs>
              <w:jc w:val="center"/>
              <w:rPr>
                <w:b/>
                <w:lang w:val="it-IT"/>
              </w:rPr>
            </w:pPr>
          </w:p>
          <w:p w:rsidR="00EA5061" w:rsidRPr="004F3179" w:rsidRDefault="00EA5061" w:rsidP="00622771">
            <w:pPr>
              <w:widowControl w:val="0"/>
              <w:tabs>
                <w:tab w:val="left" w:pos="851"/>
              </w:tabs>
              <w:jc w:val="center"/>
              <w:rPr>
                <w:b/>
                <w:lang w:val="it-IT"/>
              </w:rPr>
            </w:pPr>
          </w:p>
          <w:p w:rsidR="00EA5061" w:rsidRPr="004F3179" w:rsidRDefault="00EA5061" w:rsidP="00622771">
            <w:pPr>
              <w:widowControl w:val="0"/>
              <w:tabs>
                <w:tab w:val="left" w:pos="851"/>
              </w:tabs>
              <w:jc w:val="center"/>
              <w:rPr>
                <w:b/>
                <w:lang w:val="it-IT"/>
              </w:rPr>
            </w:pPr>
          </w:p>
          <w:p w:rsidR="00EA5061" w:rsidRPr="004F3179" w:rsidRDefault="00EA5061" w:rsidP="00622771">
            <w:pPr>
              <w:widowControl w:val="0"/>
              <w:tabs>
                <w:tab w:val="left" w:pos="851"/>
              </w:tabs>
              <w:jc w:val="center"/>
              <w:rPr>
                <w:b/>
                <w:lang w:val="it-IT"/>
              </w:rPr>
            </w:pPr>
            <w:r w:rsidRPr="004F3179">
              <w:rPr>
                <w:b/>
                <w:lang w:val="it-IT"/>
              </w:rPr>
              <w:t>NGÔ PHƯƠNG CHÍ</w:t>
            </w:r>
          </w:p>
        </w:tc>
      </w:tr>
    </w:tbl>
    <w:p w:rsidR="00EA5061" w:rsidRPr="00340A3F" w:rsidRDefault="00EA5061" w:rsidP="00622771">
      <w:pPr>
        <w:widowControl w:val="0"/>
        <w:tabs>
          <w:tab w:val="left" w:pos="851"/>
        </w:tabs>
        <w:spacing w:before="60" w:after="60" w:line="288" w:lineRule="auto"/>
        <w:jc w:val="both"/>
        <w:rPr>
          <w:sz w:val="2"/>
          <w:szCs w:val="2"/>
          <w:lang w:val="it-IT"/>
        </w:rPr>
      </w:pPr>
    </w:p>
    <w:sectPr w:rsidR="00EA5061" w:rsidRPr="00340A3F" w:rsidSect="004F3179">
      <w:footerReference w:type="even" r:id="rId8"/>
      <w:footerReference w:type="default" r:id="rId9"/>
      <w:pgSz w:w="11907" w:h="16840" w:code="9"/>
      <w:pgMar w:top="1418" w:right="1418" w:bottom="1418"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9E7" w:rsidRDefault="00C639E7">
      <w:r>
        <w:separator/>
      </w:r>
    </w:p>
  </w:endnote>
  <w:endnote w:type="continuationSeparator" w:id="1">
    <w:p w:rsidR="00C639E7" w:rsidRDefault="00C639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05" w:rsidRDefault="009117F3" w:rsidP="00DA4281">
    <w:pPr>
      <w:pStyle w:val="Footer"/>
      <w:framePr w:wrap="around" w:vAnchor="text" w:hAnchor="margin" w:xAlign="right" w:y="1"/>
      <w:rPr>
        <w:rStyle w:val="PageNumber"/>
      </w:rPr>
    </w:pPr>
    <w:r>
      <w:rPr>
        <w:rStyle w:val="PageNumber"/>
      </w:rPr>
      <w:fldChar w:fldCharType="begin"/>
    </w:r>
    <w:r w:rsidR="00B23A05">
      <w:rPr>
        <w:rStyle w:val="PageNumber"/>
      </w:rPr>
      <w:instrText xml:space="preserve">PAGE  </w:instrText>
    </w:r>
    <w:r>
      <w:rPr>
        <w:rStyle w:val="PageNumber"/>
      </w:rPr>
      <w:fldChar w:fldCharType="end"/>
    </w:r>
  </w:p>
  <w:p w:rsidR="00B23A05" w:rsidRDefault="00B23A05" w:rsidP="00DA42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05" w:rsidRPr="004F3179" w:rsidRDefault="004F3179" w:rsidP="006E1ABA">
    <w:pPr>
      <w:pStyle w:val="Footer"/>
      <w:tabs>
        <w:tab w:val="clear" w:pos="8640"/>
      </w:tabs>
      <w:jc w:val="right"/>
      <w:rPr>
        <w:sz w:val="20"/>
        <w:szCs w:val="20"/>
      </w:rPr>
    </w:pPr>
    <w:r w:rsidRPr="004F3179">
      <w:rPr>
        <w:sz w:val="20"/>
        <w:szCs w:val="20"/>
      </w:rPr>
      <w:t xml:space="preserve">Trang </w:t>
    </w:r>
    <w:r w:rsidR="009117F3" w:rsidRPr="004F3179">
      <w:rPr>
        <w:bCs/>
        <w:sz w:val="20"/>
        <w:szCs w:val="20"/>
      </w:rPr>
      <w:fldChar w:fldCharType="begin"/>
    </w:r>
    <w:r w:rsidRPr="004F3179">
      <w:rPr>
        <w:bCs/>
        <w:sz w:val="20"/>
        <w:szCs w:val="20"/>
      </w:rPr>
      <w:instrText xml:space="preserve"> PAGE  \* Arabic  \* MERGEFORMAT </w:instrText>
    </w:r>
    <w:r w:rsidR="009117F3" w:rsidRPr="004F3179">
      <w:rPr>
        <w:bCs/>
        <w:sz w:val="20"/>
        <w:szCs w:val="20"/>
      </w:rPr>
      <w:fldChar w:fldCharType="separate"/>
    </w:r>
    <w:r w:rsidR="00653FA9">
      <w:rPr>
        <w:bCs/>
        <w:noProof/>
        <w:sz w:val="20"/>
        <w:szCs w:val="20"/>
      </w:rPr>
      <w:t>5</w:t>
    </w:r>
    <w:r w:rsidR="009117F3" w:rsidRPr="004F3179">
      <w:rPr>
        <w:bCs/>
        <w:sz w:val="20"/>
        <w:szCs w:val="20"/>
      </w:rPr>
      <w:fldChar w:fldCharType="end"/>
    </w:r>
    <w:r w:rsidRPr="004F3179">
      <w:rPr>
        <w:sz w:val="20"/>
        <w:szCs w:val="20"/>
      </w:rPr>
      <w:t>/</w:t>
    </w:r>
    <w:fldSimple w:instr=" NUMPAGES  \* Arabic  \* MERGEFORMAT ">
      <w:r w:rsidR="00653FA9" w:rsidRPr="00653FA9">
        <w:rPr>
          <w:bCs/>
          <w:noProof/>
          <w:sz w:val="20"/>
          <w:szCs w:val="20"/>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9E7" w:rsidRDefault="00C639E7">
      <w:r>
        <w:separator/>
      </w:r>
    </w:p>
  </w:footnote>
  <w:footnote w:type="continuationSeparator" w:id="1">
    <w:p w:rsidR="00C639E7" w:rsidRDefault="00C63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04C"/>
    <w:multiLevelType w:val="hybridMultilevel"/>
    <w:tmpl w:val="328EE282"/>
    <w:lvl w:ilvl="0" w:tplc="EAA4379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22D97"/>
    <w:multiLevelType w:val="hybridMultilevel"/>
    <w:tmpl w:val="59384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D338B"/>
    <w:multiLevelType w:val="hybridMultilevel"/>
    <w:tmpl w:val="1A523CCE"/>
    <w:lvl w:ilvl="0" w:tplc="035C34C8">
      <w:start w:val="1"/>
      <w:numFmt w:val="decimal"/>
      <w:lvlText w:val="%1."/>
      <w:lvlJc w:val="left"/>
      <w:pPr>
        <w:ind w:left="720" w:hanging="360"/>
      </w:pPr>
      <w:rPr>
        <w:rFonts w:hint="default"/>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94E5F"/>
    <w:multiLevelType w:val="hybridMultilevel"/>
    <w:tmpl w:val="49AEF812"/>
    <w:lvl w:ilvl="0" w:tplc="2B664F9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C5E4F"/>
    <w:multiLevelType w:val="hybridMultilevel"/>
    <w:tmpl w:val="780E3CE2"/>
    <w:lvl w:ilvl="0" w:tplc="5EAA0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327D6"/>
    <w:multiLevelType w:val="hybridMultilevel"/>
    <w:tmpl w:val="5FF0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77C05"/>
    <w:multiLevelType w:val="hybridMultilevel"/>
    <w:tmpl w:val="26CCDA14"/>
    <w:lvl w:ilvl="0" w:tplc="5EAA0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47FC3"/>
    <w:multiLevelType w:val="hybridMultilevel"/>
    <w:tmpl w:val="DBA4DBFE"/>
    <w:lvl w:ilvl="0" w:tplc="64B4D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63539A"/>
    <w:multiLevelType w:val="hybridMultilevel"/>
    <w:tmpl w:val="6B74C7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957033"/>
    <w:multiLevelType w:val="hybridMultilevel"/>
    <w:tmpl w:val="5F6894A8"/>
    <w:lvl w:ilvl="0" w:tplc="64240F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01A41"/>
    <w:multiLevelType w:val="hybridMultilevel"/>
    <w:tmpl w:val="B80AD54E"/>
    <w:lvl w:ilvl="0" w:tplc="88709F44">
      <w:numFmt w:val="bullet"/>
      <w:lvlText w:val="-"/>
      <w:lvlJc w:val="left"/>
      <w:pPr>
        <w:ind w:left="1080" w:hanging="360"/>
      </w:pPr>
      <w:rPr>
        <w:rFonts w:ascii="Times New Roman" w:eastAsia="Calibri" w:hAnsi="Times New Roman"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374760"/>
    <w:multiLevelType w:val="hybridMultilevel"/>
    <w:tmpl w:val="D020EF7A"/>
    <w:lvl w:ilvl="0" w:tplc="7514E9C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10"/>
  </w:num>
  <w:num w:numId="6">
    <w:abstractNumId w:val="9"/>
  </w:num>
  <w:num w:numId="7">
    <w:abstractNumId w:val="8"/>
  </w:num>
  <w:num w:numId="8">
    <w:abstractNumId w:val="1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6F672C"/>
    <w:rsid w:val="000075FB"/>
    <w:rsid w:val="000105DD"/>
    <w:rsid w:val="00013D69"/>
    <w:rsid w:val="00014618"/>
    <w:rsid w:val="00030668"/>
    <w:rsid w:val="000314AB"/>
    <w:rsid w:val="00032D62"/>
    <w:rsid w:val="00037C56"/>
    <w:rsid w:val="00040063"/>
    <w:rsid w:val="000605B2"/>
    <w:rsid w:val="000648F5"/>
    <w:rsid w:val="00065E42"/>
    <w:rsid w:val="0006755A"/>
    <w:rsid w:val="00080AC9"/>
    <w:rsid w:val="00090014"/>
    <w:rsid w:val="000915A3"/>
    <w:rsid w:val="0009589F"/>
    <w:rsid w:val="00095D45"/>
    <w:rsid w:val="00097BAB"/>
    <w:rsid w:val="000A445F"/>
    <w:rsid w:val="000A459A"/>
    <w:rsid w:val="000A74D5"/>
    <w:rsid w:val="000C0310"/>
    <w:rsid w:val="000C0C8A"/>
    <w:rsid w:val="000C272F"/>
    <w:rsid w:val="000D6800"/>
    <w:rsid w:val="000E34CC"/>
    <w:rsid w:val="000E374A"/>
    <w:rsid w:val="000E6305"/>
    <w:rsid w:val="000E673A"/>
    <w:rsid w:val="000F0E9C"/>
    <w:rsid w:val="000F1670"/>
    <w:rsid w:val="000F5A4C"/>
    <w:rsid w:val="00104A0F"/>
    <w:rsid w:val="00113014"/>
    <w:rsid w:val="001136F6"/>
    <w:rsid w:val="0011656B"/>
    <w:rsid w:val="00123AF0"/>
    <w:rsid w:val="00125670"/>
    <w:rsid w:val="00126109"/>
    <w:rsid w:val="00131991"/>
    <w:rsid w:val="00135321"/>
    <w:rsid w:val="00135F71"/>
    <w:rsid w:val="00136EEE"/>
    <w:rsid w:val="001438A2"/>
    <w:rsid w:val="00143FF9"/>
    <w:rsid w:val="00155A6E"/>
    <w:rsid w:val="001578D6"/>
    <w:rsid w:val="00162022"/>
    <w:rsid w:val="00163BA1"/>
    <w:rsid w:val="00167842"/>
    <w:rsid w:val="00173F7D"/>
    <w:rsid w:val="00176D76"/>
    <w:rsid w:val="00182D25"/>
    <w:rsid w:val="00186C8A"/>
    <w:rsid w:val="00186EBB"/>
    <w:rsid w:val="001976F4"/>
    <w:rsid w:val="001A0646"/>
    <w:rsid w:val="001A10A4"/>
    <w:rsid w:val="001A7260"/>
    <w:rsid w:val="001B2FE4"/>
    <w:rsid w:val="001D21C3"/>
    <w:rsid w:val="001D28EC"/>
    <w:rsid w:val="001E48B1"/>
    <w:rsid w:val="001E670B"/>
    <w:rsid w:val="001F6F30"/>
    <w:rsid w:val="002041E3"/>
    <w:rsid w:val="00206A29"/>
    <w:rsid w:val="00215C27"/>
    <w:rsid w:val="00216D0D"/>
    <w:rsid w:val="00227FA0"/>
    <w:rsid w:val="00233981"/>
    <w:rsid w:val="002364C2"/>
    <w:rsid w:val="002379EE"/>
    <w:rsid w:val="00237DF9"/>
    <w:rsid w:val="002413A4"/>
    <w:rsid w:val="002612EB"/>
    <w:rsid w:val="002672F7"/>
    <w:rsid w:val="002679B9"/>
    <w:rsid w:val="00282B8F"/>
    <w:rsid w:val="002921CF"/>
    <w:rsid w:val="00294C3B"/>
    <w:rsid w:val="0029762D"/>
    <w:rsid w:val="002B0A54"/>
    <w:rsid w:val="002C23AB"/>
    <w:rsid w:val="002C37EE"/>
    <w:rsid w:val="002C6367"/>
    <w:rsid w:val="002D2727"/>
    <w:rsid w:val="002D4900"/>
    <w:rsid w:val="002E126A"/>
    <w:rsid w:val="002E1955"/>
    <w:rsid w:val="002E27E1"/>
    <w:rsid w:val="002E592E"/>
    <w:rsid w:val="002E6779"/>
    <w:rsid w:val="002F772C"/>
    <w:rsid w:val="003069EC"/>
    <w:rsid w:val="0032317B"/>
    <w:rsid w:val="003252C0"/>
    <w:rsid w:val="00335786"/>
    <w:rsid w:val="00340A3F"/>
    <w:rsid w:val="00341EF2"/>
    <w:rsid w:val="00342119"/>
    <w:rsid w:val="00350779"/>
    <w:rsid w:val="00352E4D"/>
    <w:rsid w:val="0035480C"/>
    <w:rsid w:val="00392D4A"/>
    <w:rsid w:val="003950E7"/>
    <w:rsid w:val="003A776C"/>
    <w:rsid w:val="003B38A5"/>
    <w:rsid w:val="003B6C15"/>
    <w:rsid w:val="003C14DB"/>
    <w:rsid w:val="003C24A1"/>
    <w:rsid w:val="003D0BF9"/>
    <w:rsid w:val="003D2132"/>
    <w:rsid w:val="003E6229"/>
    <w:rsid w:val="003E78F7"/>
    <w:rsid w:val="003F0307"/>
    <w:rsid w:val="003F5A70"/>
    <w:rsid w:val="004075FB"/>
    <w:rsid w:val="00407FDF"/>
    <w:rsid w:val="00416488"/>
    <w:rsid w:val="00420DC3"/>
    <w:rsid w:val="00440E25"/>
    <w:rsid w:val="00441D94"/>
    <w:rsid w:val="00443757"/>
    <w:rsid w:val="004443FE"/>
    <w:rsid w:val="004526FC"/>
    <w:rsid w:val="00456F7D"/>
    <w:rsid w:val="00457949"/>
    <w:rsid w:val="00461E38"/>
    <w:rsid w:val="004648FF"/>
    <w:rsid w:val="00475F6F"/>
    <w:rsid w:val="00494201"/>
    <w:rsid w:val="00497C5D"/>
    <w:rsid w:val="004A595D"/>
    <w:rsid w:val="004B229D"/>
    <w:rsid w:val="004C14B6"/>
    <w:rsid w:val="004C7035"/>
    <w:rsid w:val="004D248F"/>
    <w:rsid w:val="004D27C2"/>
    <w:rsid w:val="004E010E"/>
    <w:rsid w:val="004E4D97"/>
    <w:rsid w:val="004F3179"/>
    <w:rsid w:val="00500AE0"/>
    <w:rsid w:val="005017B5"/>
    <w:rsid w:val="005101C7"/>
    <w:rsid w:val="00511943"/>
    <w:rsid w:val="00515A07"/>
    <w:rsid w:val="0051621E"/>
    <w:rsid w:val="005174FC"/>
    <w:rsid w:val="00524491"/>
    <w:rsid w:val="00530619"/>
    <w:rsid w:val="00530BD5"/>
    <w:rsid w:val="00543919"/>
    <w:rsid w:val="00545FFE"/>
    <w:rsid w:val="005505F4"/>
    <w:rsid w:val="00556224"/>
    <w:rsid w:val="00556A27"/>
    <w:rsid w:val="0056496B"/>
    <w:rsid w:val="005649BC"/>
    <w:rsid w:val="00571153"/>
    <w:rsid w:val="00572722"/>
    <w:rsid w:val="00574F26"/>
    <w:rsid w:val="005845A7"/>
    <w:rsid w:val="00592DDB"/>
    <w:rsid w:val="00595DDA"/>
    <w:rsid w:val="005A1B42"/>
    <w:rsid w:val="005A2A50"/>
    <w:rsid w:val="005A7521"/>
    <w:rsid w:val="005D0190"/>
    <w:rsid w:val="005D205B"/>
    <w:rsid w:val="005D422E"/>
    <w:rsid w:val="005D6630"/>
    <w:rsid w:val="005D71CD"/>
    <w:rsid w:val="005E1CE3"/>
    <w:rsid w:val="005E2CDF"/>
    <w:rsid w:val="005F21FC"/>
    <w:rsid w:val="005F71B7"/>
    <w:rsid w:val="00600872"/>
    <w:rsid w:val="00601CED"/>
    <w:rsid w:val="00607A4D"/>
    <w:rsid w:val="00622771"/>
    <w:rsid w:val="006350AA"/>
    <w:rsid w:val="00640853"/>
    <w:rsid w:val="006448BD"/>
    <w:rsid w:val="00645F5B"/>
    <w:rsid w:val="00651CDF"/>
    <w:rsid w:val="00651F2E"/>
    <w:rsid w:val="00653FA9"/>
    <w:rsid w:val="0065748A"/>
    <w:rsid w:val="006623D3"/>
    <w:rsid w:val="00662784"/>
    <w:rsid w:val="006649A1"/>
    <w:rsid w:val="00667069"/>
    <w:rsid w:val="00672377"/>
    <w:rsid w:val="00677204"/>
    <w:rsid w:val="00677E87"/>
    <w:rsid w:val="00683335"/>
    <w:rsid w:val="00685B6D"/>
    <w:rsid w:val="006968BC"/>
    <w:rsid w:val="006A4C1A"/>
    <w:rsid w:val="006B49AA"/>
    <w:rsid w:val="006C062A"/>
    <w:rsid w:val="006C5374"/>
    <w:rsid w:val="006C68B9"/>
    <w:rsid w:val="006D0900"/>
    <w:rsid w:val="006D32DC"/>
    <w:rsid w:val="006D4D2B"/>
    <w:rsid w:val="006E1ABA"/>
    <w:rsid w:val="006E3B61"/>
    <w:rsid w:val="006E4FF7"/>
    <w:rsid w:val="006E7D58"/>
    <w:rsid w:val="006F15B0"/>
    <w:rsid w:val="006F4CE8"/>
    <w:rsid w:val="006F672C"/>
    <w:rsid w:val="00700E3B"/>
    <w:rsid w:val="00705FF8"/>
    <w:rsid w:val="00706C85"/>
    <w:rsid w:val="00711AC8"/>
    <w:rsid w:val="007146FA"/>
    <w:rsid w:val="00715CFB"/>
    <w:rsid w:val="00722AA9"/>
    <w:rsid w:val="00735D01"/>
    <w:rsid w:val="007410F2"/>
    <w:rsid w:val="00742DB5"/>
    <w:rsid w:val="00743E1B"/>
    <w:rsid w:val="00765450"/>
    <w:rsid w:val="00774DFA"/>
    <w:rsid w:val="007760C7"/>
    <w:rsid w:val="00795AB6"/>
    <w:rsid w:val="007B1D91"/>
    <w:rsid w:val="007B5900"/>
    <w:rsid w:val="007C4F88"/>
    <w:rsid w:val="007D1C30"/>
    <w:rsid w:val="007D2E46"/>
    <w:rsid w:val="007F0440"/>
    <w:rsid w:val="0080296A"/>
    <w:rsid w:val="00803284"/>
    <w:rsid w:val="00805AD2"/>
    <w:rsid w:val="00807B82"/>
    <w:rsid w:val="00831F8E"/>
    <w:rsid w:val="00834E52"/>
    <w:rsid w:val="008351DE"/>
    <w:rsid w:val="00835877"/>
    <w:rsid w:val="00837DFF"/>
    <w:rsid w:val="0084089E"/>
    <w:rsid w:val="00840E26"/>
    <w:rsid w:val="00842BA6"/>
    <w:rsid w:val="008440A9"/>
    <w:rsid w:val="00852136"/>
    <w:rsid w:val="00864B09"/>
    <w:rsid w:val="00872114"/>
    <w:rsid w:val="00874039"/>
    <w:rsid w:val="008873C2"/>
    <w:rsid w:val="008935FA"/>
    <w:rsid w:val="008A1F21"/>
    <w:rsid w:val="008C3545"/>
    <w:rsid w:val="008C6707"/>
    <w:rsid w:val="008D1277"/>
    <w:rsid w:val="008D4D18"/>
    <w:rsid w:val="008F20E3"/>
    <w:rsid w:val="0090523D"/>
    <w:rsid w:val="009117F3"/>
    <w:rsid w:val="0091283B"/>
    <w:rsid w:val="009128D6"/>
    <w:rsid w:val="00921E3E"/>
    <w:rsid w:val="00934354"/>
    <w:rsid w:val="009437A9"/>
    <w:rsid w:val="00951C88"/>
    <w:rsid w:val="00954450"/>
    <w:rsid w:val="00957B8A"/>
    <w:rsid w:val="00961D29"/>
    <w:rsid w:val="0096218C"/>
    <w:rsid w:val="00966071"/>
    <w:rsid w:val="00975D92"/>
    <w:rsid w:val="00985595"/>
    <w:rsid w:val="00990DC8"/>
    <w:rsid w:val="00996D18"/>
    <w:rsid w:val="009A1A6C"/>
    <w:rsid w:val="009A33E5"/>
    <w:rsid w:val="009A47EC"/>
    <w:rsid w:val="009B0341"/>
    <w:rsid w:val="009C1B8C"/>
    <w:rsid w:val="009D3D2F"/>
    <w:rsid w:val="009D4C3D"/>
    <w:rsid w:val="009D4D85"/>
    <w:rsid w:val="009E1646"/>
    <w:rsid w:val="009F0642"/>
    <w:rsid w:val="00A058CD"/>
    <w:rsid w:val="00A11EFD"/>
    <w:rsid w:val="00A12449"/>
    <w:rsid w:val="00A2567A"/>
    <w:rsid w:val="00A26FED"/>
    <w:rsid w:val="00A368CD"/>
    <w:rsid w:val="00A36CE3"/>
    <w:rsid w:val="00A45222"/>
    <w:rsid w:val="00A502A3"/>
    <w:rsid w:val="00A51ADD"/>
    <w:rsid w:val="00A523EB"/>
    <w:rsid w:val="00A555D0"/>
    <w:rsid w:val="00A61E34"/>
    <w:rsid w:val="00A62C2B"/>
    <w:rsid w:val="00A6549E"/>
    <w:rsid w:val="00A705E8"/>
    <w:rsid w:val="00A71302"/>
    <w:rsid w:val="00A74DE9"/>
    <w:rsid w:val="00A818BB"/>
    <w:rsid w:val="00A81B45"/>
    <w:rsid w:val="00A84CC3"/>
    <w:rsid w:val="00A85FDB"/>
    <w:rsid w:val="00A924DC"/>
    <w:rsid w:val="00A96EE4"/>
    <w:rsid w:val="00AA1ECC"/>
    <w:rsid w:val="00AA3B58"/>
    <w:rsid w:val="00AA50E1"/>
    <w:rsid w:val="00AA5A99"/>
    <w:rsid w:val="00AB56D6"/>
    <w:rsid w:val="00AB70DC"/>
    <w:rsid w:val="00AD0970"/>
    <w:rsid w:val="00AE0A2D"/>
    <w:rsid w:val="00AE322D"/>
    <w:rsid w:val="00AE6EBA"/>
    <w:rsid w:val="00AF3480"/>
    <w:rsid w:val="00AF472A"/>
    <w:rsid w:val="00AF6D9A"/>
    <w:rsid w:val="00B04C5F"/>
    <w:rsid w:val="00B067EB"/>
    <w:rsid w:val="00B12A2E"/>
    <w:rsid w:val="00B176E7"/>
    <w:rsid w:val="00B22BB4"/>
    <w:rsid w:val="00B23A05"/>
    <w:rsid w:val="00B45B49"/>
    <w:rsid w:val="00B56CE7"/>
    <w:rsid w:val="00B60DAC"/>
    <w:rsid w:val="00B62E57"/>
    <w:rsid w:val="00B677B3"/>
    <w:rsid w:val="00B717F9"/>
    <w:rsid w:val="00B7459C"/>
    <w:rsid w:val="00B844E8"/>
    <w:rsid w:val="00B85CEB"/>
    <w:rsid w:val="00B864AB"/>
    <w:rsid w:val="00B90E52"/>
    <w:rsid w:val="00BA73D1"/>
    <w:rsid w:val="00BB380D"/>
    <w:rsid w:val="00BB5786"/>
    <w:rsid w:val="00BB5B7C"/>
    <w:rsid w:val="00BC4C2E"/>
    <w:rsid w:val="00BC7DCA"/>
    <w:rsid w:val="00BD1938"/>
    <w:rsid w:val="00BD2922"/>
    <w:rsid w:val="00BD4D54"/>
    <w:rsid w:val="00BD6C3B"/>
    <w:rsid w:val="00BE5656"/>
    <w:rsid w:val="00BF2551"/>
    <w:rsid w:val="00BF4199"/>
    <w:rsid w:val="00BF7B6C"/>
    <w:rsid w:val="00C073BC"/>
    <w:rsid w:val="00C1170F"/>
    <w:rsid w:val="00C246E0"/>
    <w:rsid w:val="00C3449E"/>
    <w:rsid w:val="00C40C13"/>
    <w:rsid w:val="00C456FB"/>
    <w:rsid w:val="00C510E9"/>
    <w:rsid w:val="00C55962"/>
    <w:rsid w:val="00C639E7"/>
    <w:rsid w:val="00C63EB7"/>
    <w:rsid w:val="00C70F44"/>
    <w:rsid w:val="00C765EE"/>
    <w:rsid w:val="00C77597"/>
    <w:rsid w:val="00C8560F"/>
    <w:rsid w:val="00C86BD8"/>
    <w:rsid w:val="00CA3DF0"/>
    <w:rsid w:val="00CA4F52"/>
    <w:rsid w:val="00CB747F"/>
    <w:rsid w:val="00CC7C0F"/>
    <w:rsid w:val="00CD14C1"/>
    <w:rsid w:val="00CD2F50"/>
    <w:rsid w:val="00CD6E87"/>
    <w:rsid w:val="00CE410A"/>
    <w:rsid w:val="00CF5658"/>
    <w:rsid w:val="00D01CBE"/>
    <w:rsid w:val="00D131CC"/>
    <w:rsid w:val="00D15E95"/>
    <w:rsid w:val="00D17CA8"/>
    <w:rsid w:val="00D204CE"/>
    <w:rsid w:val="00D26ABD"/>
    <w:rsid w:val="00D32F78"/>
    <w:rsid w:val="00D343E9"/>
    <w:rsid w:val="00D40184"/>
    <w:rsid w:val="00D55D3E"/>
    <w:rsid w:val="00D62ADC"/>
    <w:rsid w:val="00D725AF"/>
    <w:rsid w:val="00D737B4"/>
    <w:rsid w:val="00D77764"/>
    <w:rsid w:val="00D84482"/>
    <w:rsid w:val="00D9774E"/>
    <w:rsid w:val="00DA2CE7"/>
    <w:rsid w:val="00DA4281"/>
    <w:rsid w:val="00DA5D40"/>
    <w:rsid w:val="00DA67F9"/>
    <w:rsid w:val="00DB0F75"/>
    <w:rsid w:val="00DB445D"/>
    <w:rsid w:val="00DB688F"/>
    <w:rsid w:val="00DC51A0"/>
    <w:rsid w:val="00DD4DC3"/>
    <w:rsid w:val="00DE1790"/>
    <w:rsid w:val="00DE1B98"/>
    <w:rsid w:val="00DE4A89"/>
    <w:rsid w:val="00DE54CB"/>
    <w:rsid w:val="00DE55E3"/>
    <w:rsid w:val="00DE5981"/>
    <w:rsid w:val="00DF3833"/>
    <w:rsid w:val="00DF5A20"/>
    <w:rsid w:val="00E004BD"/>
    <w:rsid w:val="00E064C0"/>
    <w:rsid w:val="00E07A05"/>
    <w:rsid w:val="00E147F2"/>
    <w:rsid w:val="00E20B9B"/>
    <w:rsid w:val="00E23017"/>
    <w:rsid w:val="00E25309"/>
    <w:rsid w:val="00E26D6E"/>
    <w:rsid w:val="00E3165C"/>
    <w:rsid w:val="00E317D8"/>
    <w:rsid w:val="00E31AC6"/>
    <w:rsid w:val="00E348BB"/>
    <w:rsid w:val="00E34F68"/>
    <w:rsid w:val="00E36F5E"/>
    <w:rsid w:val="00E47EB9"/>
    <w:rsid w:val="00E50FFF"/>
    <w:rsid w:val="00E5377F"/>
    <w:rsid w:val="00E57F22"/>
    <w:rsid w:val="00E6127D"/>
    <w:rsid w:val="00E627A7"/>
    <w:rsid w:val="00E72732"/>
    <w:rsid w:val="00E7503C"/>
    <w:rsid w:val="00E75A9B"/>
    <w:rsid w:val="00E8755E"/>
    <w:rsid w:val="00EA5061"/>
    <w:rsid w:val="00EA7F91"/>
    <w:rsid w:val="00EB63C5"/>
    <w:rsid w:val="00EC05AE"/>
    <w:rsid w:val="00EC2A3C"/>
    <w:rsid w:val="00EC7758"/>
    <w:rsid w:val="00ED43F3"/>
    <w:rsid w:val="00EE3736"/>
    <w:rsid w:val="00EE4504"/>
    <w:rsid w:val="00EE59FE"/>
    <w:rsid w:val="00EE6F57"/>
    <w:rsid w:val="00EE7308"/>
    <w:rsid w:val="00F07D59"/>
    <w:rsid w:val="00F47714"/>
    <w:rsid w:val="00F53AB2"/>
    <w:rsid w:val="00F606DA"/>
    <w:rsid w:val="00F64142"/>
    <w:rsid w:val="00F65857"/>
    <w:rsid w:val="00F65F4E"/>
    <w:rsid w:val="00F6739C"/>
    <w:rsid w:val="00F7055D"/>
    <w:rsid w:val="00F859B9"/>
    <w:rsid w:val="00F866EE"/>
    <w:rsid w:val="00F9407E"/>
    <w:rsid w:val="00F95CBB"/>
    <w:rsid w:val="00FA178F"/>
    <w:rsid w:val="00FA31D2"/>
    <w:rsid w:val="00FA515C"/>
    <w:rsid w:val="00FB184D"/>
    <w:rsid w:val="00FB1FB8"/>
    <w:rsid w:val="00FC58DF"/>
    <w:rsid w:val="00FD0C51"/>
    <w:rsid w:val="00FD4E3C"/>
    <w:rsid w:val="00FD7EE8"/>
    <w:rsid w:val="00FE24DD"/>
    <w:rsid w:val="00FE4095"/>
    <w:rsid w:val="00FE7589"/>
    <w:rsid w:val="00FE7D45"/>
    <w:rsid w:val="00FF149E"/>
    <w:rsid w:val="00FF4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7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76D76"/>
    <w:rPr>
      <w:rFonts w:ascii="Verdana" w:hAnsi="Verdana"/>
      <w:b/>
      <w:bCs/>
      <w:color w:val="996666"/>
      <w:sz w:val="20"/>
      <w:szCs w:val="20"/>
    </w:rPr>
  </w:style>
  <w:style w:type="table" w:styleId="TableGrid">
    <w:name w:val="Table Grid"/>
    <w:basedOn w:val="TableNormal"/>
    <w:uiPriority w:val="39"/>
    <w:rsid w:val="00BB3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A4281"/>
    <w:pPr>
      <w:tabs>
        <w:tab w:val="center" w:pos="4320"/>
        <w:tab w:val="right" w:pos="8640"/>
      </w:tabs>
    </w:pPr>
  </w:style>
  <w:style w:type="character" w:styleId="PageNumber">
    <w:name w:val="page number"/>
    <w:basedOn w:val="DefaultParagraphFont"/>
    <w:rsid w:val="00DA4281"/>
  </w:style>
  <w:style w:type="paragraph" w:styleId="Header">
    <w:name w:val="header"/>
    <w:basedOn w:val="Normal"/>
    <w:rsid w:val="00DA4281"/>
    <w:pPr>
      <w:tabs>
        <w:tab w:val="center" w:pos="4320"/>
        <w:tab w:val="right" w:pos="8640"/>
      </w:tabs>
    </w:pPr>
  </w:style>
  <w:style w:type="paragraph" w:styleId="FootnoteText">
    <w:name w:val="footnote text"/>
    <w:basedOn w:val="Normal"/>
    <w:link w:val="FootnoteTextChar"/>
    <w:rsid w:val="00683335"/>
    <w:rPr>
      <w:sz w:val="20"/>
      <w:szCs w:val="20"/>
    </w:rPr>
  </w:style>
  <w:style w:type="character" w:styleId="FootnoteReference">
    <w:name w:val="footnote reference"/>
    <w:semiHidden/>
    <w:rsid w:val="00683335"/>
    <w:rPr>
      <w:vertAlign w:val="superscript"/>
    </w:rPr>
  </w:style>
  <w:style w:type="paragraph" w:styleId="BalloonText">
    <w:name w:val="Balloon Text"/>
    <w:basedOn w:val="Normal"/>
    <w:semiHidden/>
    <w:rsid w:val="00BB5786"/>
    <w:rPr>
      <w:rFonts w:ascii="Tahoma" w:hAnsi="Tahoma" w:cs="Tahoma"/>
      <w:sz w:val="16"/>
      <w:szCs w:val="16"/>
    </w:rPr>
  </w:style>
  <w:style w:type="character" w:styleId="Hyperlink">
    <w:name w:val="Hyperlink"/>
    <w:rsid w:val="00FE24DD"/>
    <w:rPr>
      <w:color w:val="0000FF"/>
      <w:u w:val="single"/>
    </w:rPr>
  </w:style>
  <w:style w:type="paragraph" w:styleId="ListParagraph">
    <w:name w:val="List Paragraph"/>
    <w:basedOn w:val="Normal"/>
    <w:link w:val="ListParagraphChar"/>
    <w:uiPriority w:val="34"/>
    <w:qFormat/>
    <w:rsid w:val="00FE24DD"/>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rsid w:val="00037C56"/>
    <w:rPr>
      <w:lang w:val="en-US" w:eastAsia="en-US"/>
    </w:rPr>
  </w:style>
  <w:style w:type="character" w:customStyle="1" w:styleId="ListParagraphChar">
    <w:name w:val="List Paragraph Char"/>
    <w:link w:val="ListParagraph"/>
    <w:uiPriority w:val="34"/>
    <w:rsid w:val="00037C56"/>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6413943">
      <w:bodyDiv w:val="1"/>
      <w:marLeft w:val="0"/>
      <w:marRight w:val="0"/>
      <w:marTop w:val="0"/>
      <w:marBottom w:val="0"/>
      <w:divBdr>
        <w:top w:val="none" w:sz="0" w:space="0" w:color="auto"/>
        <w:left w:val="none" w:sz="0" w:space="0" w:color="auto"/>
        <w:bottom w:val="none" w:sz="0" w:space="0" w:color="auto"/>
        <w:right w:val="none" w:sz="0" w:space="0" w:color="auto"/>
      </w:divBdr>
    </w:div>
    <w:div w:id="588198997">
      <w:bodyDiv w:val="1"/>
      <w:marLeft w:val="0"/>
      <w:marRight w:val="0"/>
      <w:marTop w:val="0"/>
      <w:marBottom w:val="0"/>
      <w:divBdr>
        <w:top w:val="none" w:sz="0" w:space="0" w:color="auto"/>
        <w:left w:val="none" w:sz="0" w:space="0" w:color="auto"/>
        <w:bottom w:val="none" w:sz="0" w:space="0" w:color="auto"/>
        <w:right w:val="none" w:sz="0" w:space="0" w:color="auto"/>
      </w:divBdr>
    </w:div>
    <w:div w:id="790124564">
      <w:bodyDiv w:val="1"/>
      <w:marLeft w:val="0"/>
      <w:marRight w:val="0"/>
      <w:marTop w:val="0"/>
      <w:marBottom w:val="0"/>
      <w:divBdr>
        <w:top w:val="none" w:sz="0" w:space="0" w:color="auto"/>
        <w:left w:val="none" w:sz="0" w:space="0" w:color="auto"/>
        <w:bottom w:val="none" w:sz="0" w:space="0" w:color="auto"/>
        <w:right w:val="none" w:sz="0" w:space="0" w:color="auto"/>
      </w:divBdr>
    </w:div>
    <w:div w:id="1148667462">
      <w:bodyDiv w:val="1"/>
      <w:marLeft w:val="0"/>
      <w:marRight w:val="0"/>
      <w:marTop w:val="0"/>
      <w:marBottom w:val="0"/>
      <w:divBdr>
        <w:top w:val="none" w:sz="0" w:space="0" w:color="auto"/>
        <w:left w:val="none" w:sz="0" w:space="0" w:color="auto"/>
        <w:bottom w:val="none" w:sz="0" w:space="0" w:color="auto"/>
        <w:right w:val="none" w:sz="0" w:space="0" w:color="auto"/>
      </w:divBdr>
    </w:div>
    <w:div w:id="13731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mmzt0sRxxEIo4MqDohrFwz2TD/o=</DigestValue>
    </Reference>
    <Reference URI="#idOfficeObject" Type="http://www.w3.org/2000/09/xmldsig#Object">
      <DigestMethod Algorithm="http://www.w3.org/2000/09/xmldsig#sha1"/>
      <DigestValue>7KESuwTtE83fAKqH80lK4KPNPjo=</DigestValue>
    </Reference>
  </SignedInfo>
  <SignatureValue>
    OdZkv4I4pb/zxJmLYc/WsYIAp3TuiMQUc2z965i5L5k1fvi1nLy30rmG0tCSJivzPIGp77+r
    FHIwJ7pyt/tE7VPwWapCr6ENaTZO7Wk3t5Rh1D8C8nUfgGf+vFYtbvbk8H0cml0pPo+pyH8n
    UbO8FUw4YJFgUQYchVfRqFFuEKc=
  </SignatureValue>
  <KeyInfo>
    <KeyValue>
      <RSAKeyValue>
        <Modulus>
            y8H3iF6mQl1s7Fs+hRo00s2NpH+Qasdo0uXw157szsT6N8tr2xw400lzBGzIwvS6BmJ2enpR
            A65iA6cqiMzd6RncZB/YX5vop7v9Vr1Zhe14pkWRFhAGDEWi95uDrer9IkCKOfIBU6Q1aM+L
            pbI+bgePv8gX4GzOKFfzRDLJNsE=
          </Modulus>
        <Exponent>AQAB</Exponent>
      </RSAKeyValue>
    </KeyValue>
    <X509Data>
      <X509Certificate>
          MIIF+jCCA+KgAwIBAgIQVAEQkP0oTO9m71NICslyTjANBgkqhkiG9w0BAQUFADBpMQswCQYD
          VQQGEwJWTjETMBEGA1UEChMKVk5QVCBHcm91cDEeMBwGA1UECxMVVk5QVC1DQSBUcnVzdCBO
          ZXR3b3JrMSUwIwYDVQQDExxWTlBUIENlcnRpZmljYXRpb24gQXV0aG9yaXR5MB4XDTE0MTAz
          MTA3MjgwMFoXDTE3MTEyODE3MDAwMFowgckxCzAJBgNVBAYTAlZOMRIwEAYDVQQIDAlIw6Ag
          TuG7mWkxFzAVBgNVBAcMDkhhaSBCw6AgVHLGsG5nMS8wLQYDVQQKDCZDw5RORyBUWSBD4buU
          IFBI4bqmTiBDSOG7qE5HIEtIT8OBTiBJQjEjMCEGA1UEDAwaVHLGsOG7n25nIGJhbiBLaeG7
          g20gdG/DoW4xFzAVBgNVBAMMDkTGryBWxIJOIFRPw4BOMR4wHAYKCZImiZPyLGQBAQwOQ01O
          RDowMTI5NjQ4NzIwgZ8wDQYJKoZIhvcNAQEBBQADgY0AMIGJAoGBAMvB94hepkJdbOxbPoUa
          NNLNjaR/kGrHaNLl8Nee7M7E+jfLa9scONNJcwRsyML0ugZidnp6UQOuYgOnKojM3ekZ3GQf
          2F+b6Ke7/Va9WYXteKZFkRYQBgxFovebg63q/SJAijnyAVOkNWjPi6WyPm4Hj7/IF+BszihX
          80QyyTbBAgMBAAGjggG/MIIBuzBwBggrBgEFBQcBAQRkMGIwMgYIKwYBBQUHMAKGJmh0dHA6
          Ly9wdWIudm5wdC1jYS52bi9jZXJ0cy92bnB0Y2EuY2VyMCwGCCsGAQUFBzABhiBodHRwOi8v
          b2NzcC52bnB0LWNhLnZuL3Jlc3BvbmRlcjAdBgNVHQ4EFgQUv9DG3Ab5G6xmaBR1/VThH7l7
          oM4wDAYDVR0TAQH/BAIwADAfBgNVHSMEGDAWgBQGacDV1QKKFY1Gfel84mgKVaxqrzBoBgNV
          HSAEYTBfMF0GDisGAQQBge0DAQEDAQMCMEswIgYIKwYBBQUHAgIwFh4UAFMASQBEAC0AUABS
          AC0AMQAuADAwJQYIKwYBBQUHAgEWGWh0dHA6Ly9wdWIudm5wdC1jYS52bi9ycGEwMQYDVR0f
          BCowKDAmoCSgIoYgaHR0cDovL2NybC52bnB0LWNhLnZuL3ZucHRjYS5jcmwwDgYDVR0PAQH/
          BAQDAgTwMDQGA1UdJQQtMCsGCCsGAQUFBwMCBggrBgEFBQcDBAYKKwYBBAGCNwoDDAYJKoZI
          hvcvAQEFMBYGA1UdEQQPMA2BC2luZm9AaWJ4LnZuMA0GCSqGSIb3DQEBBQUAA4ICAQBrG381
          cMhtX5UZPri/HJ0MjoZDk6TlL+FLEWAEHEKI3wEdQav6qIu1mnGFmmMGDTU5VFQHVGRi3Vk5
          Lj+2H1pzYGbnYrv8bJ8lSMAShNzlIOtobrGmBOvoxKkQk0MK+DcZNT1xpaZeDTvXoJwbqKFC
          Q1YSqGwC6jhDc7U/odETFxIGPwPKMogR4fRZKyxepgq88jGEUdw0EqEmY61sIbgwXmyM2wNQ
          tQhbl/hrcuRl6ULxsx9fETDh3ZQSHrnrx4It4nd3l2GHJMRQfte202tWapnbItKHgbnDwSQq
          MuCf+2js3fi4Pfg9JTn4iEP6C11B+I3Vtwfj3CWZ1Nm81xhUyl7Purgs6FBBpKugsNnt1zfG
          +h3IKkBnPZJReAXWQ/Lw7aGyZsW4fIAt0cyEc6VYK0GQwIKVNyisY6E2Lieanly8MFD9b9L1
          kLmrFsajjZaHdX3e7o7IH0plf8MVgEft9H2QCqzGNZE/iGlBEavd3oAT+RkRqB0DCvTiExKn
          w7zVXNE16PrZJ/rQnyZInCWQTwPeOmtwuuZb8qvIsaBhx8FElre/yTpz9594CEaMxYC7J69N
          Umb8cQhMuU+4+t8ByzONkF7ha6JN+ahzSCl/Wz+omTqakmQbwbnX6DFlhqev1XzKJUOmCxhX
          niYoQ3Q3Wc1yvD5iPBCyydfJ841wEg==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ukJvIGDiFgg1oQIgw6D8rAk4V58=</DigestValue>
      </Reference>
      <Reference URI="/word/endnotes.xml?ContentType=application/vnd.openxmlformats-officedocument.wordprocessingml.endnotes+xml">
        <DigestMethod Algorithm="http://www.w3.org/2000/09/xmldsig#sha1"/>
        <DigestValue>zXYiRyyotYgcz6YHZU8BOmy/R/0=</DigestValue>
      </Reference>
      <Reference URI="/word/fontTable.xml?ContentType=application/vnd.openxmlformats-officedocument.wordprocessingml.fontTable+xml">
        <DigestMethod Algorithm="http://www.w3.org/2000/09/xmldsig#sha1"/>
        <DigestValue>S2ginxcGXsZkEb4qkPEGEJiqXbA=</DigestValue>
      </Reference>
      <Reference URI="/word/footer1.xml?ContentType=application/vnd.openxmlformats-officedocument.wordprocessingml.footer+xml">
        <DigestMethod Algorithm="http://www.w3.org/2000/09/xmldsig#sha1"/>
        <DigestValue>56873gTyuiVVsmXLBMCi7nddN7U=</DigestValue>
      </Reference>
      <Reference URI="/word/footer2.xml?ContentType=application/vnd.openxmlformats-officedocument.wordprocessingml.footer+xml">
        <DigestMethod Algorithm="http://www.w3.org/2000/09/xmldsig#sha1"/>
        <DigestValue>3UTZHy+yzvfdEqERCCHherg1msE=</DigestValue>
      </Reference>
      <Reference URI="/word/footnotes.xml?ContentType=application/vnd.openxmlformats-officedocument.wordprocessingml.footnotes+xml">
        <DigestMethod Algorithm="http://www.w3.org/2000/09/xmldsig#sha1"/>
        <DigestValue>0buHXmezouioOZWi/n+uVsYoK8U=</DigestValue>
      </Reference>
      <Reference URI="/word/numbering.xml?ContentType=application/vnd.openxmlformats-officedocument.wordprocessingml.numbering+xml">
        <DigestMethod Algorithm="http://www.w3.org/2000/09/xmldsig#sha1"/>
        <DigestValue>0vV0kopry1evE5jqH4z+aqo7OYs=</DigestValue>
      </Reference>
      <Reference URI="/word/settings.xml?ContentType=application/vnd.openxmlformats-officedocument.wordprocessingml.settings+xml">
        <DigestMethod Algorithm="http://www.w3.org/2000/09/xmldsig#sha1"/>
        <DigestValue>6d25k2iUMhH94WjZ+QsYDK+yImY=</DigestValue>
      </Reference>
      <Reference URI="/word/styles.xml?ContentType=application/vnd.openxmlformats-officedocument.wordprocessingml.styles+xml">
        <DigestMethod Algorithm="http://www.w3.org/2000/09/xmldsig#sha1"/>
        <DigestValue>nblhy9db6lPj36nUDsyokYBXpj0=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z144ArNaFM/mmPuAY3jn/DPvciE=</DigestValue>
      </Reference>
    </Manifest>
    <SignatureProperties>
      <SignatureProperty Id="idSignatureTime" Target="#idPackageSignature">
        <mdssi:SignatureTime>
          <mdssi:Format>YYYY-MM-DDThh:mm:ssTZD</mdssi:Format>
          <mdssi:Value>2015-04-02T04:46:01Z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28673-62D7-4602-AB90-BE5A4060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ĐẠI HỘI ĐỒNG CỔ ĐÔNG</vt:lpstr>
    </vt:vector>
  </TitlesOfParts>
  <Company>VCBS-NET</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HỘI ĐỒNG CỔ ĐÔNG</dc:title>
  <dc:creator>HTVAN-VCBS</dc:creator>
  <cp:lastModifiedBy>Du Van Toan</cp:lastModifiedBy>
  <cp:revision>2</cp:revision>
  <cp:lastPrinted>2015-03-26T09:51:00Z</cp:lastPrinted>
  <dcterms:created xsi:type="dcterms:W3CDTF">2015-04-02T04:40:00Z</dcterms:created>
  <dcterms:modified xsi:type="dcterms:W3CDTF">2015-04-02T04:40:00Z</dcterms:modified>
</cp:coreProperties>
</file>