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Look w:val="04A0"/>
      </w:tblPr>
      <w:tblGrid>
        <w:gridCol w:w="3402"/>
        <w:gridCol w:w="5670"/>
      </w:tblGrid>
      <w:tr w:rsidR="00686DDC" w:rsidRPr="00725DCE" w:rsidTr="00195616">
        <w:tc>
          <w:tcPr>
            <w:tcW w:w="3402" w:type="dxa"/>
          </w:tcPr>
          <w:p w:rsidR="00686DDC" w:rsidRPr="00F866DB" w:rsidRDefault="00686DDC" w:rsidP="007E6BB1">
            <w:pPr>
              <w:widowControl w:val="0"/>
              <w:spacing w:before="0" w:after="0" w:line="240" w:lineRule="auto"/>
              <w:jc w:val="center"/>
              <w:rPr>
                <w:rFonts w:ascii="Times New Roman" w:hAnsi="Times New Roman" w:cs="Times New Roman"/>
                <w:b/>
                <w:sz w:val="24"/>
                <w:szCs w:val="24"/>
              </w:rPr>
            </w:pPr>
            <w:r w:rsidRPr="00F866DB">
              <w:rPr>
                <w:rFonts w:ascii="Times New Roman" w:hAnsi="Times New Roman" w:cs="Times New Roman"/>
                <w:b/>
                <w:sz w:val="24"/>
                <w:szCs w:val="24"/>
                <w:lang w:val="vi-VN"/>
              </w:rPr>
              <w:t>C</w:t>
            </w:r>
            <w:r w:rsidRPr="00F866DB">
              <w:rPr>
                <w:rFonts w:ascii="Times New Roman" w:hAnsi="Times New Roman" w:cs="Times New Roman"/>
                <w:b/>
                <w:sz w:val="24"/>
                <w:szCs w:val="24"/>
              </w:rPr>
              <w:t>ÔNG TY CỔ PHẦN</w:t>
            </w:r>
          </w:p>
          <w:p w:rsidR="00686DDC" w:rsidRPr="00F866DB" w:rsidRDefault="00686DDC" w:rsidP="007E6BB1">
            <w:pPr>
              <w:widowControl w:val="0"/>
              <w:spacing w:before="0" w:after="0" w:line="240" w:lineRule="auto"/>
              <w:jc w:val="center"/>
              <w:rPr>
                <w:rFonts w:ascii="Times New Roman" w:hAnsi="Times New Roman" w:cs="Times New Roman"/>
                <w:b/>
                <w:sz w:val="24"/>
                <w:szCs w:val="24"/>
              </w:rPr>
            </w:pPr>
            <w:r w:rsidRPr="00F866DB">
              <w:rPr>
                <w:rFonts w:ascii="Times New Roman" w:hAnsi="Times New Roman" w:cs="Times New Roman"/>
                <w:b/>
                <w:sz w:val="24"/>
                <w:szCs w:val="24"/>
              </w:rPr>
              <w:t>CHỨNG KHOÁN IB</w:t>
            </w:r>
          </w:p>
          <w:p w:rsidR="00686DDC" w:rsidRPr="00F866DB" w:rsidRDefault="00686DDC" w:rsidP="007E6BB1">
            <w:pPr>
              <w:widowControl w:val="0"/>
              <w:spacing w:before="0" w:after="0" w:line="240" w:lineRule="auto"/>
              <w:jc w:val="center"/>
              <w:rPr>
                <w:rFonts w:ascii="Times New Roman" w:hAnsi="Times New Roman" w:cs="Times New Roman"/>
                <w:sz w:val="24"/>
                <w:szCs w:val="24"/>
              </w:rPr>
            </w:pPr>
            <w:r w:rsidRPr="00F866DB">
              <w:rPr>
                <w:rFonts w:ascii="Times New Roman" w:hAnsi="Times New Roman" w:cs="Times New Roman"/>
                <w:sz w:val="24"/>
                <w:szCs w:val="24"/>
              </w:rPr>
              <w:t>----------------------------</w:t>
            </w:r>
          </w:p>
          <w:p w:rsidR="00686DDC" w:rsidRPr="00F866DB" w:rsidRDefault="00686DDC" w:rsidP="00BC1F52">
            <w:pPr>
              <w:widowControl w:val="0"/>
              <w:spacing w:before="0" w:after="0" w:line="240" w:lineRule="auto"/>
              <w:jc w:val="center"/>
              <w:rPr>
                <w:rFonts w:ascii="Times New Roman" w:hAnsi="Times New Roman" w:cs="Times New Roman"/>
                <w:sz w:val="24"/>
                <w:szCs w:val="24"/>
              </w:rPr>
            </w:pPr>
            <w:r w:rsidRPr="00F866DB">
              <w:rPr>
                <w:rFonts w:ascii="Times New Roman" w:hAnsi="Times New Roman" w:cs="Times New Roman"/>
                <w:sz w:val="24"/>
                <w:szCs w:val="24"/>
                <w:lang w:val="vi-VN"/>
              </w:rPr>
              <w:t xml:space="preserve">Số: </w:t>
            </w:r>
            <w:r w:rsidR="00A818C5">
              <w:rPr>
                <w:rFonts w:ascii="Times New Roman" w:hAnsi="Times New Roman" w:cs="Times New Roman"/>
                <w:sz w:val="24"/>
                <w:szCs w:val="24"/>
              </w:rPr>
              <w:t xml:space="preserve"> </w:t>
            </w:r>
            <w:r w:rsidR="00BC1F52">
              <w:rPr>
                <w:rFonts w:ascii="Times New Roman" w:hAnsi="Times New Roman" w:cs="Times New Roman"/>
                <w:sz w:val="24"/>
                <w:szCs w:val="24"/>
              </w:rPr>
              <w:t>01</w:t>
            </w:r>
            <w:r w:rsidR="00A818C5">
              <w:rPr>
                <w:rFonts w:ascii="Times New Roman" w:hAnsi="Times New Roman" w:cs="Times New Roman"/>
                <w:sz w:val="24"/>
                <w:szCs w:val="24"/>
              </w:rPr>
              <w:t xml:space="preserve">  </w:t>
            </w:r>
            <w:r w:rsidRPr="00F866DB">
              <w:rPr>
                <w:rFonts w:ascii="Times New Roman" w:hAnsi="Times New Roman" w:cs="Times New Roman"/>
                <w:sz w:val="24"/>
                <w:szCs w:val="24"/>
                <w:lang w:val="vi-VN"/>
              </w:rPr>
              <w:t>/201</w:t>
            </w:r>
            <w:r w:rsidRPr="00F866DB">
              <w:rPr>
                <w:rFonts w:ascii="Times New Roman" w:hAnsi="Times New Roman" w:cs="Times New Roman"/>
                <w:sz w:val="24"/>
                <w:szCs w:val="24"/>
              </w:rPr>
              <w:t>5</w:t>
            </w:r>
            <w:r w:rsidRPr="00F866DB">
              <w:rPr>
                <w:rFonts w:ascii="Times New Roman" w:hAnsi="Times New Roman" w:cs="Times New Roman"/>
                <w:sz w:val="24"/>
                <w:szCs w:val="24"/>
                <w:lang w:val="vi-VN"/>
              </w:rPr>
              <w:t>/BC-</w:t>
            </w:r>
            <w:r w:rsidR="005D1E45" w:rsidRPr="00F866DB">
              <w:rPr>
                <w:rFonts w:ascii="Times New Roman" w:hAnsi="Times New Roman" w:cs="Times New Roman"/>
                <w:sz w:val="24"/>
                <w:szCs w:val="24"/>
              </w:rPr>
              <w:t>HĐQT</w:t>
            </w:r>
            <w:r w:rsidR="00C34701" w:rsidRPr="00F866DB">
              <w:rPr>
                <w:rFonts w:ascii="Times New Roman" w:hAnsi="Times New Roman" w:cs="Times New Roman"/>
                <w:sz w:val="24"/>
                <w:szCs w:val="24"/>
              </w:rPr>
              <w:t>- IBSC</w:t>
            </w:r>
          </w:p>
        </w:tc>
        <w:tc>
          <w:tcPr>
            <w:tcW w:w="5670" w:type="dxa"/>
          </w:tcPr>
          <w:p w:rsidR="00686DDC" w:rsidRPr="00F866DB" w:rsidRDefault="00686DDC" w:rsidP="007E6BB1">
            <w:pPr>
              <w:widowControl w:val="0"/>
              <w:spacing w:before="0" w:after="0" w:line="240" w:lineRule="auto"/>
              <w:jc w:val="center"/>
              <w:rPr>
                <w:rFonts w:ascii="Times New Roman" w:hAnsi="Times New Roman" w:cs="Times New Roman"/>
                <w:b/>
                <w:sz w:val="24"/>
                <w:szCs w:val="24"/>
                <w:lang w:val="vi-VN"/>
              </w:rPr>
            </w:pPr>
            <w:r w:rsidRPr="00F866DB">
              <w:rPr>
                <w:rFonts w:ascii="Times New Roman" w:hAnsi="Times New Roman" w:cs="Times New Roman"/>
                <w:b/>
                <w:sz w:val="24"/>
                <w:szCs w:val="24"/>
                <w:lang w:val="vi-VN"/>
              </w:rPr>
              <w:t>CỘNG HÒA XÃ HỘI CHỦ NGHĨA VIỆT NAM</w:t>
            </w:r>
          </w:p>
          <w:p w:rsidR="00686DDC" w:rsidRPr="00F866DB" w:rsidRDefault="00686DDC" w:rsidP="007E6BB1">
            <w:pPr>
              <w:widowControl w:val="0"/>
              <w:spacing w:before="0" w:after="0" w:line="240" w:lineRule="auto"/>
              <w:jc w:val="center"/>
              <w:rPr>
                <w:rFonts w:ascii="Times New Roman" w:hAnsi="Times New Roman" w:cs="Times New Roman"/>
                <w:b/>
                <w:sz w:val="24"/>
                <w:szCs w:val="24"/>
                <w:lang w:val="vi-VN"/>
              </w:rPr>
            </w:pPr>
            <w:r w:rsidRPr="00F866DB">
              <w:rPr>
                <w:rFonts w:ascii="Times New Roman" w:hAnsi="Times New Roman" w:cs="Times New Roman"/>
                <w:b/>
                <w:sz w:val="24"/>
                <w:szCs w:val="24"/>
                <w:lang w:val="vi-VN"/>
              </w:rPr>
              <w:t>Độc lập – Tự do – Hạnh phúc</w:t>
            </w:r>
          </w:p>
          <w:p w:rsidR="00686DDC" w:rsidRPr="00F866DB" w:rsidRDefault="00686DDC" w:rsidP="007E6BB1">
            <w:pPr>
              <w:widowControl w:val="0"/>
              <w:spacing w:before="0" w:after="0" w:line="240" w:lineRule="auto"/>
              <w:jc w:val="center"/>
              <w:rPr>
                <w:rFonts w:ascii="Times New Roman" w:hAnsi="Times New Roman" w:cs="Times New Roman"/>
                <w:sz w:val="24"/>
                <w:szCs w:val="24"/>
                <w:lang w:val="vi-VN"/>
              </w:rPr>
            </w:pPr>
            <w:r w:rsidRPr="00F866DB">
              <w:rPr>
                <w:rFonts w:ascii="Times New Roman" w:hAnsi="Times New Roman" w:cs="Times New Roman"/>
                <w:sz w:val="24"/>
                <w:szCs w:val="24"/>
                <w:lang w:val="vi-VN"/>
              </w:rPr>
              <w:t>-----------------------</w:t>
            </w:r>
          </w:p>
          <w:p w:rsidR="00686DDC" w:rsidRPr="00F866DB" w:rsidRDefault="00686DDC" w:rsidP="00865166">
            <w:pPr>
              <w:widowControl w:val="0"/>
              <w:spacing w:before="0" w:after="0" w:line="240" w:lineRule="auto"/>
              <w:jc w:val="right"/>
              <w:rPr>
                <w:rFonts w:ascii="Times New Roman" w:hAnsi="Times New Roman" w:cs="Times New Roman"/>
                <w:sz w:val="24"/>
                <w:szCs w:val="24"/>
                <w:lang w:val="vi-VN"/>
              </w:rPr>
            </w:pPr>
            <w:r w:rsidRPr="00F866DB">
              <w:rPr>
                <w:rFonts w:ascii="Times New Roman" w:hAnsi="Times New Roman" w:cs="Times New Roman"/>
                <w:i/>
                <w:sz w:val="24"/>
                <w:szCs w:val="24"/>
                <w:lang w:val="vi-VN"/>
              </w:rPr>
              <w:t xml:space="preserve">Hà Nội, ngày </w:t>
            </w:r>
            <w:r w:rsidR="00A818C5">
              <w:rPr>
                <w:rFonts w:ascii="Times New Roman" w:hAnsi="Times New Roman" w:cs="Times New Roman"/>
                <w:i/>
                <w:sz w:val="24"/>
                <w:szCs w:val="24"/>
              </w:rPr>
              <w:t xml:space="preserve">28 </w:t>
            </w:r>
            <w:r w:rsidRPr="00F866DB">
              <w:rPr>
                <w:rFonts w:ascii="Times New Roman" w:hAnsi="Times New Roman" w:cs="Times New Roman"/>
                <w:i/>
                <w:sz w:val="24"/>
                <w:szCs w:val="24"/>
                <w:lang w:val="vi-VN"/>
              </w:rPr>
              <w:t xml:space="preserve"> tháng </w:t>
            </w:r>
            <w:r w:rsidR="00F866DB" w:rsidRPr="00F866DB">
              <w:rPr>
                <w:rFonts w:ascii="Times New Roman" w:hAnsi="Times New Roman" w:cs="Times New Roman"/>
                <w:i/>
                <w:sz w:val="24"/>
                <w:szCs w:val="24"/>
                <w:lang w:val="vi-VN"/>
              </w:rPr>
              <w:t>03</w:t>
            </w:r>
            <w:r w:rsidRPr="00F866DB">
              <w:rPr>
                <w:rFonts w:ascii="Times New Roman" w:hAnsi="Times New Roman" w:cs="Times New Roman"/>
                <w:i/>
                <w:sz w:val="24"/>
                <w:szCs w:val="24"/>
                <w:lang w:val="vi-VN"/>
              </w:rPr>
              <w:t xml:space="preserve"> năm 2015</w:t>
            </w:r>
          </w:p>
        </w:tc>
      </w:tr>
    </w:tbl>
    <w:p w:rsidR="007C2436" w:rsidRDefault="007C2436" w:rsidP="007E6BB1">
      <w:pPr>
        <w:widowControl w:val="0"/>
        <w:spacing w:before="100" w:beforeAutospacing="1" w:after="100" w:afterAutospacing="1" w:line="240" w:lineRule="auto"/>
        <w:jc w:val="center"/>
        <w:rPr>
          <w:rFonts w:ascii="Times New Roman" w:hAnsi="Times New Roman" w:cs="Times New Roman"/>
          <w:b/>
          <w:sz w:val="28"/>
          <w:szCs w:val="28"/>
          <w:lang w:val="vi-VN"/>
        </w:rPr>
      </w:pPr>
    </w:p>
    <w:p w:rsidR="00AE1A84" w:rsidRPr="00195616" w:rsidRDefault="00564D5F" w:rsidP="007E6BB1">
      <w:pPr>
        <w:widowControl w:val="0"/>
        <w:spacing w:before="100" w:beforeAutospacing="1" w:after="100" w:afterAutospacing="1" w:line="240" w:lineRule="auto"/>
        <w:jc w:val="center"/>
        <w:rPr>
          <w:rFonts w:ascii="Times New Roman" w:hAnsi="Times New Roman" w:cs="Times New Roman"/>
          <w:b/>
          <w:sz w:val="28"/>
          <w:szCs w:val="28"/>
          <w:lang w:val="vi-VN"/>
        </w:rPr>
      </w:pPr>
      <w:r w:rsidRPr="00195616">
        <w:rPr>
          <w:rFonts w:ascii="Times New Roman" w:hAnsi="Times New Roman" w:cs="Times New Roman"/>
          <w:b/>
          <w:sz w:val="28"/>
          <w:szCs w:val="28"/>
          <w:lang w:val="vi-VN"/>
        </w:rPr>
        <w:t>BÁO CÁO CỦA HỘI ĐỒNG QUẢN TRỊ</w:t>
      </w:r>
    </w:p>
    <w:p w:rsidR="00564D5F" w:rsidRPr="00195616" w:rsidRDefault="00564D5F" w:rsidP="007E6BB1">
      <w:pPr>
        <w:widowControl w:val="0"/>
        <w:spacing w:before="100" w:beforeAutospacing="1" w:after="100" w:afterAutospacing="1" w:line="240" w:lineRule="auto"/>
        <w:jc w:val="center"/>
        <w:rPr>
          <w:rFonts w:ascii="Times New Roman" w:hAnsi="Times New Roman" w:cs="Times New Roman"/>
          <w:b/>
          <w:sz w:val="28"/>
          <w:szCs w:val="28"/>
          <w:lang w:val="vi-VN"/>
        </w:rPr>
      </w:pPr>
      <w:r w:rsidRPr="00195616">
        <w:rPr>
          <w:rFonts w:ascii="Times New Roman" w:hAnsi="Times New Roman" w:cs="Times New Roman"/>
          <w:b/>
          <w:sz w:val="28"/>
          <w:szCs w:val="28"/>
          <w:lang w:val="vi-VN"/>
        </w:rPr>
        <w:t>TẠI ĐẠI HỘI ĐỒNG CỔ ĐÔNG THƯỜNG NIÊN NĂM 2015</w:t>
      </w:r>
    </w:p>
    <w:p w:rsidR="007C2436" w:rsidRDefault="007C2436" w:rsidP="007E6BB1">
      <w:pPr>
        <w:widowControl w:val="0"/>
        <w:spacing w:before="100" w:beforeAutospacing="1" w:after="100" w:afterAutospacing="1" w:line="240" w:lineRule="auto"/>
        <w:ind w:firstLine="567"/>
        <w:rPr>
          <w:rFonts w:ascii="Times New Roman" w:hAnsi="Times New Roman" w:cs="Times New Roman"/>
          <w:b/>
          <w:sz w:val="24"/>
          <w:szCs w:val="24"/>
          <w:u w:val="single"/>
          <w:lang w:val="vi-VN"/>
        </w:rPr>
      </w:pPr>
    </w:p>
    <w:p w:rsidR="00686DDC" w:rsidRPr="00195616" w:rsidRDefault="00686DDC" w:rsidP="007E6BB1">
      <w:pPr>
        <w:widowControl w:val="0"/>
        <w:spacing w:before="100" w:beforeAutospacing="1" w:after="100" w:afterAutospacing="1" w:line="240" w:lineRule="auto"/>
        <w:ind w:firstLine="567"/>
        <w:rPr>
          <w:rFonts w:ascii="Times New Roman" w:hAnsi="Times New Roman" w:cs="Times New Roman"/>
          <w:b/>
          <w:sz w:val="24"/>
          <w:szCs w:val="24"/>
          <w:lang w:val="vi-VN"/>
        </w:rPr>
      </w:pPr>
      <w:r w:rsidRPr="0003699F">
        <w:rPr>
          <w:rFonts w:ascii="Times New Roman" w:hAnsi="Times New Roman" w:cs="Times New Roman"/>
          <w:b/>
          <w:i/>
          <w:sz w:val="24"/>
          <w:szCs w:val="24"/>
          <w:u w:val="single"/>
          <w:lang w:val="vi-VN"/>
        </w:rPr>
        <w:t>Kính gửi</w:t>
      </w:r>
      <w:r w:rsidRPr="0003699F">
        <w:rPr>
          <w:rFonts w:ascii="Times New Roman" w:hAnsi="Times New Roman" w:cs="Times New Roman"/>
          <w:b/>
          <w:i/>
          <w:sz w:val="24"/>
          <w:szCs w:val="24"/>
          <w:lang w:val="vi-VN"/>
        </w:rPr>
        <w:t>:</w:t>
      </w:r>
      <w:r w:rsidRPr="00195616">
        <w:rPr>
          <w:rFonts w:ascii="Times New Roman" w:hAnsi="Times New Roman" w:cs="Times New Roman"/>
          <w:b/>
          <w:sz w:val="24"/>
          <w:szCs w:val="24"/>
          <w:lang w:val="vi-VN"/>
        </w:rPr>
        <w:t xml:space="preserve"> Quý vị Cổ đông Công ty Cổ phần Chứng khoán IB</w:t>
      </w:r>
    </w:p>
    <w:p w:rsidR="00686DDC" w:rsidRPr="007C2436" w:rsidRDefault="005D1E45" w:rsidP="007E6BB1">
      <w:pPr>
        <w:widowControl w:val="0"/>
        <w:tabs>
          <w:tab w:val="left" w:pos="567"/>
        </w:tabs>
        <w:spacing w:line="288" w:lineRule="auto"/>
        <w:ind w:left="567"/>
        <w:jc w:val="both"/>
        <w:rPr>
          <w:rFonts w:ascii="Times New Roman" w:hAnsi="Times New Roman" w:cs="Times New Roman"/>
          <w:sz w:val="24"/>
          <w:szCs w:val="24"/>
          <w:lang w:val="vi-VN"/>
        </w:rPr>
      </w:pPr>
      <w:r w:rsidRPr="007C2436">
        <w:rPr>
          <w:rFonts w:ascii="Times New Roman" w:hAnsi="Times New Roman" w:cs="Times New Roman"/>
          <w:sz w:val="24"/>
          <w:szCs w:val="24"/>
          <w:lang w:val="vi-VN"/>
        </w:rPr>
        <w:t>Thực hiện nhiệm vụ theo quy định của Luật Chứng Khoán, Luật Doanh nghiệp</w:t>
      </w:r>
      <w:r w:rsidR="003A5A99" w:rsidRPr="007C2436">
        <w:rPr>
          <w:rFonts w:ascii="Times New Roman" w:hAnsi="Times New Roman" w:cs="Times New Roman"/>
          <w:sz w:val="24"/>
          <w:szCs w:val="24"/>
          <w:lang w:val="vi-VN"/>
        </w:rPr>
        <w:t xml:space="preserve">, Thông tư 121/2012/TT-BTCquy định quản trị công ty đại chúng </w:t>
      </w:r>
      <w:r w:rsidRPr="007C2436">
        <w:rPr>
          <w:rFonts w:ascii="Times New Roman" w:hAnsi="Times New Roman" w:cs="Times New Roman"/>
          <w:sz w:val="24"/>
          <w:szCs w:val="24"/>
          <w:lang w:val="vi-VN"/>
        </w:rPr>
        <w:t>và Điều lệ của Công ty Cổ phần Chứng khoán IB</w:t>
      </w:r>
      <w:r w:rsidR="003A5A99" w:rsidRPr="007C2436">
        <w:rPr>
          <w:rFonts w:ascii="Times New Roman" w:hAnsi="Times New Roman" w:cs="Times New Roman"/>
          <w:sz w:val="24"/>
          <w:szCs w:val="24"/>
          <w:lang w:val="vi-VN"/>
        </w:rPr>
        <w:t xml:space="preserve">, </w:t>
      </w:r>
      <w:r w:rsidRPr="007C2436">
        <w:rPr>
          <w:rFonts w:ascii="Times New Roman" w:hAnsi="Times New Roman" w:cs="Times New Roman"/>
          <w:sz w:val="24"/>
          <w:szCs w:val="24"/>
          <w:lang w:val="vi-VN"/>
        </w:rPr>
        <w:t>Hội đồng quản trị xin trân trọng báo cáo về đánh giá thực trạng công tác quản lý kinh doanh của Công ty năm 2014 và định hướng hoạt động năm 2015 như sau:</w:t>
      </w:r>
    </w:p>
    <w:p w:rsidR="00564D5F" w:rsidRPr="00F866DB" w:rsidRDefault="00564D5F" w:rsidP="007E6BB1">
      <w:pPr>
        <w:widowControl w:val="0"/>
        <w:tabs>
          <w:tab w:val="left" w:pos="567"/>
        </w:tabs>
        <w:spacing w:line="288" w:lineRule="auto"/>
        <w:ind w:left="567" w:hanging="567"/>
        <w:jc w:val="both"/>
        <w:rPr>
          <w:rFonts w:ascii="Times New Roman" w:hAnsi="Times New Roman" w:cs="Times New Roman"/>
          <w:b/>
          <w:sz w:val="24"/>
          <w:szCs w:val="24"/>
          <w:lang w:val="vi-VN"/>
        </w:rPr>
      </w:pPr>
      <w:r w:rsidRPr="00F866DB">
        <w:rPr>
          <w:rFonts w:ascii="Times New Roman" w:hAnsi="Times New Roman" w:cs="Times New Roman"/>
          <w:b/>
          <w:sz w:val="24"/>
          <w:szCs w:val="24"/>
          <w:lang w:val="vi-VN"/>
        </w:rPr>
        <w:t>I.</w:t>
      </w:r>
      <w:r w:rsidRPr="00F866DB">
        <w:rPr>
          <w:rFonts w:ascii="Times New Roman" w:hAnsi="Times New Roman" w:cs="Times New Roman"/>
          <w:b/>
          <w:sz w:val="24"/>
          <w:szCs w:val="24"/>
          <w:lang w:val="vi-VN"/>
        </w:rPr>
        <w:tab/>
        <w:t>ĐÁNH GIÁ CỦA HỘI ĐỒNG QUẢN TRỊ VỀ HOẠT ĐỘNG CỦA CÔNG TY NĂM 2014</w:t>
      </w:r>
    </w:p>
    <w:p w:rsidR="00564D5F" w:rsidRPr="00F866DB" w:rsidRDefault="00564D5F" w:rsidP="007E6BB1">
      <w:pPr>
        <w:widowControl w:val="0"/>
        <w:tabs>
          <w:tab w:val="left" w:pos="567"/>
        </w:tabs>
        <w:spacing w:line="288" w:lineRule="auto"/>
        <w:ind w:left="567" w:hanging="567"/>
        <w:jc w:val="both"/>
        <w:rPr>
          <w:rFonts w:ascii="Times New Roman" w:hAnsi="Times New Roman" w:cs="Times New Roman"/>
          <w:b/>
          <w:sz w:val="24"/>
          <w:szCs w:val="24"/>
          <w:lang w:val="vi-VN"/>
        </w:rPr>
      </w:pPr>
      <w:r w:rsidRPr="00F866DB">
        <w:rPr>
          <w:rFonts w:ascii="Times New Roman" w:hAnsi="Times New Roman" w:cs="Times New Roman"/>
          <w:b/>
          <w:sz w:val="24"/>
          <w:szCs w:val="24"/>
          <w:lang w:val="vi-VN"/>
        </w:rPr>
        <w:t xml:space="preserve">A. </w:t>
      </w:r>
      <w:r w:rsidRPr="00F866DB">
        <w:rPr>
          <w:rFonts w:ascii="Times New Roman" w:hAnsi="Times New Roman" w:cs="Times New Roman"/>
          <w:b/>
          <w:sz w:val="24"/>
          <w:szCs w:val="24"/>
          <w:lang w:val="vi-VN"/>
        </w:rPr>
        <w:tab/>
        <w:t>ĐÁNH GIÁ CỦA HỘI ĐỒNG QUẢN TRỊ VỀ CÁC MẶT HOẠT ĐỘNG CỦA CÔNG TY</w:t>
      </w:r>
    </w:p>
    <w:p w:rsidR="00C34BF2" w:rsidRPr="00F866DB" w:rsidRDefault="00C34BF2" w:rsidP="007E6BB1">
      <w:pPr>
        <w:widowControl w:val="0"/>
        <w:tabs>
          <w:tab w:val="left" w:pos="567"/>
        </w:tabs>
        <w:spacing w:line="288" w:lineRule="auto"/>
        <w:jc w:val="both"/>
        <w:rPr>
          <w:rFonts w:ascii="Times New Roman" w:hAnsi="Times New Roman" w:cs="Times New Roman"/>
          <w:b/>
          <w:sz w:val="24"/>
          <w:szCs w:val="24"/>
          <w:lang w:val="vi-VN"/>
        </w:rPr>
      </w:pPr>
      <w:r w:rsidRPr="00F866DB">
        <w:rPr>
          <w:rFonts w:ascii="Times New Roman" w:hAnsi="Times New Roman" w:cs="Times New Roman"/>
          <w:b/>
          <w:sz w:val="24"/>
          <w:szCs w:val="24"/>
          <w:lang w:val="vi-VN"/>
        </w:rPr>
        <w:t xml:space="preserve">1. </w:t>
      </w:r>
      <w:r w:rsidRPr="00F866DB">
        <w:rPr>
          <w:rFonts w:ascii="Times New Roman" w:hAnsi="Times New Roman" w:cs="Times New Roman"/>
          <w:b/>
          <w:sz w:val="24"/>
          <w:szCs w:val="24"/>
          <w:lang w:val="vi-VN"/>
        </w:rPr>
        <w:tab/>
      </w:r>
      <w:r w:rsidR="008C64B4" w:rsidRPr="008C64B4">
        <w:rPr>
          <w:rFonts w:ascii="Times New Roman" w:hAnsi="Times New Roman" w:cs="Times New Roman"/>
          <w:b/>
          <w:sz w:val="24"/>
          <w:szCs w:val="24"/>
          <w:lang w:val="vi-VN"/>
        </w:rPr>
        <w:t>D</w:t>
      </w:r>
      <w:r w:rsidRPr="00F866DB">
        <w:rPr>
          <w:rFonts w:ascii="Times New Roman" w:hAnsi="Times New Roman" w:cs="Times New Roman"/>
          <w:b/>
          <w:sz w:val="24"/>
          <w:szCs w:val="24"/>
          <w:lang w:val="vi-VN"/>
        </w:rPr>
        <w:t>iễn biến thị trường năm 2014</w:t>
      </w:r>
    </w:p>
    <w:p w:rsidR="008F7C26" w:rsidRPr="007C2436" w:rsidRDefault="009B2CF7" w:rsidP="007E6BB1">
      <w:pPr>
        <w:widowControl w:val="0"/>
        <w:tabs>
          <w:tab w:val="left" w:pos="567"/>
        </w:tabs>
        <w:spacing w:line="288" w:lineRule="auto"/>
        <w:ind w:left="567"/>
        <w:jc w:val="both"/>
        <w:rPr>
          <w:rFonts w:ascii="Times New Roman" w:hAnsi="Times New Roman" w:cs="Times New Roman"/>
          <w:sz w:val="24"/>
          <w:szCs w:val="24"/>
          <w:lang w:val="vi-VN"/>
        </w:rPr>
      </w:pPr>
      <w:r w:rsidRPr="007C2436">
        <w:rPr>
          <w:rFonts w:ascii="Times New Roman" w:hAnsi="Times New Roman" w:cs="Times New Roman"/>
          <w:sz w:val="24"/>
          <w:szCs w:val="24"/>
          <w:lang w:val="vi-VN"/>
        </w:rPr>
        <w:t>Trong năm 2014, nền kinh tế Việt Nam đã có những chuyển biến tích cực, các chỉ số kinh tế vĩ mô đã có dấu hiệu phục hồi, điều này tác động tích cực đến thị trường chứng khoán. Thị trường chứng khoán Việ</w:t>
      </w:r>
      <w:r w:rsidR="005E210B" w:rsidRPr="007C2436">
        <w:rPr>
          <w:rFonts w:ascii="Times New Roman" w:hAnsi="Times New Roman" w:cs="Times New Roman"/>
          <w:sz w:val="24"/>
          <w:szCs w:val="24"/>
          <w:lang w:val="vi-VN"/>
        </w:rPr>
        <w:t>t Na</w:t>
      </w:r>
      <w:r w:rsidRPr="007C2436">
        <w:rPr>
          <w:rFonts w:ascii="Times New Roman" w:hAnsi="Times New Roman" w:cs="Times New Roman"/>
          <w:sz w:val="24"/>
          <w:szCs w:val="24"/>
          <w:lang w:val="vi-VN"/>
        </w:rPr>
        <w:t xml:space="preserve">m năm 2014 có diễn biến rất khả quan xét về các phương diện tốc độ tăng chỉ số, mức độ ổn định, khối lượng giao dịch và phản ánh khá rõ nét những chuyển biến tích cực trong nền kinh tế. </w:t>
      </w:r>
      <w:r w:rsidR="00E515F1" w:rsidRPr="007C2436">
        <w:rPr>
          <w:rFonts w:ascii="Times New Roman" w:hAnsi="Times New Roman" w:cs="Times New Roman"/>
          <w:sz w:val="24"/>
          <w:szCs w:val="24"/>
          <w:lang w:val="vi-VN"/>
        </w:rPr>
        <w:t>Thị trường phát triển theo chiều hướng tăng trưởng, mặc dù xen kẽ những khoảng điều chỉnh giảm. Chỉ số VN-Index cũng đã lập đỉnh tại mức điểm 640,75 (ngày 3/9</w:t>
      </w:r>
      <w:r w:rsidR="00295234" w:rsidRPr="007C2436">
        <w:rPr>
          <w:rFonts w:ascii="Times New Roman" w:hAnsi="Times New Roman" w:cs="Times New Roman"/>
          <w:sz w:val="24"/>
          <w:szCs w:val="24"/>
          <w:lang w:val="vi-VN"/>
        </w:rPr>
        <w:t>/2014</w:t>
      </w:r>
      <w:r w:rsidR="00E515F1" w:rsidRPr="007C2436">
        <w:rPr>
          <w:rFonts w:ascii="Times New Roman" w:hAnsi="Times New Roman" w:cs="Times New Roman"/>
          <w:sz w:val="24"/>
          <w:szCs w:val="24"/>
          <w:lang w:val="vi-VN"/>
        </w:rPr>
        <w:t>) sau gần 6 năm đạt được, trong khi chỉ số HNX-Index cũng đã lập đỉnh tại mức điểm 92,99 (ngày 24/3</w:t>
      </w:r>
      <w:r w:rsidR="00295234" w:rsidRPr="007C2436">
        <w:rPr>
          <w:rFonts w:ascii="Times New Roman" w:hAnsi="Times New Roman" w:cs="Times New Roman"/>
          <w:sz w:val="24"/>
          <w:szCs w:val="24"/>
          <w:lang w:val="vi-VN"/>
        </w:rPr>
        <w:t>/2014</w:t>
      </w:r>
      <w:r w:rsidR="00E515F1" w:rsidRPr="007C2436">
        <w:rPr>
          <w:rFonts w:ascii="Times New Roman" w:hAnsi="Times New Roman" w:cs="Times New Roman"/>
          <w:sz w:val="24"/>
          <w:szCs w:val="24"/>
          <w:lang w:val="vi-VN"/>
        </w:rPr>
        <w:t xml:space="preserve">) sau đúng 3 năm. Tính </w:t>
      </w:r>
      <w:r w:rsidR="00C34BF2" w:rsidRPr="007C2436">
        <w:rPr>
          <w:rFonts w:ascii="Times New Roman" w:hAnsi="Times New Roman" w:cs="Times New Roman"/>
          <w:sz w:val="24"/>
          <w:szCs w:val="24"/>
          <w:lang w:val="vi-VN"/>
        </w:rPr>
        <w:t>đến cuối năm 2014, chỉ số VNIndex đứng ở mức 545,63 điểm, tăng 8,1% và chỉ số HNX đứng ở mức 82,98 điểm, tăng 22,3% so với cuối năm 2013.</w:t>
      </w:r>
    </w:p>
    <w:p w:rsidR="00D36BFD" w:rsidRPr="007C2436" w:rsidRDefault="00D36BFD" w:rsidP="007E6BB1">
      <w:pPr>
        <w:widowControl w:val="0"/>
        <w:tabs>
          <w:tab w:val="left" w:pos="567"/>
        </w:tabs>
        <w:spacing w:line="288" w:lineRule="auto"/>
        <w:jc w:val="both"/>
        <w:rPr>
          <w:rFonts w:ascii="Times New Roman" w:hAnsi="Times New Roman" w:cs="Times New Roman"/>
          <w:b/>
          <w:sz w:val="24"/>
          <w:szCs w:val="24"/>
          <w:lang w:val="vi-VN"/>
        </w:rPr>
      </w:pPr>
      <w:r w:rsidRPr="007C2436">
        <w:rPr>
          <w:rFonts w:ascii="Times New Roman" w:hAnsi="Times New Roman" w:cs="Times New Roman"/>
          <w:b/>
          <w:sz w:val="24"/>
          <w:szCs w:val="24"/>
          <w:lang w:val="vi-VN"/>
        </w:rPr>
        <w:t>2.</w:t>
      </w:r>
      <w:r w:rsidRPr="007C2436">
        <w:rPr>
          <w:rFonts w:ascii="Times New Roman" w:hAnsi="Times New Roman" w:cs="Times New Roman"/>
          <w:b/>
          <w:sz w:val="24"/>
          <w:szCs w:val="24"/>
          <w:lang w:val="vi-VN"/>
        </w:rPr>
        <w:tab/>
      </w:r>
      <w:r w:rsidR="008C64B4" w:rsidRPr="008C64B4">
        <w:rPr>
          <w:rFonts w:ascii="Times New Roman" w:hAnsi="Times New Roman" w:cs="Times New Roman"/>
          <w:b/>
          <w:sz w:val="24"/>
          <w:szCs w:val="24"/>
          <w:lang w:val="vi-VN"/>
        </w:rPr>
        <w:t>H</w:t>
      </w:r>
      <w:r w:rsidRPr="007C2436">
        <w:rPr>
          <w:rFonts w:ascii="Times New Roman" w:hAnsi="Times New Roman" w:cs="Times New Roman"/>
          <w:b/>
          <w:sz w:val="24"/>
          <w:szCs w:val="24"/>
          <w:lang w:val="vi-VN"/>
        </w:rPr>
        <w:t>iện trạng Công ty sau Đại hội đồng cổ đông thường niên ngày 28/4/2014</w:t>
      </w:r>
    </w:p>
    <w:p w:rsidR="00D36BFD" w:rsidRPr="008C64B4" w:rsidRDefault="00D36BFD" w:rsidP="007E6BB1">
      <w:pPr>
        <w:widowControl w:val="0"/>
        <w:tabs>
          <w:tab w:val="left" w:pos="567"/>
        </w:tabs>
        <w:spacing w:line="288" w:lineRule="auto"/>
        <w:ind w:left="567"/>
        <w:jc w:val="both"/>
        <w:rPr>
          <w:rFonts w:ascii="Times New Roman" w:hAnsi="Times New Roman" w:cs="Times New Roman"/>
          <w:sz w:val="24"/>
          <w:szCs w:val="24"/>
          <w:lang w:val="vi-VN"/>
        </w:rPr>
      </w:pPr>
      <w:r w:rsidRPr="008C64B4">
        <w:rPr>
          <w:rFonts w:ascii="Times New Roman" w:hAnsi="Times New Roman" w:cs="Times New Roman"/>
          <w:sz w:val="24"/>
          <w:szCs w:val="24"/>
          <w:lang w:val="vi-VN"/>
        </w:rPr>
        <w:t>Đại hội đồng cổ đông thường niên ngày 28/4/2014 đánh dấu một mốc quan trọng trong lịch sử hình thành và phát triển của Công ty khi có sự thay đổi lớn trong cơ cấu sở hữu</w:t>
      </w:r>
      <w:r w:rsidR="00C77EEC" w:rsidRPr="008C64B4">
        <w:rPr>
          <w:rFonts w:ascii="Times New Roman" w:hAnsi="Times New Roman" w:cs="Times New Roman"/>
          <w:sz w:val="24"/>
          <w:szCs w:val="24"/>
          <w:lang w:val="vi-VN"/>
        </w:rPr>
        <w:t xml:space="preserve"> của cổ đông</w:t>
      </w:r>
      <w:r w:rsidRPr="008C64B4">
        <w:rPr>
          <w:rFonts w:ascii="Times New Roman" w:hAnsi="Times New Roman" w:cs="Times New Roman"/>
          <w:sz w:val="24"/>
          <w:szCs w:val="24"/>
          <w:lang w:val="vi-VN"/>
        </w:rPr>
        <w:t xml:space="preserve">, kéo theo sự thay đổi gần như toàn bộ </w:t>
      </w:r>
      <w:r w:rsidR="00270A3E" w:rsidRPr="008C64B4">
        <w:rPr>
          <w:rFonts w:ascii="Times New Roman" w:hAnsi="Times New Roman" w:cs="Times New Roman"/>
          <w:sz w:val="24"/>
          <w:szCs w:val="24"/>
          <w:lang w:val="vi-VN"/>
        </w:rPr>
        <w:t>Lãnh đạo cao cấp của Công ty</w:t>
      </w:r>
      <w:r w:rsidRPr="008C64B4">
        <w:rPr>
          <w:rFonts w:ascii="Times New Roman" w:hAnsi="Times New Roman" w:cs="Times New Roman"/>
          <w:sz w:val="24"/>
          <w:szCs w:val="24"/>
          <w:lang w:val="vi-VN"/>
        </w:rPr>
        <w:t xml:space="preserve">. Đồng thời, Công ty cũng đổi tên từ CTCP Chứng khoán Xuân Thành sang CTCP Chứng khoán IB, </w:t>
      </w:r>
      <w:r w:rsidR="0047566C" w:rsidRPr="008C64B4">
        <w:rPr>
          <w:rFonts w:ascii="Times New Roman" w:hAnsi="Times New Roman" w:cs="Times New Roman"/>
          <w:sz w:val="24"/>
          <w:szCs w:val="24"/>
          <w:lang w:val="vi-VN"/>
        </w:rPr>
        <w:t xml:space="preserve">thay đổi địa chỉ Trụ sở chính, </w:t>
      </w:r>
      <w:r w:rsidRPr="008C64B4">
        <w:rPr>
          <w:rFonts w:ascii="Times New Roman" w:hAnsi="Times New Roman" w:cs="Times New Roman"/>
          <w:sz w:val="24"/>
          <w:szCs w:val="24"/>
          <w:lang w:val="vi-VN"/>
        </w:rPr>
        <w:t>sửa đổi Điều lệ và thông qua Phương án phát hành cổ phiếu tăng vốn điều lệ.</w:t>
      </w:r>
    </w:p>
    <w:p w:rsidR="00F866DB" w:rsidRPr="008C64B4" w:rsidRDefault="00270A3E" w:rsidP="007E6BB1">
      <w:pPr>
        <w:widowControl w:val="0"/>
        <w:tabs>
          <w:tab w:val="left" w:pos="567"/>
        </w:tabs>
        <w:spacing w:line="288" w:lineRule="auto"/>
        <w:ind w:left="567"/>
        <w:jc w:val="both"/>
        <w:rPr>
          <w:rFonts w:ascii="Times New Roman" w:hAnsi="Times New Roman" w:cs="Times New Roman"/>
          <w:sz w:val="24"/>
          <w:szCs w:val="24"/>
          <w:lang w:val="vi-VN"/>
        </w:rPr>
      </w:pPr>
      <w:r w:rsidRPr="008C64B4">
        <w:rPr>
          <w:rFonts w:ascii="Times New Roman" w:hAnsi="Times New Roman" w:cs="Times New Roman"/>
          <w:sz w:val="24"/>
          <w:szCs w:val="24"/>
          <w:lang w:val="vi-VN"/>
        </w:rPr>
        <w:lastRenderedPageBreak/>
        <w:t>Những sự thay đổi nói trên kéo theo một khối lượng công việc rất lớn cả trong</w:t>
      </w:r>
      <w:r w:rsidR="00C77EEC" w:rsidRPr="008C64B4">
        <w:rPr>
          <w:rFonts w:ascii="Times New Roman" w:hAnsi="Times New Roman" w:cs="Times New Roman"/>
          <w:sz w:val="24"/>
          <w:szCs w:val="24"/>
          <w:lang w:val="vi-VN"/>
        </w:rPr>
        <w:t xml:space="preserve"> việc bàn giao, tiếp quản</w:t>
      </w:r>
      <w:r w:rsidRPr="008C64B4">
        <w:rPr>
          <w:rFonts w:ascii="Times New Roman" w:hAnsi="Times New Roman" w:cs="Times New Roman"/>
          <w:sz w:val="24"/>
          <w:szCs w:val="24"/>
          <w:lang w:val="vi-VN"/>
        </w:rPr>
        <w:t xml:space="preserve"> nội bộ cũng như </w:t>
      </w:r>
      <w:r w:rsidR="00C77EEC" w:rsidRPr="008C64B4">
        <w:rPr>
          <w:rFonts w:ascii="Times New Roman" w:hAnsi="Times New Roman" w:cs="Times New Roman"/>
          <w:sz w:val="24"/>
          <w:szCs w:val="24"/>
          <w:lang w:val="vi-VN"/>
        </w:rPr>
        <w:t>việc tiến hành song song</w:t>
      </w:r>
      <w:r w:rsidRPr="008C64B4">
        <w:rPr>
          <w:rFonts w:ascii="Times New Roman" w:hAnsi="Times New Roman" w:cs="Times New Roman"/>
          <w:sz w:val="24"/>
          <w:szCs w:val="24"/>
          <w:lang w:val="vi-VN"/>
        </w:rPr>
        <w:t xml:space="preserve"> các thủ tục hành chính với các cơ quan quản lý Nhà nước. Đặc biệt đối với một công ty chứng khoán, đối tượng được điều chỉnh bởi rất nhiều các quy định pháp lý có liên quan.</w:t>
      </w:r>
    </w:p>
    <w:p w:rsidR="00E97359" w:rsidRPr="008C64B4" w:rsidRDefault="00E97359" w:rsidP="007E6BB1">
      <w:pPr>
        <w:widowControl w:val="0"/>
        <w:tabs>
          <w:tab w:val="left" w:pos="567"/>
        </w:tabs>
        <w:spacing w:line="288" w:lineRule="auto"/>
        <w:jc w:val="both"/>
        <w:rPr>
          <w:rFonts w:ascii="Times New Roman" w:hAnsi="Times New Roman" w:cs="Times New Roman"/>
          <w:b/>
          <w:sz w:val="24"/>
          <w:szCs w:val="24"/>
          <w:lang w:val="vi-VN"/>
        </w:rPr>
      </w:pPr>
      <w:r w:rsidRPr="008C64B4">
        <w:rPr>
          <w:rFonts w:ascii="Times New Roman" w:hAnsi="Times New Roman" w:cs="Times New Roman"/>
          <w:b/>
          <w:sz w:val="24"/>
          <w:szCs w:val="24"/>
          <w:lang w:val="vi-VN"/>
        </w:rPr>
        <w:t>3.</w:t>
      </w:r>
      <w:r w:rsidRPr="008C64B4">
        <w:rPr>
          <w:rFonts w:ascii="Times New Roman" w:hAnsi="Times New Roman" w:cs="Times New Roman"/>
          <w:b/>
          <w:sz w:val="24"/>
          <w:szCs w:val="24"/>
          <w:lang w:val="vi-VN"/>
        </w:rPr>
        <w:tab/>
      </w:r>
      <w:r w:rsidR="008C64B4" w:rsidRPr="008C64B4">
        <w:rPr>
          <w:rFonts w:ascii="Times New Roman" w:hAnsi="Times New Roman" w:cs="Times New Roman"/>
          <w:b/>
          <w:sz w:val="24"/>
          <w:szCs w:val="24"/>
          <w:lang w:val="vi-VN"/>
        </w:rPr>
        <w:t>C</w:t>
      </w:r>
      <w:r w:rsidRPr="008C64B4">
        <w:rPr>
          <w:rFonts w:ascii="Times New Roman" w:hAnsi="Times New Roman" w:cs="Times New Roman"/>
          <w:b/>
          <w:sz w:val="24"/>
          <w:szCs w:val="24"/>
          <w:lang w:val="vi-VN"/>
        </w:rPr>
        <w:t>ông tác chỉ đạo của Hội đồng quản trị</w:t>
      </w:r>
      <w:r w:rsidR="008C64B4" w:rsidRPr="008C64B4">
        <w:rPr>
          <w:rFonts w:ascii="Times New Roman" w:hAnsi="Times New Roman" w:cs="Times New Roman"/>
          <w:b/>
          <w:sz w:val="24"/>
          <w:szCs w:val="24"/>
          <w:lang w:val="vi-VN"/>
        </w:rPr>
        <w:t xml:space="preserve"> năm 2014</w:t>
      </w:r>
    </w:p>
    <w:p w:rsidR="00FB3AC9" w:rsidRPr="008C64B4" w:rsidRDefault="00FB3AC9" w:rsidP="007E6BB1">
      <w:pPr>
        <w:widowControl w:val="0"/>
        <w:tabs>
          <w:tab w:val="left" w:pos="567"/>
        </w:tabs>
        <w:spacing w:line="288" w:lineRule="auto"/>
        <w:ind w:left="567"/>
        <w:jc w:val="both"/>
        <w:rPr>
          <w:rFonts w:ascii="Times New Roman" w:hAnsi="Times New Roman" w:cs="Times New Roman"/>
          <w:sz w:val="24"/>
          <w:szCs w:val="24"/>
          <w:lang w:val="vi-VN"/>
        </w:rPr>
      </w:pPr>
      <w:r w:rsidRPr="008C64B4">
        <w:rPr>
          <w:rFonts w:ascii="Times New Roman" w:hAnsi="Times New Roman" w:cs="Times New Roman"/>
          <w:sz w:val="24"/>
          <w:szCs w:val="24"/>
          <w:lang w:val="vi-VN"/>
        </w:rPr>
        <w:t>Thực hiện Nghị quyết Đại hội đồng cổ đông thường niên ngày 28/4/2014, Hội đồng quản trị mới của Công ty đã nhanh chóng tiếp nhận bàn giao và triển khai công việc. Để giải quyết khối lượng công việc rất lớn như trên, có những giai đoạn Hội đồng quản trị phải tổ chức họp trung bình 1 tuần một lần để kịp thời đưa ra các chỉ đạo nhằm ổ</w:t>
      </w:r>
      <w:r w:rsidR="0080716E" w:rsidRPr="008C64B4">
        <w:rPr>
          <w:rFonts w:ascii="Times New Roman" w:hAnsi="Times New Roman" w:cs="Times New Roman"/>
          <w:sz w:val="24"/>
          <w:szCs w:val="24"/>
          <w:lang w:val="vi-VN"/>
        </w:rPr>
        <w:t xml:space="preserve">n định </w:t>
      </w:r>
      <w:r w:rsidRPr="008C64B4">
        <w:rPr>
          <w:rFonts w:ascii="Times New Roman" w:hAnsi="Times New Roman" w:cs="Times New Roman"/>
          <w:sz w:val="24"/>
          <w:szCs w:val="24"/>
          <w:lang w:val="vi-VN"/>
        </w:rPr>
        <w:t xml:space="preserve">và xây dựng bộ máy tổ chức, nhân sự và cơ sở vật chất của Công ty. Đồng thời, đưa ra </w:t>
      </w:r>
      <w:r w:rsidR="0080716E" w:rsidRPr="008C64B4">
        <w:rPr>
          <w:rFonts w:ascii="Times New Roman" w:hAnsi="Times New Roman" w:cs="Times New Roman"/>
          <w:sz w:val="24"/>
          <w:szCs w:val="24"/>
          <w:lang w:val="vi-VN"/>
        </w:rPr>
        <w:t xml:space="preserve">những </w:t>
      </w:r>
      <w:r w:rsidRPr="008C64B4">
        <w:rPr>
          <w:rFonts w:ascii="Times New Roman" w:hAnsi="Times New Roman" w:cs="Times New Roman"/>
          <w:sz w:val="24"/>
          <w:szCs w:val="24"/>
          <w:lang w:val="vi-VN"/>
        </w:rPr>
        <w:t xml:space="preserve">định hướng hoạt động </w:t>
      </w:r>
      <w:r w:rsidR="0080716E" w:rsidRPr="008C64B4">
        <w:rPr>
          <w:rFonts w:ascii="Times New Roman" w:hAnsi="Times New Roman" w:cs="Times New Roman"/>
          <w:sz w:val="24"/>
          <w:szCs w:val="24"/>
          <w:lang w:val="vi-VN"/>
        </w:rPr>
        <w:t>phù hợp và các chỉ đạo đầu tư hợp lý nhằm đáp ứng kế hoạch kinh doanh mà Đại hội đồng cổ đông đã đề ra. Những chỉ đạo của Hội đồng quản trị được đánh giá là kịp thờ</w:t>
      </w:r>
      <w:r w:rsidR="00826F00" w:rsidRPr="008C64B4">
        <w:rPr>
          <w:rFonts w:ascii="Times New Roman" w:hAnsi="Times New Roman" w:cs="Times New Roman"/>
          <w:sz w:val="24"/>
          <w:szCs w:val="24"/>
          <w:lang w:val="vi-VN"/>
        </w:rPr>
        <w:t>i và</w:t>
      </w:r>
      <w:r w:rsidR="0080716E" w:rsidRPr="008C64B4">
        <w:rPr>
          <w:rFonts w:ascii="Times New Roman" w:hAnsi="Times New Roman" w:cs="Times New Roman"/>
          <w:sz w:val="24"/>
          <w:szCs w:val="24"/>
          <w:lang w:val="vi-VN"/>
        </w:rPr>
        <w:t xml:space="preserve"> chính xác, góp phần quyết định trong việc thành công của giai đoạn tái cấu trúc.</w:t>
      </w:r>
    </w:p>
    <w:p w:rsidR="00E97359" w:rsidRPr="008C64B4" w:rsidRDefault="00826F00" w:rsidP="007E6BB1">
      <w:pPr>
        <w:widowControl w:val="0"/>
        <w:tabs>
          <w:tab w:val="left" w:pos="567"/>
        </w:tabs>
        <w:spacing w:line="288" w:lineRule="auto"/>
        <w:jc w:val="both"/>
        <w:rPr>
          <w:rFonts w:ascii="Times New Roman" w:hAnsi="Times New Roman" w:cs="Times New Roman"/>
          <w:b/>
          <w:sz w:val="24"/>
          <w:szCs w:val="24"/>
          <w:lang w:val="vi-VN"/>
        </w:rPr>
      </w:pPr>
      <w:r w:rsidRPr="008C64B4">
        <w:rPr>
          <w:rFonts w:ascii="Times New Roman" w:hAnsi="Times New Roman" w:cs="Times New Roman"/>
          <w:b/>
          <w:sz w:val="24"/>
          <w:szCs w:val="24"/>
          <w:lang w:val="vi-VN"/>
        </w:rPr>
        <w:t>4.</w:t>
      </w:r>
      <w:r w:rsidRPr="008C64B4">
        <w:rPr>
          <w:rFonts w:ascii="Times New Roman" w:hAnsi="Times New Roman" w:cs="Times New Roman"/>
          <w:b/>
          <w:sz w:val="24"/>
          <w:szCs w:val="24"/>
          <w:lang w:val="vi-VN"/>
        </w:rPr>
        <w:tab/>
      </w:r>
      <w:r w:rsidR="008C64B4" w:rsidRPr="008C64B4">
        <w:rPr>
          <w:rFonts w:ascii="Times New Roman" w:hAnsi="Times New Roman" w:cs="Times New Roman"/>
          <w:b/>
          <w:sz w:val="24"/>
          <w:szCs w:val="24"/>
          <w:lang w:val="vi-VN"/>
        </w:rPr>
        <w:t>K</w:t>
      </w:r>
      <w:r w:rsidRPr="008C64B4">
        <w:rPr>
          <w:rFonts w:ascii="Times New Roman" w:hAnsi="Times New Roman" w:cs="Times New Roman"/>
          <w:b/>
          <w:sz w:val="24"/>
          <w:szCs w:val="24"/>
          <w:lang w:val="vi-VN"/>
        </w:rPr>
        <w:t>ết quả kinh doanh năm 2014</w:t>
      </w:r>
    </w:p>
    <w:p w:rsidR="00BB14BF" w:rsidRDefault="008F7C26" w:rsidP="007E6BB1">
      <w:pPr>
        <w:widowControl w:val="0"/>
        <w:tabs>
          <w:tab w:val="left" w:pos="567"/>
        </w:tabs>
        <w:spacing w:line="288" w:lineRule="auto"/>
        <w:ind w:left="567"/>
        <w:jc w:val="both"/>
        <w:rPr>
          <w:rFonts w:ascii="Times New Roman" w:hAnsi="Times New Roman" w:cs="Times New Roman"/>
          <w:sz w:val="24"/>
          <w:szCs w:val="24"/>
          <w:lang w:val="vi-VN"/>
        </w:rPr>
      </w:pPr>
      <w:r w:rsidRPr="008C64B4">
        <w:rPr>
          <w:rFonts w:ascii="Times New Roman" w:hAnsi="Times New Roman" w:cs="Times New Roman"/>
          <w:sz w:val="24"/>
          <w:szCs w:val="24"/>
          <w:lang w:val="vi-VN"/>
        </w:rPr>
        <w:t xml:space="preserve">Với những chuyển động tương đối tích cực của thị trường chứng khoán </w:t>
      </w:r>
      <w:r w:rsidR="00066943" w:rsidRPr="008C64B4">
        <w:rPr>
          <w:rFonts w:ascii="Times New Roman" w:hAnsi="Times New Roman" w:cs="Times New Roman"/>
          <w:sz w:val="24"/>
          <w:szCs w:val="24"/>
          <w:lang w:val="vi-VN"/>
        </w:rPr>
        <w:t>năm vừa qua</w:t>
      </w:r>
      <w:r w:rsidRPr="008C64B4">
        <w:rPr>
          <w:rFonts w:ascii="Times New Roman" w:hAnsi="Times New Roman" w:cs="Times New Roman"/>
          <w:sz w:val="24"/>
          <w:szCs w:val="24"/>
          <w:lang w:val="vi-VN"/>
        </w:rPr>
        <w:t xml:space="preserve"> cùng với sự tin tưởng của cổ đông cũng như nỗ lực không ngừng của tập thể IBSC đã đem đến cho IBSC kết quả kinh doanh </w:t>
      </w:r>
      <w:r w:rsidR="0087226D" w:rsidRPr="008C64B4">
        <w:rPr>
          <w:rFonts w:ascii="Times New Roman" w:hAnsi="Times New Roman" w:cs="Times New Roman"/>
          <w:sz w:val="24"/>
          <w:szCs w:val="24"/>
          <w:lang w:val="vi-VN"/>
        </w:rPr>
        <w:t>ấn tượng</w:t>
      </w:r>
      <w:r w:rsidRPr="008C64B4">
        <w:rPr>
          <w:rFonts w:ascii="Times New Roman" w:hAnsi="Times New Roman" w:cs="Times New Roman"/>
          <w:sz w:val="24"/>
          <w:szCs w:val="24"/>
          <w:lang w:val="vi-VN"/>
        </w:rPr>
        <w:t xml:space="preserve"> so với</w:t>
      </w:r>
      <w:r w:rsidR="00725DCE" w:rsidRPr="00725DCE">
        <w:rPr>
          <w:rFonts w:ascii="Times New Roman" w:hAnsi="Times New Roman" w:cs="Times New Roman"/>
          <w:sz w:val="24"/>
          <w:szCs w:val="24"/>
          <w:lang w:val="vi-VN"/>
        </w:rPr>
        <w:t xml:space="preserve"> n</w:t>
      </w:r>
      <w:r w:rsidR="00725DCE">
        <w:rPr>
          <w:rFonts w:ascii="Times New Roman" w:hAnsi="Times New Roman" w:cs="Times New Roman"/>
          <w:sz w:val="24"/>
          <w:szCs w:val="24"/>
          <w:lang w:val="vi-VN"/>
        </w:rPr>
        <w:t>ăm trước và nổi trội so với</w:t>
      </w:r>
    </w:p>
    <w:p w:rsidR="00564D5F" w:rsidRPr="008C64B4" w:rsidRDefault="008F7C26" w:rsidP="007E6BB1">
      <w:pPr>
        <w:widowControl w:val="0"/>
        <w:tabs>
          <w:tab w:val="left" w:pos="567"/>
        </w:tabs>
        <w:spacing w:line="288" w:lineRule="auto"/>
        <w:ind w:left="567"/>
        <w:jc w:val="both"/>
        <w:rPr>
          <w:rFonts w:ascii="Times New Roman" w:hAnsi="Times New Roman" w:cs="Times New Roman"/>
          <w:sz w:val="24"/>
          <w:szCs w:val="24"/>
          <w:lang w:val="vi-VN"/>
        </w:rPr>
      </w:pPr>
      <w:bookmarkStart w:id="0" w:name="_GoBack"/>
      <w:bookmarkEnd w:id="0"/>
      <w:r w:rsidRPr="008C64B4">
        <w:rPr>
          <w:rFonts w:ascii="Times New Roman" w:hAnsi="Times New Roman" w:cs="Times New Roman"/>
          <w:sz w:val="24"/>
          <w:szCs w:val="24"/>
          <w:lang w:val="vi-VN"/>
        </w:rPr>
        <w:t xml:space="preserve"> các công ty cùng ngành. Cụ thể, lợi nhuận sau thuế năm 2014 đạt hơn 79 tỷ đồng, tăng 87,03% so với năm 2013 và </w:t>
      </w:r>
      <w:r w:rsidR="00184037" w:rsidRPr="008C64B4">
        <w:rPr>
          <w:rFonts w:ascii="Times New Roman" w:hAnsi="Times New Roman" w:cs="Times New Roman"/>
          <w:sz w:val="24"/>
          <w:szCs w:val="24"/>
          <w:lang w:val="vi-VN"/>
        </w:rPr>
        <w:t xml:space="preserve">vượt </w:t>
      </w:r>
      <w:r w:rsidRPr="008C64B4">
        <w:rPr>
          <w:rFonts w:ascii="Times New Roman" w:hAnsi="Times New Roman" w:cs="Times New Roman"/>
          <w:sz w:val="24"/>
          <w:szCs w:val="24"/>
          <w:lang w:val="vi-VN"/>
        </w:rPr>
        <w:t>64,23% so với kế hoạch mà Đại hội đồng cổ đông thường niên năm 2014 đề ra.</w:t>
      </w:r>
      <w:r w:rsidR="00066943" w:rsidRPr="008C64B4">
        <w:rPr>
          <w:rFonts w:ascii="Times New Roman" w:hAnsi="Times New Roman" w:cs="Times New Roman"/>
          <w:sz w:val="24"/>
          <w:szCs w:val="24"/>
          <w:lang w:val="vi-VN"/>
        </w:rPr>
        <w:t xml:space="preserve"> Tỷ suất ROE năm 2014 đạt 22,7%, ROA đạt 21% đều cao hơn so với mức bình quân ngành (ROE bình quân ngành là 8,1%, ROA bình quân ngành là 5%).</w:t>
      </w:r>
    </w:p>
    <w:p w:rsidR="008F7C26" w:rsidRPr="00B63DD9" w:rsidRDefault="008F7C26" w:rsidP="007E6BB1">
      <w:pPr>
        <w:widowControl w:val="0"/>
        <w:tabs>
          <w:tab w:val="left" w:pos="567"/>
        </w:tabs>
        <w:spacing w:line="288" w:lineRule="auto"/>
        <w:ind w:left="567"/>
        <w:jc w:val="both"/>
        <w:rPr>
          <w:rFonts w:ascii="Times New Roman" w:hAnsi="Times New Roman" w:cs="Times New Roman"/>
          <w:sz w:val="24"/>
          <w:szCs w:val="24"/>
          <w:lang w:val="vi-VN"/>
        </w:rPr>
      </w:pPr>
      <w:r w:rsidRPr="008C64B4">
        <w:rPr>
          <w:rFonts w:ascii="Times New Roman" w:hAnsi="Times New Roman" w:cs="Times New Roman"/>
          <w:sz w:val="24"/>
          <w:szCs w:val="24"/>
          <w:lang w:val="vi-VN"/>
        </w:rPr>
        <w:t xml:space="preserve">Tính đến ngày 31/12/2014 IBSC hiện đang quản lý 15.749 tài khoản, trong đó 37 tài khoản của nhà đầu tư tổ chức. </w:t>
      </w:r>
      <w:r w:rsidRPr="00B63DD9">
        <w:rPr>
          <w:rFonts w:ascii="Times New Roman" w:hAnsi="Times New Roman" w:cs="Times New Roman"/>
          <w:sz w:val="24"/>
          <w:szCs w:val="24"/>
          <w:lang w:val="vi-VN"/>
        </w:rPr>
        <w:t>Thị phần môi giới đạt 0,049%</w:t>
      </w:r>
      <w:r w:rsidR="00184037" w:rsidRPr="00B63DD9">
        <w:rPr>
          <w:rFonts w:ascii="Times New Roman" w:hAnsi="Times New Roman" w:cs="Times New Roman"/>
          <w:sz w:val="24"/>
          <w:szCs w:val="24"/>
          <w:lang w:val="vi-VN"/>
        </w:rPr>
        <w:t>.</w:t>
      </w:r>
    </w:p>
    <w:p w:rsidR="008F7C26" w:rsidRPr="00B63DD9" w:rsidRDefault="008F7C26" w:rsidP="007E6BB1">
      <w:pPr>
        <w:widowControl w:val="0"/>
        <w:tabs>
          <w:tab w:val="left" w:pos="567"/>
        </w:tabs>
        <w:spacing w:line="288" w:lineRule="auto"/>
        <w:ind w:left="567"/>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Ngoài ra, các khối kinh doanh khác cũng phấn đấu không ngừng để đạt được những thành quả nhất định. Doanh thu Khố</w:t>
      </w:r>
      <w:r w:rsidR="002F4233" w:rsidRPr="00B63DD9">
        <w:rPr>
          <w:rFonts w:ascii="Times New Roman" w:hAnsi="Times New Roman" w:cs="Times New Roman"/>
          <w:sz w:val="24"/>
          <w:szCs w:val="24"/>
          <w:lang w:val="vi-VN"/>
        </w:rPr>
        <w:t>i IB năm 2014 đạt 3,47 tỷ đồng</w:t>
      </w:r>
      <w:r w:rsidR="00E221CD" w:rsidRPr="00B63DD9">
        <w:rPr>
          <w:rFonts w:ascii="Times New Roman" w:hAnsi="Times New Roman" w:cs="Times New Roman"/>
          <w:sz w:val="24"/>
          <w:szCs w:val="24"/>
          <w:lang w:val="vi-VN"/>
        </w:rPr>
        <w:t>. Trong khi đó Khối Tự doanh có kết quả rất nổi trội so với năm 2013 với doanh thu đạt 123,98 tỷ đồng, tăng 441,39% so với 22,9 tỷ của năm 2013.</w:t>
      </w:r>
    </w:p>
    <w:p w:rsidR="00E221CD" w:rsidRPr="00B63DD9" w:rsidRDefault="00E221CD" w:rsidP="007E6BB1">
      <w:pPr>
        <w:widowControl w:val="0"/>
        <w:tabs>
          <w:tab w:val="left" w:pos="567"/>
        </w:tabs>
        <w:spacing w:line="288" w:lineRule="auto"/>
        <w:ind w:left="567"/>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 xml:space="preserve">Song song với việc đẩy mạnh hoạt động kinh doanh để đạt và vượt kế hoạch ĐHĐCĐ thường niên ngày 28/4/2014 thông qua, IBSC vẫn luôn tích cực xây dựng môi trường kinh doanh theo tiêu chí minh bạch, đáng tin cậy và phát triển bền vững. Do vậy việc thực hiện quản trị rủi ro trong công tác quản trị công ty được nhanh chóng xây dựng. Trên cơ sở đó, IBSC đang xây dựng mô </w:t>
      </w:r>
      <w:r w:rsidR="009A162C" w:rsidRPr="00B63DD9">
        <w:rPr>
          <w:rFonts w:ascii="Times New Roman" w:hAnsi="Times New Roman" w:cs="Times New Roman"/>
          <w:sz w:val="24"/>
          <w:szCs w:val="24"/>
          <w:lang w:val="vi-VN"/>
        </w:rPr>
        <w:t xml:space="preserve">hình </w:t>
      </w:r>
      <w:r w:rsidRPr="00B63DD9">
        <w:rPr>
          <w:rFonts w:ascii="Times New Roman" w:hAnsi="Times New Roman" w:cs="Times New Roman"/>
          <w:sz w:val="24"/>
          <w:szCs w:val="24"/>
          <w:lang w:val="vi-VN"/>
        </w:rPr>
        <w:t xml:space="preserve">quản trị rủi ro cho toàn Công ty để nhận diện, đánh giá, giám sát và quản trị rủi ro phù hợp với các nguyên tắc quản trị rủi ro trong nước và quốc tế. </w:t>
      </w:r>
    </w:p>
    <w:p w:rsidR="009A162C" w:rsidRPr="00B63DD9" w:rsidRDefault="009A162C" w:rsidP="007E6BB1">
      <w:pPr>
        <w:widowControl w:val="0"/>
        <w:tabs>
          <w:tab w:val="left" w:pos="567"/>
        </w:tabs>
        <w:spacing w:line="288" w:lineRule="auto"/>
        <w:ind w:left="567" w:hanging="567"/>
        <w:jc w:val="both"/>
        <w:rPr>
          <w:rFonts w:ascii="Times New Roman" w:hAnsi="Times New Roman" w:cs="Times New Roman"/>
          <w:b/>
          <w:sz w:val="24"/>
          <w:szCs w:val="24"/>
          <w:lang w:val="vi-VN"/>
        </w:rPr>
      </w:pPr>
      <w:r w:rsidRPr="00B63DD9">
        <w:rPr>
          <w:rFonts w:ascii="Times New Roman" w:hAnsi="Times New Roman" w:cs="Times New Roman"/>
          <w:b/>
          <w:sz w:val="24"/>
          <w:szCs w:val="24"/>
          <w:lang w:val="vi-VN"/>
        </w:rPr>
        <w:t>B.</w:t>
      </w:r>
      <w:r w:rsidRPr="00B63DD9">
        <w:rPr>
          <w:rFonts w:ascii="Times New Roman" w:hAnsi="Times New Roman" w:cs="Times New Roman"/>
          <w:b/>
          <w:sz w:val="24"/>
          <w:szCs w:val="24"/>
          <w:lang w:val="vi-VN"/>
        </w:rPr>
        <w:tab/>
        <w:t>ĐÁNH GIÁ CỦA HỘI ĐỒNG QUẢN TRỊ VỀ HOẠT ĐỘNG CỦA BAN TỔNG GIÁM ĐỐC CÔNG TY</w:t>
      </w:r>
      <w:r w:rsidR="008C64B4" w:rsidRPr="00B63DD9">
        <w:rPr>
          <w:rFonts w:ascii="Times New Roman" w:hAnsi="Times New Roman" w:cs="Times New Roman"/>
          <w:b/>
          <w:sz w:val="24"/>
          <w:szCs w:val="24"/>
          <w:lang w:val="vi-VN"/>
        </w:rPr>
        <w:t xml:space="preserve"> VÀ CÁC CÁN BỘ QUẢN LÝ CỦA CÔNG TY</w:t>
      </w:r>
    </w:p>
    <w:p w:rsidR="00271C89" w:rsidRPr="00B63DD9" w:rsidRDefault="00271C89" w:rsidP="007E6BB1">
      <w:pPr>
        <w:widowControl w:val="0"/>
        <w:spacing w:line="288" w:lineRule="auto"/>
        <w:jc w:val="both"/>
        <w:rPr>
          <w:rFonts w:ascii="Times New Roman" w:hAnsi="Times New Roman" w:cs="Times New Roman"/>
          <w:b/>
          <w:sz w:val="24"/>
          <w:szCs w:val="24"/>
          <w:lang w:val="vi-VN"/>
        </w:rPr>
      </w:pPr>
      <w:r w:rsidRPr="00B63DD9">
        <w:rPr>
          <w:rFonts w:ascii="Times New Roman" w:hAnsi="Times New Roman" w:cs="Times New Roman"/>
          <w:b/>
          <w:sz w:val="24"/>
          <w:szCs w:val="24"/>
          <w:lang w:val="vi-VN"/>
        </w:rPr>
        <w:t xml:space="preserve">1.      </w:t>
      </w:r>
      <w:r w:rsidR="008C64B4" w:rsidRPr="00B63DD9">
        <w:rPr>
          <w:rFonts w:ascii="Times New Roman" w:hAnsi="Times New Roman" w:cs="Times New Roman"/>
          <w:b/>
          <w:sz w:val="24"/>
          <w:szCs w:val="24"/>
          <w:lang w:val="vi-VN"/>
        </w:rPr>
        <w:t>G</w:t>
      </w:r>
      <w:r w:rsidRPr="00B63DD9">
        <w:rPr>
          <w:rFonts w:ascii="Times New Roman" w:hAnsi="Times New Roman" w:cs="Times New Roman"/>
          <w:b/>
          <w:sz w:val="24"/>
          <w:szCs w:val="24"/>
          <w:lang w:val="vi-VN"/>
        </w:rPr>
        <w:t>iai đoạn tiếp quản sau Đại hội đồng cổ đông thường niên ngày 28/4/2014</w:t>
      </w:r>
    </w:p>
    <w:p w:rsidR="00271C89" w:rsidRPr="00B63DD9" w:rsidRDefault="00271C89" w:rsidP="007E6BB1">
      <w:pPr>
        <w:widowControl w:val="0"/>
        <w:spacing w:line="288" w:lineRule="auto"/>
        <w:ind w:left="540"/>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lastRenderedPageBreak/>
        <w:t xml:space="preserve">Thực hiện Nghị quyết của Đại hội đồng cổ đông thường niên và các Nghị quyết, Quyết định của Hội đồng quản trị liên quan đến giai đoạn tiếp quản công việc sau ngày 28/4/2014, Ban Tổng Giám đốc Công ty đã nhanh chóng và quyết liệt trực tiếp chỉ đạo toàn thể CBCNV và các bộ phận có liên quan triển khai hoàn thành các công việc theo đúng tiến độ được giao. Hội đồng quản trị đánh giá trong giai đoạn này Ban Tổng Giám đốc đã hoàn thành nhiệm vụ được giao, góp phần quan trọng trong việc </w:t>
      </w:r>
      <w:r w:rsidR="00C0753F" w:rsidRPr="00B63DD9">
        <w:rPr>
          <w:rFonts w:ascii="Times New Roman" w:hAnsi="Times New Roman" w:cs="Times New Roman"/>
          <w:sz w:val="24"/>
          <w:szCs w:val="24"/>
          <w:lang w:val="vi-VN"/>
        </w:rPr>
        <w:t>hoàn tất</w:t>
      </w:r>
      <w:r w:rsidRPr="00B63DD9">
        <w:rPr>
          <w:rFonts w:ascii="Times New Roman" w:hAnsi="Times New Roman" w:cs="Times New Roman"/>
          <w:sz w:val="24"/>
          <w:szCs w:val="24"/>
          <w:lang w:val="vi-VN"/>
        </w:rPr>
        <w:t xml:space="preserve"> công tác chuyển giao thuận lợi, đảm bảo ổn định hoạt động của Công ty.</w:t>
      </w:r>
    </w:p>
    <w:p w:rsidR="00C0753F" w:rsidRPr="00B63DD9" w:rsidRDefault="00C0753F" w:rsidP="007E6BB1">
      <w:pPr>
        <w:widowControl w:val="0"/>
        <w:spacing w:line="288" w:lineRule="auto"/>
        <w:jc w:val="both"/>
        <w:rPr>
          <w:rFonts w:ascii="Times New Roman" w:hAnsi="Times New Roman" w:cs="Times New Roman"/>
          <w:b/>
          <w:sz w:val="24"/>
          <w:szCs w:val="24"/>
          <w:lang w:val="vi-VN"/>
        </w:rPr>
      </w:pPr>
      <w:r w:rsidRPr="00B63DD9">
        <w:rPr>
          <w:rFonts w:ascii="Times New Roman" w:hAnsi="Times New Roman" w:cs="Times New Roman"/>
          <w:b/>
          <w:sz w:val="24"/>
          <w:szCs w:val="24"/>
          <w:lang w:val="vi-VN"/>
        </w:rPr>
        <w:t xml:space="preserve">2.      </w:t>
      </w:r>
      <w:r w:rsidR="008C64B4" w:rsidRPr="00B63DD9">
        <w:rPr>
          <w:rFonts w:ascii="Times New Roman" w:hAnsi="Times New Roman" w:cs="Times New Roman"/>
          <w:b/>
          <w:sz w:val="24"/>
          <w:szCs w:val="24"/>
          <w:lang w:val="vi-VN"/>
        </w:rPr>
        <w:t>G</w:t>
      </w:r>
      <w:r w:rsidRPr="00B63DD9">
        <w:rPr>
          <w:rFonts w:ascii="Times New Roman" w:hAnsi="Times New Roman" w:cs="Times New Roman"/>
          <w:b/>
          <w:sz w:val="24"/>
          <w:szCs w:val="24"/>
          <w:lang w:val="vi-VN"/>
        </w:rPr>
        <w:t>iai đoạn củng cố sau Đại hội đồng cổ đông bất thường ngày 30/8/2014</w:t>
      </w:r>
    </w:p>
    <w:p w:rsidR="00C0753F" w:rsidRPr="00B63DD9" w:rsidRDefault="003F6CC6" w:rsidP="007E6BB1">
      <w:pPr>
        <w:widowControl w:val="0"/>
        <w:spacing w:line="288" w:lineRule="auto"/>
        <w:ind w:left="567"/>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 xml:space="preserve">Sau khi hoàn tất công việc chuyển giao theo Nghị quyết Đại hội đồng cổ đông thường niên ngày 28/4/2014, IBSC bắt đầu bước vào giai đoạn mới với mục tiêu củng cố và đẩy mạnh các hoạt động kinh doanh nhằm đáp ứng yêu cầu chỉ tiêu kế hoạch đề ra. </w:t>
      </w:r>
      <w:r w:rsidR="00A00EED" w:rsidRPr="00B63DD9">
        <w:rPr>
          <w:rFonts w:ascii="Times New Roman" w:hAnsi="Times New Roman" w:cs="Times New Roman"/>
          <w:sz w:val="24"/>
          <w:szCs w:val="24"/>
          <w:lang w:val="vi-VN"/>
        </w:rPr>
        <w:t>Đứng trước tình hình</w:t>
      </w:r>
      <w:r w:rsidRPr="00B63DD9">
        <w:rPr>
          <w:rFonts w:ascii="Times New Roman" w:hAnsi="Times New Roman" w:cs="Times New Roman"/>
          <w:sz w:val="24"/>
          <w:szCs w:val="24"/>
          <w:lang w:val="vi-VN"/>
        </w:rPr>
        <w:t xml:space="preserve"> kết quả kinh doanh 6 tháng đầu năm 2014 mới đạt hơn 30% do bị ảnh hưởng bởi giai đoạn chuyển giao, Đại hội đồng cổ đông bất thường của Công ty đã tổ chức họp ngày 30/8/2014 thông qua nhiều nội dung quan trọng</w:t>
      </w:r>
      <w:r w:rsidR="00A00EED" w:rsidRPr="00B63DD9">
        <w:rPr>
          <w:rFonts w:ascii="Times New Roman" w:hAnsi="Times New Roman" w:cs="Times New Roman"/>
          <w:sz w:val="24"/>
          <w:szCs w:val="24"/>
          <w:lang w:val="vi-VN"/>
        </w:rPr>
        <w:t xml:space="preserve">, trong đó có việc thay đổi người đại diện pháp luật từ Chủ tịch HĐQT sang Tổng Giám đốc và thông qua nhiều quy trình, quy chế tạo điều kiện thuận lợi cho </w:t>
      </w:r>
      <w:r w:rsidR="00AB7293" w:rsidRPr="00B63DD9">
        <w:rPr>
          <w:rFonts w:ascii="Times New Roman" w:hAnsi="Times New Roman" w:cs="Times New Roman"/>
          <w:sz w:val="24"/>
          <w:szCs w:val="24"/>
          <w:lang w:val="vi-VN"/>
        </w:rPr>
        <w:t xml:space="preserve">Ban điều hành chủ động trong việc triển khai các </w:t>
      </w:r>
      <w:r w:rsidR="00A00EED" w:rsidRPr="00B63DD9">
        <w:rPr>
          <w:rFonts w:ascii="Times New Roman" w:hAnsi="Times New Roman" w:cs="Times New Roman"/>
          <w:sz w:val="24"/>
          <w:szCs w:val="24"/>
          <w:lang w:val="vi-VN"/>
        </w:rPr>
        <w:t>hoạt động kinh doanh của Công ty.</w:t>
      </w:r>
    </w:p>
    <w:p w:rsidR="001B3A6B" w:rsidRPr="00B63DD9" w:rsidRDefault="001B3A6B" w:rsidP="007E6BB1">
      <w:pPr>
        <w:widowControl w:val="0"/>
        <w:spacing w:line="288" w:lineRule="auto"/>
        <w:ind w:left="567"/>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Hội đồng quản trị đánh giá Ban Tổng Giám đốc</w:t>
      </w:r>
      <w:r w:rsidR="008C64B4" w:rsidRPr="00B63DD9">
        <w:rPr>
          <w:rFonts w:ascii="Times New Roman" w:hAnsi="Times New Roman" w:cs="Times New Roman"/>
          <w:sz w:val="24"/>
          <w:szCs w:val="24"/>
          <w:lang w:val="vi-VN"/>
        </w:rPr>
        <w:t xml:space="preserve"> và các cán bộ quản lý của Công ty</w:t>
      </w:r>
      <w:r w:rsidRPr="00B63DD9">
        <w:rPr>
          <w:rFonts w:ascii="Times New Roman" w:hAnsi="Times New Roman" w:cs="Times New Roman"/>
          <w:sz w:val="24"/>
          <w:szCs w:val="24"/>
          <w:lang w:val="vi-VN"/>
        </w:rPr>
        <w:t xml:space="preserve"> giai đoạn này đã đáp ứng </w:t>
      </w:r>
      <w:r w:rsidR="00113DB6" w:rsidRPr="00B63DD9">
        <w:rPr>
          <w:rFonts w:ascii="Times New Roman" w:hAnsi="Times New Roman" w:cs="Times New Roman"/>
          <w:sz w:val="24"/>
          <w:szCs w:val="24"/>
          <w:lang w:val="vi-VN"/>
        </w:rPr>
        <w:t xml:space="preserve">tốt </w:t>
      </w:r>
      <w:r w:rsidRPr="00B63DD9">
        <w:rPr>
          <w:rFonts w:ascii="Times New Roman" w:hAnsi="Times New Roman" w:cs="Times New Roman"/>
          <w:sz w:val="24"/>
          <w:szCs w:val="24"/>
          <w:lang w:val="vi-VN"/>
        </w:rPr>
        <w:t xml:space="preserve">được yêu cầu đề ra, trong đó đặc biệt là công tác ổn định và thu hút được nhiều nhân sự chất lượng, đầu tư hoàn tất văn phòng mới, lựa chọn xong đối tác triển khai dự án </w:t>
      </w:r>
      <w:r w:rsidR="001553BC" w:rsidRPr="00B63DD9">
        <w:rPr>
          <w:rFonts w:ascii="Times New Roman" w:hAnsi="Times New Roman" w:cs="Times New Roman"/>
          <w:sz w:val="24"/>
          <w:szCs w:val="24"/>
          <w:lang w:val="vi-VN"/>
        </w:rPr>
        <w:t>C</w:t>
      </w:r>
      <w:r w:rsidRPr="00B63DD9">
        <w:rPr>
          <w:rFonts w:ascii="Times New Roman" w:hAnsi="Times New Roman" w:cs="Times New Roman"/>
          <w:sz w:val="24"/>
          <w:szCs w:val="24"/>
          <w:lang w:val="vi-VN"/>
        </w:rPr>
        <w:t>ore và hoàn thành vượt mức kế hoạch kinh doanh đề ra.</w:t>
      </w:r>
    </w:p>
    <w:p w:rsidR="00024125" w:rsidRPr="00B63DD9" w:rsidRDefault="00024125" w:rsidP="007E6BB1">
      <w:pPr>
        <w:widowControl w:val="0"/>
        <w:spacing w:line="288" w:lineRule="auto"/>
        <w:jc w:val="both"/>
        <w:rPr>
          <w:rFonts w:ascii="Times New Roman" w:hAnsi="Times New Roman" w:cs="Times New Roman"/>
          <w:b/>
          <w:sz w:val="24"/>
          <w:szCs w:val="24"/>
          <w:lang w:val="vi-VN"/>
        </w:rPr>
      </w:pPr>
      <w:r w:rsidRPr="00B63DD9">
        <w:rPr>
          <w:rFonts w:ascii="Times New Roman" w:hAnsi="Times New Roman" w:cs="Times New Roman"/>
          <w:b/>
          <w:sz w:val="24"/>
          <w:szCs w:val="24"/>
          <w:lang w:val="vi-VN"/>
        </w:rPr>
        <w:t xml:space="preserve">3.      </w:t>
      </w:r>
      <w:r w:rsidR="008C64B4" w:rsidRPr="00B63DD9">
        <w:rPr>
          <w:rFonts w:ascii="Times New Roman" w:hAnsi="Times New Roman" w:cs="Times New Roman"/>
          <w:b/>
          <w:sz w:val="24"/>
          <w:szCs w:val="24"/>
          <w:lang w:val="vi-VN"/>
        </w:rPr>
        <w:t>M</w:t>
      </w:r>
      <w:r w:rsidRPr="00B63DD9">
        <w:rPr>
          <w:rFonts w:ascii="Times New Roman" w:hAnsi="Times New Roman" w:cs="Times New Roman"/>
          <w:b/>
          <w:sz w:val="24"/>
          <w:szCs w:val="24"/>
          <w:lang w:val="vi-VN"/>
        </w:rPr>
        <w:t xml:space="preserve">ột số </w:t>
      </w:r>
      <w:r w:rsidR="001A13E8" w:rsidRPr="00B63DD9">
        <w:rPr>
          <w:rFonts w:ascii="Times New Roman" w:hAnsi="Times New Roman" w:cs="Times New Roman"/>
          <w:b/>
          <w:sz w:val="24"/>
          <w:szCs w:val="24"/>
          <w:lang w:val="vi-VN"/>
        </w:rPr>
        <w:t xml:space="preserve">vấn đề còn </w:t>
      </w:r>
      <w:r w:rsidRPr="00B63DD9">
        <w:rPr>
          <w:rFonts w:ascii="Times New Roman" w:hAnsi="Times New Roman" w:cs="Times New Roman"/>
          <w:b/>
          <w:sz w:val="24"/>
          <w:szCs w:val="24"/>
          <w:lang w:val="vi-VN"/>
        </w:rPr>
        <w:t>tồn tại của Công ty</w:t>
      </w:r>
    </w:p>
    <w:p w:rsidR="00024125" w:rsidRPr="00B63DD9" w:rsidRDefault="00024125" w:rsidP="007E6BB1">
      <w:pPr>
        <w:widowControl w:val="0"/>
        <w:spacing w:line="288" w:lineRule="auto"/>
        <w:ind w:left="540"/>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 xml:space="preserve">Bên cạnh những thành tích đã đạt được, do ảnh hưởng của giai đoạn chuyển giao và tái cấu trúc, Công ty không thể tránh khỏi một số </w:t>
      </w:r>
      <w:r w:rsidR="000A3711" w:rsidRPr="00B63DD9">
        <w:rPr>
          <w:rFonts w:ascii="Times New Roman" w:hAnsi="Times New Roman" w:cs="Times New Roman"/>
          <w:sz w:val="24"/>
          <w:szCs w:val="24"/>
          <w:lang w:val="vi-VN"/>
        </w:rPr>
        <w:t>vấn đề còn tồn tại</w:t>
      </w:r>
      <w:r w:rsidRPr="00B63DD9">
        <w:rPr>
          <w:rFonts w:ascii="Times New Roman" w:hAnsi="Times New Roman" w:cs="Times New Roman"/>
          <w:sz w:val="24"/>
          <w:szCs w:val="24"/>
          <w:lang w:val="vi-VN"/>
        </w:rPr>
        <w:t>. Tại kết luận thanh tra của UBCKNN vào cuối năm 2014, Công ty đã mắc một số vi phạm hành chính liên quan đến chứng chỉ hành nghề</w:t>
      </w:r>
      <w:r w:rsidR="00A20EAD" w:rsidRPr="00B63DD9">
        <w:rPr>
          <w:rFonts w:ascii="Times New Roman" w:hAnsi="Times New Roman" w:cs="Times New Roman"/>
          <w:sz w:val="24"/>
          <w:szCs w:val="24"/>
          <w:lang w:val="vi-VN"/>
        </w:rPr>
        <w:t xml:space="preserve"> của nhân viên, giao dịch chứng khoán của khách hàng và công tác công bố thông tin. Những tồn tại này đã được Hội đồng quản trị chỉ đạo Ban Tổng Giám đốc xem xét triệt để và có giải pháp khắc phục nhằm giải quyết dứt điểm và không để tái phạm.</w:t>
      </w:r>
    </w:p>
    <w:p w:rsidR="003A20FF" w:rsidRPr="00B63DD9" w:rsidRDefault="003A20FF" w:rsidP="007E6BB1">
      <w:pPr>
        <w:widowControl w:val="0"/>
        <w:spacing w:line="288" w:lineRule="auto"/>
        <w:ind w:left="567" w:hanging="567"/>
        <w:jc w:val="both"/>
        <w:rPr>
          <w:rFonts w:ascii="Times New Roman" w:hAnsi="Times New Roman" w:cs="Times New Roman"/>
          <w:b/>
          <w:sz w:val="24"/>
          <w:szCs w:val="24"/>
          <w:lang w:val="vi-VN"/>
        </w:rPr>
      </w:pPr>
      <w:r w:rsidRPr="00B63DD9">
        <w:rPr>
          <w:rFonts w:ascii="Times New Roman" w:hAnsi="Times New Roman" w:cs="Times New Roman"/>
          <w:b/>
          <w:sz w:val="24"/>
          <w:szCs w:val="24"/>
          <w:lang w:val="vi-VN"/>
        </w:rPr>
        <w:t>4.      Đánh giá chung của HĐQT về hoạt động của Ban Tổng Giám đố</w:t>
      </w:r>
      <w:r w:rsidR="008C64B4" w:rsidRPr="00B63DD9">
        <w:rPr>
          <w:rFonts w:ascii="Times New Roman" w:hAnsi="Times New Roman" w:cs="Times New Roman"/>
          <w:b/>
          <w:sz w:val="24"/>
          <w:szCs w:val="24"/>
          <w:lang w:val="vi-VN"/>
        </w:rPr>
        <w:t>c và các cán bộ quản lý của Công ty</w:t>
      </w:r>
    </w:p>
    <w:p w:rsidR="00F866DB" w:rsidRDefault="009A162C" w:rsidP="007E6BB1">
      <w:pPr>
        <w:widowControl w:val="0"/>
        <w:spacing w:line="288" w:lineRule="auto"/>
        <w:ind w:left="567"/>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Căn cứ Điều lệ, những quy chế và quy định đã ban hành, HĐQT giao quyền cho Ban Tổng Giám đố</w:t>
      </w:r>
      <w:r w:rsidR="00B765D9" w:rsidRPr="00B63DD9">
        <w:rPr>
          <w:rFonts w:ascii="Times New Roman" w:hAnsi="Times New Roman" w:cs="Times New Roman"/>
          <w:sz w:val="24"/>
          <w:szCs w:val="24"/>
          <w:lang w:val="vi-VN"/>
        </w:rPr>
        <w:t xml:space="preserve">c </w:t>
      </w:r>
      <w:r w:rsidRPr="00B63DD9">
        <w:rPr>
          <w:rFonts w:ascii="Times New Roman" w:hAnsi="Times New Roman" w:cs="Times New Roman"/>
          <w:sz w:val="24"/>
          <w:szCs w:val="24"/>
          <w:lang w:val="vi-VN"/>
        </w:rPr>
        <w:t>quyết định công việc kinh doanh hàng ngày của Công ty</w:t>
      </w:r>
      <w:r w:rsidR="00B765D9" w:rsidRPr="00B63DD9">
        <w:rPr>
          <w:rFonts w:ascii="Times New Roman" w:hAnsi="Times New Roman" w:cs="Times New Roman"/>
          <w:sz w:val="24"/>
          <w:szCs w:val="24"/>
          <w:lang w:val="vi-VN"/>
        </w:rPr>
        <w:t>,</w:t>
      </w:r>
      <w:r w:rsidRPr="00B63DD9">
        <w:rPr>
          <w:rFonts w:ascii="Times New Roman" w:hAnsi="Times New Roman" w:cs="Times New Roman"/>
          <w:sz w:val="24"/>
          <w:szCs w:val="24"/>
          <w:lang w:val="vi-VN"/>
        </w:rPr>
        <w:t xml:space="preserve"> đồng thời tổ chức thực hiện các quyết định, kế hoạch kinh doanh và phương hướng hoạt động của HĐQT và ĐHĐCĐ giao cho. Thông qua cơ chế kiểm tra, giám sát bằng các báo cáo định kỳ về kết quả hoạt động kinh doanh, tình hình hoạt động Công ty và các báo cáo đột xuất khi có yêu cầu, HĐQT đánh giá Ban TGĐ đã thực hiện các quyền và nhiệm vụ được giao theo đúng quy định của pháp luật hiện hành, Điều lệ Công ty, </w:t>
      </w:r>
      <w:r w:rsidR="00024125" w:rsidRPr="00B63DD9">
        <w:rPr>
          <w:rFonts w:ascii="Times New Roman" w:hAnsi="Times New Roman" w:cs="Times New Roman"/>
          <w:sz w:val="24"/>
          <w:szCs w:val="24"/>
          <w:lang w:val="vi-VN"/>
        </w:rPr>
        <w:t>Q</w:t>
      </w:r>
      <w:r w:rsidRPr="00B63DD9">
        <w:rPr>
          <w:rFonts w:ascii="Times New Roman" w:hAnsi="Times New Roman" w:cs="Times New Roman"/>
          <w:sz w:val="24"/>
          <w:szCs w:val="24"/>
          <w:lang w:val="vi-VN"/>
        </w:rPr>
        <w:t>uyết định củ</w:t>
      </w:r>
      <w:r w:rsidR="00024125" w:rsidRPr="00B63DD9">
        <w:rPr>
          <w:rFonts w:ascii="Times New Roman" w:hAnsi="Times New Roman" w:cs="Times New Roman"/>
          <w:sz w:val="24"/>
          <w:szCs w:val="24"/>
          <w:lang w:val="vi-VN"/>
        </w:rPr>
        <w:t>a ĐHĐCĐ/</w:t>
      </w:r>
      <w:r w:rsidRPr="00B63DD9">
        <w:rPr>
          <w:rFonts w:ascii="Times New Roman" w:hAnsi="Times New Roman" w:cs="Times New Roman"/>
          <w:sz w:val="24"/>
          <w:szCs w:val="24"/>
          <w:lang w:val="vi-VN"/>
        </w:rPr>
        <w:t xml:space="preserve">HĐQT đồng thời thực hiện các quyền và nhiệm vụ được giao một cách trung thực, cẩn trọng đảm bảo </w:t>
      </w:r>
      <w:r w:rsidRPr="00B63DD9">
        <w:rPr>
          <w:rFonts w:ascii="Times New Roman" w:hAnsi="Times New Roman" w:cs="Times New Roman"/>
          <w:sz w:val="24"/>
          <w:szCs w:val="24"/>
          <w:lang w:val="vi-VN"/>
        </w:rPr>
        <w:lastRenderedPageBreak/>
        <w:t>lợi ích hợp pháp tối đa của Công ty và cổ đông. Theo đó</w:t>
      </w:r>
      <w:r w:rsidR="00B765D9" w:rsidRPr="00B63DD9">
        <w:rPr>
          <w:rFonts w:ascii="Times New Roman" w:hAnsi="Times New Roman" w:cs="Times New Roman"/>
          <w:sz w:val="24"/>
          <w:szCs w:val="24"/>
          <w:lang w:val="vi-VN"/>
        </w:rPr>
        <w:t>,</w:t>
      </w:r>
      <w:r w:rsidRPr="00B63DD9">
        <w:rPr>
          <w:rFonts w:ascii="Times New Roman" w:hAnsi="Times New Roman" w:cs="Times New Roman"/>
          <w:sz w:val="24"/>
          <w:szCs w:val="24"/>
          <w:lang w:val="vi-VN"/>
        </w:rPr>
        <w:t xml:space="preserve"> Ban TGĐ đã </w:t>
      </w:r>
      <w:r w:rsidR="000F0F40" w:rsidRPr="00B63DD9">
        <w:rPr>
          <w:rFonts w:ascii="Times New Roman" w:hAnsi="Times New Roman" w:cs="Times New Roman"/>
          <w:sz w:val="24"/>
          <w:szCs w:val="24"/>
          <w:lang w:val="vi-VN"/>
        </w:rPr>
        <w:t xml:space="preserve">hoàn thành </w:t>
      </w:r>
      <w:r w:rsidRPr="00B63DD9">
        <w:rPr>
          <w:rFonts w:ascii="Times New Roman" w:hAnsi="Times New Roman" w:cs="Times New Roman"/>
          <w:sz w:val="24"/>
          <w:szCs w:val="24"/>
          <w:lang w:val="vi-VN"/>
        </w:rPr>
        <w:t>vượt chỉ tiêu kế hoạch kinh doanh năm 2014 do ĐHĐCĐ phê duyệt. Đồng thời cũng thực hiện tốt việc xây dựng môi trường kinh doanh dựa trên nền tảng phát triển bền vững, nâng cao công tác quản trị Công ty, nâng cao vai trò quản trị và kiểm soát rủi ro.</w:t>
      </w:r>
    </w:p>
    <w:p w:rsidR="002C4E2D" w:rsidRPr="00B63DD9" w:rsidRDefault="002C4E2D" w:rsidP="007E6BB1">
      <w:pPr>
        <w:widowControl w:val="0"/>
        <w:tabs>
          <w:tab w:val="left" w:pos="567"/>
        </w:tabs>
        <w:spacing w:line="288" w:lineRule="auto"/>
        <w:ind w:right="73"/>
        <w:jc w:val="both"/>
        <w:rPr>
          <w:rFonts w:ascii="Times New Roman" w:hAnsi="Times New Roman" w:cs="Times New Roman"/>
          <w:b/>
          <w:sz w:val="24"/>
          <w:szCs w:val="24"/>
          <w:lang w:val="vi-VN"/>
        </w:rPr>
      </w:pPr>
      <w:r w:rsidRPr="00B63DD9">
        <w:rPr>
          <w:rFonts w:ascii="Times New Roman" w:hAnsi="Times New Roman" w:cs="Times New Roman"/>
          <w:b/>
          <w:sz w:val="24"/>
          <w:szCs w:val="24"/>
          <w:lang w:val="vi-VN"/>
        </w:rPr>
        <w:t xml:space="preserve">II. </w:t>
      </w:r>
      <w:r w:rsidRPr="00B63DD9">
        <w:rPr>
          <w:rFonts w:ascii="Times New Roman" w:hAnsi="Times New Roman" w:cs="Times New Roman"/>
          <w:b/>
          <w:sz w:val="24"/>
          <w:szCs w:val="24"/>
          <w:lang w:val="vi-VN"/>
        </w:rPr>
        <w:tab/>
        <w:t>BÁO CÁO CỦA HỘI ĐỒNG QUẢN TRỊ NĂM 2014</w:t>
      </w:r>
    </w:p>
    <w:p w:rsidR="002C4E2D" w:rsidRPr="00B63DD9" w:rsidRDefault="002C4E2D" w:rsidP="007E6BB1">
      <w:pPr>
        <w:widowControl w:val="0"/>
        <w:tabs>
          <w:tab w:val="left" w:pos="567"/>
        </w:tabs>
        <w:spacing w:line="288" w:lineRule="auto"/>
        <w:ind w:right="73"/>
        <w:jc w:val="both"/>
        <w:rPr>
          <w:rFonts w:ascii="Times New Roman" w:hAnsi="Times New Roman" w:cs="Times New Roman"/>
          <w:b/>
          <w:sz w:val="24"/>
          <w:szCs w:val="24"/>
          <w:lang w:val="vi-VN"/>
        </w:rPr>
      </w:pPr>
      <w:r w:rsidRPr="00B63DD9">
        <w:rPr>
          <w:rFonts w:ascii="Times New Roman" w:hAnsi="Times New Roman" w:cs="Times New Roman"/>
          <w:b/>
          <w:sz w:val="24"/>
          <w:szCs w:val="24"/>
          <w:lang w:val="vi-VN"/>
        </w:rPr>
        <w:t xml:space="preserve">A. </w:t>
      </w:r>
      <w:r w:rsidRPr="00B63DD9">
        <w:rPr>
          <w:rFonts w:ascii="Times New Roman" w:hAnsi="Times New Roman" w:cs="Times New Roman"/>
          <w:b/>
          <w:sz w:val="24"/>
          <w:szCs w:val="24"/>
          <w:lang w:val="vi-VN"/>
        </w:rPr>
        <w:tab/>
        <w:t>HỘI ĐỒNG QUẢN TRỊ</w:t>
      </w:r>
    </w:p>
    <w:p w:rsidR="002C4E2D" w:rsidRPr="00B63DD9" w:rsidRDefault="002C4E2D" w:rsidP="007E6BB1">
      <w:pPr>
        <w:widowControl w:val="0"/>
        <w:tabs>
          <w:tab w:val="left" w:pos="567"/>
        </w:tabs>
        <w:spacing w:line="288" w:lineRule="auto"/>
        <w:ind w:right="73"/>
        <w:jc w:val="both"/>
        <w:rPr>
          <w:rFonts w:ascii="Times New Roman" w:hAnsi="Times New Roman" w:cs="Times New Roman"/>
          <w:b/>
          <w:sz w:val="24"/>
          <w:szCs w:val="24"/>
          <w:lang w:val="vi-VN"/>
        </w:rPr>
      </w:pPr>
      <w:r w:rsidRPr="00B63DD9">
        <w:rPr>
          <w:rFonts w:ascii="Times New Roman" w:hAnsi="Times New Roman" w:cs="Times New Roman"/>
          <w:b/>
          <w:sz w:val="24"/>
          <w:szCs w:val="24"/>
          <w:lang w:val="vi-VN"/>
        </w:rPr>
        <w:t>1.</w:t>
      </w:r>
      <w:r w:rsidRPr="00B63DD9">
        <w:rPr>
          <w:rFonts w:ascii="Times New Roman" w:hAnsi="Times New Roman" w:cs="Times New Roman"/>
          <w:b/>
          <w:sz w:val="24"/>
          <w:szCs w:val="24"/>
          <w:lang w:val="vi-VN"/>
        </w:rPr>
        <w:tab/>
        <w:t>Giới thiệu Hội đồng quản trị</w:t>
      </w:r>
    </w:p>
    <w:p w:rsidR="002C4E2D" w:rsidRPr="00B63DD9" w:rsidRDefault="002C4E2D" w:rsidP="007E6BB1">
      <w:pPr>
        <w:widowControl w:val="0"/>
        <w:tabs>
          <w:tab w:val="left" w:pos="567"/>
        </w:tabs>
        <w:spacing w:line="288" w:lineRule="auto"/>
        <w:ind w:left="567" w:right="73" w:hanging="567"/>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ab/>
        <w:t>Theo quy định tại Luật Doanh nghiệp</w:t>
      </w:r>
      <w:r w:rsidR="00536581" w:rsidRPr="00B63DD9">
        <w:rPr>
          <w:rFonts w:ascii="Times New Roman" w:hAnsi="Times New Roman" w:cs="Times New Roman"/>
          <w:sz w:val="24"/>
          <w:szCs w:val="24"/>
          <w:lang w:val="vi-VN"/>
        </w:rPr>
        <w:t>, Luật Chứng khoán</w:t>
      </w:r>
      <w:r w:rsidRPr="00B63DD9">
        <w:rPr>
          <w:rFonts w:ascii="Times New Roman" w:hAnsi="Times New Roman" w:cs="Times New Roman"/>
          <w:sz w:val="24"/>
          <w:szCs w:val="24"/>
          <w:lang w:val="vi-VN"/>
        </w:rPr>
        <w:t xml:space="preserve"> và Điều lệ</w:t>
      </w:r>
      <w:r w:rsidR="00A8528A" w:rsidRPr="00B63DD9">
        <w:rPr>
          <w:rFonts w:ascii="Times New Roman" w:hAnsi="Times New Roman" w:cs="Times New Roman"/>
          <w:sz w:val="24"/>
          <w:szCs w:val="24"/>
          <w:lang w:val="vi-VN"/>
        </w:rPr>
        <w:t xml:space="preserve"> IB</w:t>
      </w:r>
      <w:r w:rsidRPr="00B63DD9">
        <w:rPr>
          <w:rFonts w:ascii="Times New Roman" w:hAnsi="Times New Roman" w:cs="Times New Roman"/>
          <w:sz w:val="24"/>
          <w:szCs w:val="24"/>
          <w:lang w:val="vi-VN"/>
        </w:rPr>
        <w:t>SC, HĐQT là cơ quan quản lý của Công ty, có toàn quyền nhân danh Công ty để quyết định thực hiện các quyền và nghĩa vụ của Công ty không thuộc thẩm quyền của ĐHĐCĐ</w:t>
      </w:r>
      <w:r w:rsidR="00595284" w:rsidRPr="00B63DD9">
        <w:rPr>
          <w:rFonts w:ascii="Times New Roman" w:hAnsi="Times New Roman" w:cs="Times New Roman"/>
          <w:sz w:val="24"/>
          <w:szCs w:val="24"/>
          <w:lang w:val="vi-VN"/>
        </w:rPr>
        <w:t>. Trong năm 2014, HĐQT IBSC đã duy trì hoạt động theo quy định tại Điều lệ và Quy chế quản trị Công ty với số thành viên HĐQT là năm (05) thành viên, trong đó có</w:t>
      </w:r>
      <w:r w:rsidR="00DA6F05" w:rsidRPr="00DA6F05">
        <w:rPr>
          <w:rFonts w:ascii="Times New Roman" w:hAnsi="Times New Roman" w:cs="Times New Roman"/>
          <w:sz w:val="24"/>
          <w:szCs w:val="24"/>
          <w:lang w:val="vi-VN"/>
        </w:rPr>
        <w:t xml:space="preserve">hai </w:t>
      </w:r>
      <w:r w:rsidR="00595284" w:rsidRPr="00B63DD9">
        <w:rPr>
          <w:rFonts w:ascii="Times New Roman" w:hAnsi="Times New Roman" w:cs="Times New Roman"/>
          <w:sz w:val="24"/>
          <w:szCs w:val="24"/>
          <w:lang w:val="vi-VN"/>
        </w:rPr>
        <w:t>(0</w:t>
      </w:r>
      <w:r w:rsidR="00DA6F05" w:rsidRPr="00DA6F05">
        <w:rPr>
          <w:rFonts w:ascii="Times New Roman" w:hAnsi="Times New Roman" w:cs="Times New Roman"/>
          <w:sz w:val="24"/>
          <w:szCs w:val="24"/>
          <w:lang w:val="vi-VN"/>
        </w:rPr>
        <w:t>2</w:t>
      </w:r>
      <w:r w:rsidR="00595284" w:rsidRPr="00B63DD9">
        <w:rPr>
          <w:rFonts w:ascii="Times New Roman" w:hAnsi="Times New Roman" w:cs="Times New Roman"/>
          <w:sz w:val="24"/>
          <w:szCs w:val="24"/>
          <w:lang w:val="vi-VN"/>
        </w:rPr>
        <w:t xml:space="preserve">) thành viên độc lập và </w:t>
      </w:r>
      <w:r w:rsidR="00DA6F05" w:rsidRPr="00DA6F05">
        <w:rPr>
          <w:rFonts w:ascii="Times New Roman" w:hAnsi="Times New Roman" w:cs="Times New Roman"/>
          <w:sz w:val="24"/>
          <w:szCs w:val="24"/>
          <w:lang w:val="vi-VN"/>
        </w:rPr>
        <w:t>ba</w:t>
      </w:r>
      <w:r w:rsidR="00595284" w:rsidRPr="00B63DD9">
        <w:rPr>
          <w:rFonts w:ascii="Times New Roman" w:hAnsi="Times New Roman" w:cs="Times New Roman"/>
          <w:sz w:val="24"/>
          <w:szCs w:val="24"/>
          <w:lang w:val="vi-VN"/>
        </w:rPr>
        <w:t xml:space="preserve"> (0</w:t>
      </w:r>
      <w:r w:rsidR="00DA6F05" w:rsidRPr="00DA6F05">
        <w:rPr>
          <w:rFonts w:ascii="Times New Roman" w:hAnsi="Times New Roman" w:cs="Times New Roman"/>
          <w:sz w:val="24"/>
          <w:szCs w:val="24"/>
          <w:lang w:val="vi-VN"/>
        </w:rPr>
        <w:t>3</w:t>
      </w:r>
      <w:r w:rsidR="00595284" w:rsidRPr="00B63DD9">
        <w:rPr>
          <w:rFonts w:ascii="Times New Roman" w:hAnsi="Times New Roman" w:cs="Times New Roman"/>
          <w:sz w:val="24"/>
          <w:szCs w:val="24"/>
          <w:lang w:val="vi-VN"/>
        </w:rPr>
        <w:t>) thành viên tham gia điều hành. Thành viên độc lập gồm</w:t>
      </w:r>
      <w:r w:rsidR="00271842" w:rsidRPr="00B63DD9">
        <w:rPr>
          <w:rFonts w:ascii="Times New Roman" w:hAnsi="Times New Roman" w:cs="Times New Roman"/>
          <w:sz w:val="24"/>
          <w:szCs w:val="24"/>
          <w:lang w:val="vi-VN"/>
        </w:rPr>
        <w:t>Ông David Frank Woodhouse (Thành viên HĐQT)</w:t>
      </w:r>
      <w:r w:rsidR="00536581" w:rsidRPr="00B63DD9">
        <w:rPr>
          <w:rFonts w:ascii="Times New Roman" w:hAnsi="Times New Roman" w:cs="Times New Roman"/>
          <w:sz w:val="24"/>
          <w:szCs w:val="24"/>
          <w:lang w:val="vi-VN"/>
        </w:rPr>
        <w:t>, Ông Lê Đăng Thọ (Thành viên HĐQT)</w:t>
      </w:r>
      <w:r w:rsidR="00271842" w:rsidRPr="00B63DD9">
        <w:rPr>
          <w:rFonts w:ascii="Times New Roman" w:hAnsi="Times New Roman" w:cs="Times New Roman"/>
          <w:sz w:val="24"/>
          <w:szCs w:val="24"/>
          <w:lang w:val="vi-VN"/>
        </w:rPr>
        <w:t>. Thành viên</w:t>
      </w:r>
      <w:r w:rsidR="00DA6F05" w:rsidRPr="00DA6F05">
        <w:rPr>
          <w:rFonts w:ascii="Times New Roman" w:hAnsi="Times New Roman" w:cs="Times New Roman"/>
          <w:sz w:val="24"/>
          <w:szCs w:val="24"/>
          <w:lang w:val="vi-VN"/>
        </w:rPr>
        <w:t xml:space="preserve"> tham gia điều hành là Ông Ngô Phương Chí (Chủ tịch HĐQT),</w:t>
      </w:r>
      <w:r w:rsidR="00271842" w:rsidRPr="00B63DD9">
        <w:rPr>
          <w:rFonts w:ascii="Times New Roman" w:hAnsi="Times New Roman" w:cs="Times New Roman"/>
          <w:sz w:val="24"/>
          <w:szCs w:val="24"/>
          <w:lang w:val="vi-VN"/>
        </w:rPr>
        <w:t>Ông Nguyễn Văn Tuấn (Phó Chủ tịch Hội đồng quản trị)</w:t>
      </w:r>
      <w:r w:rsidR="00DA6F05" w:rsidRPr="00DA6F05">
        <w:rPr>
          <w:rFonts w:ascii="Times New Roman" w:hAnsi="Times New Roman" w:cs="Times New Roman"/>
          <w:sz w:val="24"/>
          <w:szCs w:val="24"/>
          <w:lang w:val="vi-VN"/>
        </w:rPr>
        <w:t xml:space="preserve"> và </w:t>
      </w:r>
      <w:r w:rsidR="00A07553" w:rsidRPr="00B63DD9">
        <w:rPr>
          <w:rFonts w:ascii="Times New Roman" w:hAnsi="Times New Roman" w:cs="Times New Roman"/>
          <w:sz w:val="24"/>
          <w:szCs w:val="24"/>
          <w:lang w:val="vi-VN"/>
        </w:rPr>
        <w:t>Bà Cao Thị Hồng (</w:t>
      </w:r>
      <w:r w:rsidR="00EF3C23" w:rsidRPr="00B63DD9">
        <w:rPr>
          <w:rFonts w:ascii="Times New Roman" w:hAnsi="Times New Roman" w:cs="Times New Roman"/>
          <w:sz w:val="24"/>
          <w:szCs w:val="24"/>
          <w:lang w:val="vi-VN"/>
        </w:rPr>
        <w:t xml:space="preserve">Thành viên Hội đồng quản trị kiêm </w:t>
      </w:r>
      <w:r w:rsidR="00A07553" w:rsidRPr="00B63DD9">
        <w:rPr>
          <w:rFonts w:ascii="Times New Roman" w:hAnsi="Times New Roman" w:cs="Times New Roman"/>
          <w:sz w:val="24"/>
          <w:szCs w:val="24"/>
          <w:lang w:val="vi-VN"/>
        </w:rPr>
        <w:t xml:space="preserve">Tổng Giám đốc). </w:t>
      </w:r>
    </w:p>
    <w:p w:rsidR="00A07553" w:rsidRPr="00B63DD9" w:rsidRDefault="00A07553" w:rsidP="007E6BB1">
      <w:pPr>
        <w:widowControl w:val="0"/>
        <w:tabs>
          <w:tab w:val="left" w:pos="567"/>
        </w:tabs>
        <w:spacing w:line="288" w:lineRule="auto"/>
        <w:ind w:left="567" w:right="73" w:hanging="567"/>
        <w:jc w:val="both"/>
        <w:rPr>
          <w:rFonts w:ascii="Times New Roman" w:hAnsi="Times New Roman" w:cs="Times New Roman"/>
          <w:b/>
          <w:sz w:val="24"/>
          <w:szCs w:val="24"/>
          <w:lang w:val="vi-VN"/>
        </w:rPr>
      </w:pPr>
      <w:r w:rsidRPr="00B63DD9">
        <w:rPr>
          <w:rFonts w:ascii="Times New Roman" w:hAnsi="Times New Roman" w:cs="Times New Roman"/>
          <w:b/>
          <w:sz w:val="24"/>
          <w:szCs w:val="24"/>
          <w:lang w:val="vi-VN"/>
        </w:rPr>
        <w:t>2.</w:t>
      </w:r>
      <w:r w:rsidRPr="00B63DD9">
        <w:rPr>
          <w:rFonts w:ascii="Times New Roman" w:hAnsi="Times New Roman" w:cs="Times New Roman"/>
          <w:b/>
          <w:sz w:val="24"/>
          <w:szCs w:val="24"/>
          <w:lang w:val="vi-VN"/>
        </w:rPr>
        <w:tab/>
        <w:t>Các tiểu ban thuộc Hội đồng quản trị</w:t>
      </w:r>
    </w:p>
    <w:p w:rsidR="00A07553" w:rsidRPr="00B63DD9" w:rsidRDefault="00A07553" w:rsidP="007E6BB1">
      <w:pPr>
        <w:widowControl w:val="0"/>
        <w:tabs>
          <w:tab w:val="left" w:pos="567"/>
        </w:tabs>
        <w:spacing w:line="288" w:lineRule="auto"/>
        <w:ind w:left="567" w:right="74" w:hanging="567"/>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ab/>
        <w:t>Nhằm nâng cao hiệu quả quản trị Công ty theo quy định hiện hành, HĐQT thành lập Hội đồng tư vấn chiến lược và phát triển kinh doanh là cơ quan trực thuộ</w:t>
      </w:r>
      <w:r w:rsidR="009014EB" w:rsidRPr="00B63DD9">
        <w:rPr>
          <w:rFonts w:ascii="Times New Roman" w:hAnsi="Times New Roman" w:cs="Times New Roman"/>
          <w:sz w:val="24"/>
          <w:szCs w:val="24"/>
          <w:lang w:val="vi-VN"/>
        </w:rPr>
        <w:t>c HĐQT Công ty, có chức năng tham mưu cho HĐQT các công việc sau:</w:t>
      </w:r>
    </w:p>
    <w:p w:rsidR="009014EB" w:rsidRPr="00B63DD9" w:rsidRDefault="009014EB" w:rsidP="007E6BB1">
      <w:pPr>
        <w:pStyle w:val="ListParagraph"/>
        <w:widowControl w:val="0"/>
        <w:numPr>
          <w:ilvl w:val="0"/>
          <w:numId w:val="9"/>
        </w:numPr>
        <w:tabs>
          <w:tab w:val="left" w:pos="567"/>
        </w:tabs>
        <w:spacing w:line="288" w:lineRule="auto"/>
        <w:ind w:right="74"/>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Xây dựng các quy trình, quy chế hoạt động của Công ty</w:t>
      </w:r>
      <w:r w:rsidR="00077174" w:rsidRPr="00B63DD9">
        <w:rPr>
          <w:rFonts w:ascii="Times New Roman" w:hAnsi="Times New Roman" w:cs="Times New Roman"/>
          <w:sz w:val="24"/>
          <w:szCs w:val="24"/>
          <w:lang w:val="vi-VN"/>
        </w:rPr>
        <w:t>.</w:t>
      </w:r>
    </w:p>
    <w:p w:rsidR="009014EB" w:rsidRPr="00B63DD9" w:rsidRDefault="009014EB" w:rsidP="007E6BB1">
      <w:pPr>
        <w:pStyle w:val="ListParagraph"/>
        <w:widowControl w:val="0"/>
        <w:numPr>
          <w:ilvl w:val="0"/>
          <w:numId w:val="9"/>
        </w:numPr>
        <w:tabs>
          <w:tab w:val="left" w:pos="567"/>
        </w:tabs>
        <w:spacing w:line="288" w:lineRule="auto"/>
        <w:ind w:right="74"/>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Xây dựng bộ máy tổ chức kinh doanh và tuyển dụng nhân sự từ cấp trưởng phòng trở lên.</w:t>
      </w:r>
    </w:p>
    <w:p w:rsidR="009014EB" w:rsidRPr="00B63DD9" w:rsidRDefault="009014EB" w:rsidP="007E6BB1">
      <w:pPr>
        <w:pStyle w:val="ListParagraph"/>
        <w:widowControl w:val="0"/>
        <w:numPr>
          <w:ilvl w:val="0"/>
          <w:numId w:val="9"/>
        </w:numPr>
        <w:tabs>
          <w:tab w:val="left" w:pos="567"/>
        </w:tabs>
        <w:spacing w:line="288" w:lineRule="auto"/>
        <w:ind w:right="74"/>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Phát triển khách hàng chiến lược, phát triển dịch vụ, tìm kiếm các cơ hội kinh doanh.</w:t>
      </w:r>
    </w:p>
    <w:p w:rsidR="009014EB" w:rsidRPr="00B63DD9" w:rsidRDefault="009014EB" w:rsidP="007E6BB1">
      <w:pPr>
        <w:pStyle w:val="ListParagraph"/>
        <w:widowControl w:val="0"/>
        <w:numPr>
          <w:ilvl w:val="0"/>
          <w:numId w:val="9"/>
        </w:numPr>
        <w:tabs>
          <w:tab w:val="left" w:pos="567"/>
        </w:tabs>
        <w:spacing w:line="288" w:lineRule="auto"/>
        <w:ind w:right="74"/>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Tái cơ cấu tài chính.</w:t>
      </w:r>
    </w:p>
    <w:p w:rsidR="009014EB" w:rsidRPr="00B63DD9" w:rsidRDefault="009014EB" w:rsidP="007E6BB1">
      <w:pPr>
        <w:pStyle w:val="ListParagraph"/>
        <w:widowControl w:val="0"/>
        <w:numPr>
          <w:ilvl w:val="0"/>
          <w:numId w:val="9"/>
        </w:numPr>
        <w:tabs>
          <w:tab w:val="left" w:pos="567"/>
        </w:tabs>
        <w:spacing w:line="288" w:lineRule="auto"/>
        <w:ind w:right="74"/>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Xây dựng thương hiệu và văn hoá Công ty.</w:t>
      </w:r>
    </w:p>
    <w:p w:rsidR="005A73F6" w:rsidRPr="00B63DD9" w:rsidRDefault="009014EB" w:rsidP="007E6BB1">
      <w:pPr>
        <w:widowControl w:val="0"/>
        <w:tabs>
          <w:tab w:val="left" w:pos="567"/>
          <w:tab w:val="center" w:pos="4499"/>
        </w:tabs>
        <w:spacing w:line="288" w:lineRule="auto"/>
        <w:ind w:right="73"/>
        <w:jc w:val="both"/>
        <w:rPr>
          <w:rFonts w:ascii="Times New Roman" w:hAnsi="Times New Roman" w:cs="Times New Roman"/>
          <w:b/>
          <w:sz w:val="24"/>
          <w:szCs w:val="24"/>
          <w:lang w:val="vi-VN"/>
        </w:rPr>
      </w:pPr>
      <w:r w:rsidRPr="00B63DD9">
        <w:rPr>
          <w:rFonts w:ascii="Times New Roman" w:hAnsi="Times New Roman" w:cs="Times New Roman"/>
          <w:b/>
          <w:sz w:val="24"/>
          <w:szCs w:val="24"/>
          <w:lang w:val="vi-VN"/>
        </w:rPr>
        <w:t>3.</w:t>
      </w:r>
      <w:r w:rsidRPr="00B63DD9">
        <w:rPr>
          <w:rFonts w:ascii="Times New Roman" w:hAnsi="Times New Roman" w:cs="Times New Roman"/>
          <w:b/>
          <w:sz w:val="24"/>
          <w:szCs w:val="24"/>
          <w:lang w:val="vi-VN"/>
        </w:rPr>
        <w:tab/>
        <w:t>Hoạt động của Hội đồng quản trị</w:t>
      </w:r>
    </w:p>
    <w:p w:rsidR="009014EB" w:rsidRDefault="005A73F6" w:rsidP="007E6BB1">
      <w:pPr>
        <w:widowControl w:val="0"/>
        <w:tabs>
          <w:tab w:val="left" w:pos="567"/>
          <w:tab w:val="center" w:pos="4499"/>
        </w:tabs>
        <w:spacing w:line="288" w:lineRule="auto"/>
        <w:ind w:left="567" w:right="73"/>
        <w:jc w:val="both"/>
        <w:rPr>
          <w:rFonts w:ascii="Times New Roman" w:hAnsi="Times New Roman" w:cs="Times New Roman"/>
          <w:sz w:val="24"/>
          <w:szCs w:val="24"/>
          <w:lang w:val="vi-VN"/>
        </w:rPr>
      </w:pPr>
      <w:r w:rsidRPr="00B63DD9">
        <w:rPr>
          <w:rFonts w:ascii="Times New Roman" w:hAnsi="Times New Roman" w:cs="Times New Roman"/>
          <w:sz w:val="24"/>
          <w:szCs w:val="24"/>
          <w:lang w:val="vi-VN"/>
        </w:rPr>
        <w:t>Theo Điều lệ</w:t>
      </w:r>
      <w:r w:rsidR="00F66F9F" w:rsidRPr="00B63DD9">
        <w:rPr>
          <w:rFonts w:ascii="Times New Roman" w:hAnsi="Times New Roman" w:cs="Times New Roman"/>
          <w:sz w:val="24"/>
          <w:szCs w:val="24"/>
          <w:lang w:val="vi-VN"/>
        </w:rPr>
        <w:t xml:space="preserve"> Công ty, trong năm 2014</w:t>
      </w:r>
      <w:r w:rsidRPr="00B63DD9">
        <w:rPr>
          <w:rFonts w:ascii="Times New Roman" w:hAnsi="Times New Roman" w:cs="Times New Roman"/>
          <w:sz w:val="24"/>
          <w:szCs w:val="24"/>
          <w:lang w:val="vi-VN"/>
        </w:rPr>
        <w:t xml:space="preserve">, HĐQT duy trì việc họp định kỳ </w:t>
      </w:r>
      <w:r w:rsidR="001800AD" w:rsidRPr="00B63DD9">
        <w:rPr>
          <w:rFonts w:ascii="Times New Roman" w:hAnsi="Times New Roman" w:cs="Times New Roman"/>
          <w:sz w:val="24"/>
          <w:szCs w:val="24"/>
          <w:lang w:val="vi-VN"/>
        </w:rPr>
        <w:t xml:space="preserve">ít nhất </w:t>
      </w:r>
      <w:r w:rsidRPr="00B63DD9">
        <w:rPr>
          <w:rFonts w:ascii="Times New Roman" w:hAnsi="Times New Roman" w:cs="Times New Roman"/>
          <w:sz w:val="24"/>
          <w:szCs w:val="24"/>
          <w:lang w:val="vi-VN"/>
        </w:rPr>
        <w:t>mỗi quý một (01) lần nhằm bàn bạc, thảo luận và thống nhất các quyết định thuộc thẩm quyền quyết định của HĐQT để kịp thời đưa ra những chỉ đạo trong điều hành hoạt động kinh doanh Công ty phù hợp với biến động của thị trường</w:t>
      </w:r>
      <w:r w:rsidR="00F46513" w:rsidRPr="00B63DD9">
        <w:rPr>
          <w:rFonts w:ascii="Times New Roman" w:hAnsi="Times New Roman" w:cs="Times New Roman"/>
          <w:sz w:val="24"/>
          <w:szCs w:val="24"/>
          <w:lang w:val="vi-VN"/>
        </w:rPr>
        <w:t xml:space="preserve">. Bên cạnh các cuộc họp định kỳ, </w:t>
      </w:r>
      <w:r w:rsidR="000A5E6C" w:rsidRPr="00B63DD9">
        <w:rPr>
          <w:rFonts w:ascii="Times New Roman" w:hAnsi="Times New Roman" w:cs="Times New Roman"/>
          <w:sz w:val="24"/>
          <w:szCs w:val="24"/>
          <w:lang w:val="vi-VN"/>
        </w:rPr>
        <w:t>để đáp ứng các yêu cầu cấp thiết của công việc</w:t>
      </w:r>
      <w:r w:rsidR="00F46513" w:rsidRPr="00B63DD9">
        <w:rPr>
          <w:rFonts w:ascii="Times New Roman" w:hAnsi="Times New Roman" w:cs="Times New Roman"/>
          <w:sz w:val="24"/>
          <w:szCs w:val="24"/>
          <w:lang w:val="vi-VN"/>
        </w:rPr>
        <w:t>, HĐQT cũng đã tiến hành triệu tập các cuộc họp bất thường</w:t>
      </w:r>
      <w:r w:rsidRPr="00B63DD9">
        <w:rPr>
          <w:rFonts w:ascii="Times New Roman" w:hAnsi="Times New Roman" w:cs="Times New Roman"/>
          <w:sz w:val="24"/>
          <w:szCs w:val="24"/>
          <w:lang w:val="vi-VN"/>
        </w:rPr>
        <w:t>,</w:t>
      </w:r>
      <w:r w:rsidR="00F46513" w:rsidRPr="00B63DD9">
        <w:rPr>
          <w:rFonts w:ascii="Times New Roman" w:hAnsi="Times New Roman" w:cs="Times New Roman"/>
          <w:sz w:val="24"/>
          <w:szCs w:val="24"/>
          <w:lang w:val="vi-VN"/>
        </w:rPr>
        <w:t xml:space="preserve"> đưa tổng số cuộc họp HĐQT năm 2014 </w:t>
      </w:r>
      <w:r w:rsidR="000A5E6C" w:rsidRPr="00B63DD9">
        <w:rPr>
          <w:rFonts w:ascii="Times New Roman" w:hAnsi="Times New Roman" w:cs="Times New Roman"/>
          <w:sz w:val="24"/>
          <w:szCs w:val="24"/>
          <w:lang w:val="vi-VN"/>
        </w:rPr>
        <w:t>là</w:t>
      </w:r>
      <w:r w:rsidR="004634DA" w:rsidRPr="00B63DD9">
        <w:rPr>
          <w:rFonts w:ascii="Times New Roman" w:hAnsi="Times New Roman" w:cs="Times New Roman"/>
          <w:sz w:val="24"/>
          <w:szCs w:val="24"/>
          <w:lang w:val="vi-VN"/>
        </w:rPr>
        <w:t>40</w:t>
      </w:r>
      <w:r w:rsidR="009E43B5" w:rsidRPr="00B63DD9">
        <w:rPr>
          <w:rFonts w:ascii="Times New Roman" w:hAnsi="Times New Roman" w:cs="Times New Roman"/>
          <w:sz w:val="24"/>
          <w:szCs w:val="24"/>
          <w:lang w:val="vi-VN"/>
        </w:rPr>
        <w:t xml:space="preserve"> cuộc họp. Các thành viên HĐQT tích cực tham gia, đóng góp ý kiến và biểu quyết thông qua các quyết định khi hơn một phần hai (1/2) tổng số thành viên HĐQT tham dự chấp thuận. Tất cả các cuộc họp tập trung của HĐQT đều </w:t>
      </w:r>
      <w:r w:rsidR="008F3A60" w:rsidRPr="00B63DD9">
        <w:rPr>
          <w:rFonts w:ascii="Times New Roman" w:hAnsi="Times New Roman" w:cs="Times New Roman"/>
          <w:sz w:val="24"/>
          <w:szCs w:val="24"/>
          <w:lang w:val="vi-VN"/>
        </w:rPr>
        <w:t xml:space="preserve">mời </w:t>
      </w:r>
      <w:r w:rsidR="009E43B5" w:rsidRPr="00B63DD9">
        <w:rPr>
          <w:rFonts w:ascii="Times New Roman" w:hAnsi="Times New Roman" w:cs="Times New Roman"/>
          <w:sz w:val="24"/>
          <w:szCs w:val="24"/>
          <w:lang w:val="vi-VN"/>
        </w:rPr>
        <w:t xml:space="preserve">Ban kiểm soát (BKS) </w:t>
      </w:r>
      <w:r w:rsidR="008F3A60" w:rsidRPr="00B63DD9">
        <w:rPr>
          <w:rFonts w:ascii="Times New Roman" w:hAnsi="Times New Roman" w:cs="Times New Roman"/>
          <w:sz w:val="24"/>
          <w:szCs w:val="24"/>
          <w:lang w:val="vi-VN"/>
        </w:rPr>
        <w:t xml:space="preserve">tham dự </w:t>
      </w:r>
      <w:r w:rsidR="009E43B5" w:rsidRPr="00B63DD9">
        <w:rPr>
          <w:rFonts w:ascii="Times New Roman" w:hAnsi="Times New Roman" w:cs="Times New Roman"/>
          <w:sz w:val="24"/>
          <w:szCs w:val="24"/>
          <w:lang w:val="vi-VN"/>
        </w:rPr>
        <w:t>với tư cách quan sát viên. Cụ thể các cuộc họp của HĐQT như sau:</w:t>
      </w:r>
    </w:p>
    <w:p w:rsidR="00B63DD9" w:rsidRDefault="00B63DD9" w:rsidP="007E6BB1">
      <w:pPr>
        <w:widowControl w:val="0"/>
        <w:tabs>
          <w:tab w:val="left" w:pos="567"/>
          <w:tab w:val="center" w:pos="4499"/>
        </w:tabs>
        <w:spacing w:line="288" w:lineRule="auto"/>
        <w:ind w:left="567" w:right="73"/>
        <w:jc w:val="both"/>
        <w:rPr>
          <w:rFonts w:ascii="Times New Roman" w:hAnsi="Times New Roman" w:cs="Times New Roman"/>
          <w:sz w:val="24"/>
          <w:szCs w:val="24"/>
          <w:lang w:val="vi-VN"/>
        </w:rPr>
      </w:pPr>
    </w:p>
    <w:p w:rsidR="00B63DD9" w:rsidRDefault="00B63DD9" w:rsidP="007E6BB1">
      <w:pPr>
        <w:widowControl w:val="0"/>
        <w:tabs>
          <w:tab w:val="left" w:pos="567"/>
          <w:tab w:val="center" w:pos="4499"/>
        </w:tabs>
        <w:spacing w:line="288" w:lineRule="auto"/>
        <w:ind w:left="567" w:right="73"/>
        <w:jc w:val="both"/>
        <w:rPr>
          <w:rFonts w:ascii="Times New Roman" w:hAnsi="Times New Roman" w:cs="Times New Roman"/>
          <w:sz w:val="24"/>
          <w:szCs w:val="24"/>
          <w:lang w:val="vi-VN"/>
        </w:rPr>
      </w:pPr>
    </w:p>
    <w:p w:rsidR="00DA6F05" w:rsidRPr="00B63DD9" w:rsidRDefault="00DA6F05" w:rsidP="007E6BB1">
      <w:pPr>
        <w:widowControl w:val="0"/>
        <w:tabs>
          <w:tab w:val="left" w:pos="567"/>
          <w:tab w:val="center" w:pos="4499"/>
        </w:tabs>
        <w:spacing w:line="288" w:lineRule="auto"/>
        <w:ind w:left="567" w:right="73"/>
        <w:jc w:val="both"/>
        <w:rPr>
          <w:rFonts w:ascii="Times New Roman" w:hAnsi="Times New Roman" w:cs="Times New Roman"/>
          <w:sz w:val="24"/>
          <w:szCs w:val="24"/>
          <w:lang w:val="vi-VN"/>
        </w:rPr>
      </w:pPr>
    </w:p>
    <w:p w:rsidR="009014EB" w:rsidRPr="00B63DD9" w:rsidRDefault="001C2050" w:rsidP="007E6BB1">
      <w:pPr>
        <w:widowControl w:val="0"/>
        <w:tabs>
          <w:tab w:val="left" w:pos="567"/>
        </w:tabs>
        <w:spacing w:line="288" w:lineRule="auto"/>
        <w:ind w:right="73"/>
        <w:rPr>
          <w:rFonts w:ascii="Times New Roman" w:hAnsi="Times New Roman" w:cs="Times New Roman"/>
          <w:b/>
          <w:sz w:val="24"/>
          <w:szCs w:val="24"/>
          <w:lang w:val="vi-VN"/>
        </w:rPr>
      </w:pPr>
      <w:r w:rsidRPr="00B63DD9">
        <w:rPr>
          <w:rFonts w:ascii="Times New Roman" w:hAnsi="Times New Roman" w:cs="Times New Roman"/>
          <w:b/>
          <w:sz w:val="24"/>
          <w:szCs w:val="24"/>
          <w:lang w:val="vi-VN"/>
        </w:rPr>
        <w:t>3.1.</w:t>
      </w:r>
      <w:r w:rsidRPr="00B63DD9">
        <w:rPr>
          <w:rFonts w:ascii="Times New Roman" w:hAnsi="Times New Roman" w:cs="Times New Roman"/>
          <w:b/>
          <w:sz w:val="24"/>
          <w:szCs w:val="24"/>
          <w:lang w:val="vi-VN"/>
        </w:rPr>
        <w:tab/>
      </w:r>
      <w:r w:rsidR="00D9202C" w:rsidRPr="00B63DD9">
        <w:rPr>
          <w:rFonts w:ascii="Times New Roman" w:hAnsi="Times New Roman" w:cs="Times New Roman"/>
          <w:b/>
          <w:sz w:val="24"/>
          <w:szCs w:val="24"/>
          <w:lang w:val="vi-VN"/>
        </w:rPr>
        <w:t>Các cuộc họp của HĐQT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984"/>
        <w:gridCol w:w="1418"/>
        <w:gridCol w:w="708"/>
        <w:gridCol w:w="2268"/>
      </w:tblGrid>
      <w:tr w:rsidR="009C7D08" w:rsidRPr="009C7D08" w:rsidTr="00A32E97">
        <w:trPr>
          <w:tblHeader/>
        </w:trPr>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b/>
                <w:color w:val="000000"/>
                <w:sz w:val="22"/>
                <w:szCs w:val="22"/>
              </w:rPr>
            </w:pPr>
            <w:r w:rsidRPr="009C7D08">
              <w:rPr>
                <w:rFonts w:ascii="Times New Roman" w:hAnsi="Times New Roman"/>
                <w:b/>
                <w:color w:val="000000"/>
                <w:sz w:val="22"/>
                <w:szCs w:val="22"/>
              </w:rPr>
              <w:t>TT</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b/>
                <w:color w:val="000000"/>
                <w:sz w:val="22"/>
                <w:szCs w:val="22"/>
              </w:rPr>
            </w:pPr>
            <w:r w:rsidRPr="009C7D08">
              <w:rPr>
                <w:rFonts w:ascii="Times New Roman" w:hAnsi="Times New Roman"/>
                <w:b/>
                <w:color w:val="000000"/>
                <w:sz w:val="22"/>
                <w:szCs w:val="22"/>
              </w:rPr>
              <w:t>Thành viên HĐQT</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b/>
                <w:color w:val="000000"/>
                <w:sz w:val="22"/>
                <w:szCs w:val="22"/>
              </w:rPr>
            </w:pPr>
            <w:r w:rsidRPr="009C7D08">
              <w:rPr>
                <w:rFonts w:ascii="Times New Roman" w:hAnsi="Times New Roman"/>
                <w:b/>
                <w:color w:val="000000"/>
                <w:sz w:val="22"/>
                <w:szCs w:val="22"/>
              </w:rPr>
              <w:t>Chức vụ</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b/>
                <w:color w:val="000000"/>
                <w:sz w:val="22"/>
                <w:szCs w:val="22"/>
              </w:rPr>
            </w:pPr>
            <w:r w:rsidRPr="009C7D08">
              <w:rPr>
                <w:rFonts w:ascii="Times New Roman" w:hAnsi="Times New Roman"/>
                <w:b/>
                <w:color w:val="000000"/>
                <w:sz w:val="22"/>
                <w:szCs w:val="22"/>
              </w:rPr>
              <w:t>Số buổi họp tham dự</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b/>
                <w:color w:val="000000"/>
                <w:sz w:val="22"/>
                <w:szCs w:val="22"/>
              </w:rPr>
            </w:pPr>
            <w:r w:rsidRPr="009C7D08">
              <w:rPr>
                <w:rFonts w:ascii="Times New Roman" w:hAnsi="Times New Roman"/>
                <w:b/>
                <w:color w:val="000000"/>
                <w:sz w:val="22"/>
                <w:szCs w:val="22"/>
              </w:rPr>
              <w:t>Tỷ lệ (%)</w:t>
            </w:r>
          </w:p>
        </w:tc>
        <w:tc>
          <w:tcPr>
            <w:tcW w:w="226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b/>
                <w:color w:val="000000"/>
                <w:sz w:val="22"/>
                <w:szCs w:val="22"/>
              </w:rPr>
            </w:pPr>
            <w:r w:rsidRPr="009C7D08">
              <w:rPr>
                <w:rFonts w:ascii="Times New Roman" w:hAnsi="Times New Roman"/>
                <w:b/>
                <w:color w:val="000000"/>
                <w:sz w:val="22"/>
                <w:szCs w:val="22"/>
              </w:rPr>
              <w:t>Lý do không tham dự</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Ông</w:t>
            </w:r>
            <w:r w:rsidR="00120253">
              <w:rPr>
                <w:rFonts w:ascii="Times New Roman" w:hAnsi="Times New Roman"/>
                <w:color w:val="000000"/>
                <w:sz w:val="22"/>
                <w:szCs w:val="22"/>
              </w:rPr>
              <w:t xml:space="preserve">: </w:t>
            </w:r>
            <w:r w:rsidRPr="009C7D08">
              <w:rPr>
                <w:rFonts w:ascii="Times New Roman" w:hAnsi="Times New Roman"/>
                <w:color w:val="000000"/>
                <w:sz w:val="22"/>
                <w:szCs w:val="22"/>
              </w:rPr>
              <w:t>Nguyễn Đức Thuỵ</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Chủ Tịch từ ngày 01/01/2014 đến 01/04/2014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5/40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12,5</w:t>
            </w:r>
          </w:p>
        </w:tc>
        <w:tc>
          <w:tcPr>
            <w:tcW w:w="226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Tham dự 5 cuộc họp trước khi từ nhiệm ngày 01/04/2014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Bà: Nguyễn Thị Vui</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Thành viên từ ngày 01/01/2014 đến 01/04/2014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5/40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12,5</w:t>
            </w:r>
          </w:p>
        </w:tc>
        <w:tc>
          <w:tcPr>
            <w:tcW w:w="2268" w:type="dxa"/>
            <w:tcBorders>
              <w:top w:val="single" w:sz="4" w:space="0" w:color="auto"/>
              <w:left w:val="single" w:sz="4" w:space="0" w:color="auto"/>
              <w:bottom w:val="single" w:sz="4" w:space="0" w:color="auto"/>
              <w:right w:val="single" w:sz="4" w:space="0" w:color="auto"/>
            </w:tcBorders>
          </w:tcPr>
          <w:p w:rsidR="009C7D08" w:rsidRPr="009C7D08" w:rsidRDefault="009C7D08" w:rsidP="007E6BB1">
            <w:pPr>
              <w:widowControl w:val="0"/>
              <w:rPr>
                <w:rFonts w:ascii="Times New Roman" w:hAnsi="Times New Roman" w:cs="Times New Roman"/>
              </w:rPr>
            </w:pPr>
            <w:r w:rsidRPr="009C7D08">
              <w:rPr>
                <w:rFonts w:ascii="Times New Roman" w:hAnsi="Times New Roman" w:cs="Times New Roman"/>
                <w:color w:val="000000"/>
              </w:rPr>
              <w:t>Tham dự 5 cuộc họp trước khi từ nhiệm ngày 01/04/2014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Bà: Nguyễn Thị Mừng</w:t>
            </w:r>
          </w:p>
        </w:tc>
        <w:tc>
          <w:tcPr>
            <w:tcW w:w="1984" w:type="dxa"/>
            <w:tcBorders>
              <w:top w:val="single" w:sz="4" w:space="0" w:color="auto"/>
              <w:left w:val="single" w:sz="4" w:space="0" w:color="auto"/>
              <w:bottom w:val="single" w:sz="4" w:space="0" w:color="auto"/>
              <w:right w:val="single" w:sz="4" w:space="0" w:color="auto"/>
            </w:tcBorders>
          </w:tcPr>
          <w:p w:rsidR="009C7D08" w:rsidRPr="009C7D08" w:rsidRDefault="009C7D08" w:rsidP="007E6BB1">
            <w:pPr>
              <w:widowControl w:val="0"/>
              <w:rPr>
                <w:rFonts w:ascii="Times New Roman" w:hAnsi="Times New Roman" w:cs="Times New Roman"/>
              </w:rPr>
            </w:pPr>
            <w:r w:rsidRPr="009C7D08">
              <w:rPr>
                <w:rFonts w:ascii="Times New Roman" w:hAnsi="Times New Roman" w:cs="Times New Roman"/>
                <w:color w:val="000000"/>
              </w:rPr>
              <w:t>Thành viên từ ngày 01/01/2014 đến 01/04/2014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5/40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12,5</w:t>
            </w:r>
          </w:p>
        </w:tc>
        <w:tc>
          <w:tcPr>
            <w:tcW w:w="2268" w:type="dxa"/>
            <w:tcBorders>
              <w:top w:val="single" w:sz="4" w:space="0" w:color="auto"/>
              <w:left w:val="single" w:sz="4" w:space="0" w:color="auto"/>
              <w:bottom w:val="single" w:sz="4" w:space="0" w:color="auto"/>
              <w:right w:val="single" w:sz="4" w:space="0" w:color="auto"/>
            </w:tcBorders>
          </w:tcPr>
          <w:p w:rsidR="009C7D08" w:rsidRPr="009C7D08" w:rsidRDefault="009C7D08" w:rsidP="007E6BB1">
            <w:pPr>
              <w:widowControl w:val="0"/>
              <w:rPr>
                <w:rFonts w:ascii="Times New Roman" w:hAnsi="Times New Roman" w:cs="Times New Roman"/>
              </w:rPr>
            </w:pPr>
            <w:r w:rsidRPr="009C7D08">
              <w:rPr>
                <w:rFonts w:ascii="Times New Roman" w:hAnsi="Times New Roman" w:cs="Times New Roman"/>
                <w:color w:val="000000"/>
              </w:rPr>
              <w:t>Tham dự 5 cuộc họp trước khi từ nhiệm ngày 01/04/2014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Bà: Lê Thị Hồng Tâm</w:t>
            </w:r>
          </w:p>
        </w:tc>
        <w:tc>
          <w:tcPr>
            <w:tcW w:w="1984" w:type="dxa"/>
            <w:tcBorders>
              <w:top w:val="single" w:sz="4" w:space="0" w:color="auto"/>
              <w:left w:val="single" w:sz="4" w:space="0" w:color="auto"/>
              <w:bottom w:val="single" w:sz="4" w:space="0" w:color="auto"/>
              <w:right w:val="single" w:sz="4" w:space="0" w:color="auto"/>
            </w:tcBorders>
          </w:tcPr>
          <w:p w:rsidR="009C7D08" w:rsidRPr="009C7D08" w:rsidRDefault="009C7D08" w:rsidP="007E6BB1">
            <w:pPr>
              <w:widowControl w:val="0"/>
              <w:rPr>
                <w:rFonts w:ascii="Times New Roman" w:hAnsi="Times New Roman" w:cs="Times New Roman"/>
              </w:rPr>
            </w:pPr>
            <w:r w:rsidRPr="009C7D08">
              <w:rPr>
                <w:rFonts w:ascii="Times New Roman" w:hAnsi="Times New Roman" w:cs="Times New Roman"/>
                <w:color w:val="000000"/>
              </w:rPr>
              <w:t>Thành viên từ ngày 01/04/2014 đến 28/04/2014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17/40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42,5</w:t>
            </w:r>
          </w:p>
        </w:tc>
        <w:tc>
          <w:tcPr>
            <w:tcW w:w="2268" w:type="dxa"/>
            <w:tcBorders>
              <w:top w:val="single" w:sz="4" w:space="0" w:color="auto"/>
              <w:left w:val="single" w:sz="4" w:space="0" w:color="auto"/>
              <w:bottom w:val="single" w:sz="4" w:space="0" w:color="auto"/>
              <w:right w:val="single" w:sz="4" w:space="0" w:color="auto"/>
            </w:tcBorders>
          </w:tcPr>
          <w:p w:rsidR="009C7D08" w:rsidRPr="009C7D08" w:rsidRDefault="009C7D08" w:rsidP="007E6BB1">
            <w:pPr>
              <w:widowControl w:val="0"/>
              <w:rPr>
                <w:rFonts w:ascii="Times New Roman" w:hAnsi="Times New Roman" w:cs="Times New Roman"/>
              </w:rPr>
            </w:pPr>
            <w:r w:rsidRPr="009C7D08">
              <w:rPr>
                <w:rFonts w:ascii="Times New Roman" w:hAnsi="Times New Roman" w:cs="Times New Roman"/>
                <w:color w:val="000000"/>
              </w:rPr>
              <w:t>Tham dự 17 cuộc họp trước khi từ nhiệm ngày 28/04/2014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Bà: Nguyễn Bích Diệp</w:t>
            </w:r>
          </w:p>
        </w:tc>
        <w:tc>
          <w:tcPr>
            <w:tcW w:w="1984" w:type="dxa"/>
            <w:tcBorders>
              <w:top w:val="single" w:sz="4" w:space="0" w:color="auto"/>
              <w:left w:val="single" w:sz="4" w:space="0" w:color="auto"/>
              <w:bottom w:val="single" w:sz="4" w:space="0" w:color="auto"/>
              <w:right w:val="single" w:sz="4" w:space="0" w:color="auto"/>
            </w:tcBorders>
          </w:tcPr>
          <w:p w:rsidR="009C7D08" w:rsidRPr="009C7D08" w:rsidRDefault="009C7D08" w:rsidP="007E6BB1">
            <w:pPr>
              <w:widowControl w:val="0"/>
              <w:rPr>
                <w:rFonts w:ascii="Times New Roman" w:hAnsi="Times New Roman" w:cs="Times New Roman"/>
              </w:rPr>
            </w:pPr>
            <w:r w:rsidRPr="009C7D08">
              <w:rPr>
                <w:rFonts w:ascii="Times New Roman" w:hAnsi="Times New Roman" w:cs="Times New Roman"/>
                <w:color w:val="000000"/>
              </w:rPr>
              <w:t>Thành viên từ ngày 01/01/2014 đến 28/04/2014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17/40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42,5</w:t>
            </w:r>
          </w:p>
        </w:tc>
        <w:tc>
          <w:tcPr>
            <w:tcW w:w="2268" w:type="dxa"/>
            <w:tcBorders>
              <w:top w:val="single" w:sz="4" w:space="0" w:color="auto"/>
              <w:left w:val="single" w:sz="4" w:space="0" w:color="auto"/>
              <w:bottom w:val="single" w:sz="4" w:space="0" w:color="auto"/>
              <w:right w:val="single" w:sz="4" w:space="0" w:color="auto"/>
            </w:tcBorders>
          </w:tcPr>
          <w:p w:rsidR="009C7D08" w:rsidRPr="009C7D08" w:rsidRDefault="009C7D08" w:rsidP="007E6BB1">
            <w:pPr>
              <w:widowControl w:val="0"/>
              <w:rPr>
                <w:rFonts w:ascii="Times New Roman" w:hAnsi="Times New Roman" w:cs="Times New Roman"/>
              </w:rPr>
            </w:pPr>
            <w:r w:rsidRPr="009C7D08">
              <w:rPr>
                <w:rFonts w:ascii="Times New Roman" w:hAnsi="Times New Roman" w:cs="Times New Roman"/>
                <w:color w:val="000000"/>
              </w:rPr>
              <w:t>Tham dự 17 cuộc họp trước khi từ nhiệm ngày 28/04/2014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Bà: Thẩm Thị Mai Hương</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Chủ Tịch từ ngày 02/04/2014 đến 28/04/2014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12/40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30</w:t>
            </w:r>
          </w:p>
        </w:tc>
        <w:tc>
          <w:tcPr>
            <w:tcW w:w="226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Tham dự 12 cuộc họp trước khi từ nhiệm ngày 28/04/2014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Bà: Nguyễn Thị Thanh</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Thành viên từ ngày 02/04/2014 đến 28/04/2014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12/40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30</w:t>
            </w:r>
          </w:p>
        </w:tc>
        <w:tc>
          <w:tcPr>
            <w:tcW w:w="226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Tham dự 12 cuộc họp trước khi từ nhiệm ngày 28/04/2014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b/>
                <w:color w:val="000000"/>
                <w:sz w:val="22"/>
                <w:szCs w:val="22"/>
              </w:rPr>
            </w:pPr>
            <w:r w:rsidRPr="009C7D08">
              <w:rPr>
                <w:rFonts w:ascii="Times New Roman" w:hAnsi="Times New Roman"/>
                <w:b/>
                <w:color w:val="000000"/>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b/>
                <w:color w:val="000000"/>
                <w:sz w:val="22"/>
                <w:szCs w:val="22"/>
              </w:rPr>
            </w:pPr>
            <w:r w:rsidRPr="009C7D08">
              <w:rPr>
                <w:rFonts w:ascii="Times New Roman" w:hAnsi="Times New Roman"/>
                <w:b/>
                <w:color w:val="000000"/>
                <w:sz w:val="22"/>
                <w:szCs w:val="22"/>
              </w:rPr>
              <w:t>Ông: Ngô Phương Chí</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Chủ Tịch từ ngày 28/04/2014 đến nay</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23/40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57,5</w:t>
            </w:r>
          </w:p>
        </w:tc>
        <w:tc>
          <w:tcPr>
            <w:tcW w:w="226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Tham dự 23 cuộc họp từ ngày 28/04/2014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b/>
                <w:color w:val="000000"/>
                <w:sz w:val="22"/>
                <w:szCs w:val="22"/>
              </w:rPr>
            </w:pPr>
            <w:r w:rsidRPr="009C7D08">
              <w:rPr>
                <w:rFonts w:ascii="Times New Roman" w:hAnsi="Times New Roman"/>
                <w:b/>
                <w:color w:val="000000"/>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b/>
                <w:color w:val="000000"/>
                <w:sz w:val="22"/>
                <w:szCs w:val="22"/>
              </w:rPr>
            </w:pPr>
            <w:r w:rsidRPr="009C7D08">
              <w:rPr>
                <w:rFonts w:ascii="Times New Roman" w:hAnsi="Times New Roman"/>
                <w:b/>
                <w:color w:val="000000"/>
                <w:sz w:val="22"/>
                <w:szCs w:val="22"/>
              </w:rPr>
              <w:t>Ông: Nguyễn Văn Tuấn</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 xml:space="preserve">Phó chủ tịch từ ngày 30/08/2014 </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6/40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15</w:t>
            </w:r>
          </w:p>
        </w:tc>
        <w:tc>
          <w:tcPr>
            <w:tcW w:w="226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Tham dự 6 cuộc họp kể từ ngày được bổ nhiệm: 30/08/2014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b/>
                <w:color w:val="000000"/>
                <w:sz w:val="22"/>
                <w:szCs w:val="22"/>
              </w:rPr>
            </w:pPr>
            <w:r w:rsidRPr="009C7D08">
              <w:rPr>
                <w:rFonts w:ascii="Times New Roman" w:hAnsi="Times New Roman"/>
                <w:b/>
                <w:color w:val="000000"/>
                <w:sz w:val="22"/>
                <w:szCs w:val="22"/>
              </w:rPr>
              <w:t>10</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b/>
                <w:color w:val="000000"/>
                <w:sz w:val="22"/>
                <w:szCs w:val="22"/>
              </w:rPr>
            </w:pPr>
            <w:r w:rsidRPr="009C7D08">
              <w:rPr>
                <w:rFonts w:ascii="Times New Roman" w:hAnsi="Times New Roman"/>
                <w:b/>
                <w:color w:val="000000"/>
                <w:sz w:val="22"/>
                <w:szCs w:val="22"/>
              </w:rPr>
              <w:t>Bà : Cao Thị Hồng</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Thành viên từ ngày 30/08/2014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5/40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15</w:t>
            </w:r>
          </w:p>
        </w:tc>
        <w:tc>
          <w:tcPr>
            <w:tcW w:w="226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Tham dự 5 cuộc họp kể từ ngày được bổ nhiệm: 30/08/2014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b/>
                <w:color w:val="000000"/>
                <w:sz w:val="22"/>
                <w:szCs w:val="22"/>
              </w:rPr>
            </w:pPr>
            <w:r w:rsidRPr="009C7D08">
              <w:rPr>
                <w:rFonts w:ascii="Times New Roman" w:hAnsi="Times New Roman"/>
                <w:b/>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b/>
                <w:color w:val="000000"/>
                <w:sz w:val="22"/>
                <w:szCs w:val="22"/>
              </w:rPr>
            </w:pPr>
            <w:r w:rsidRPr="009C7D08">
              <w:rPr>
                <w:rFonts w:ascii="Times New Roman" w:hAnsi="Times New Roman"/>
                <w:b/>
                <w:color w:val="000000"/>
                <w:sz w:val="22"/>
                <w:szCs w:val="22"/>
              </w:rPr>
              <w:t>Ông: Lê Đăng Thọ</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Thành viên từ ngày 28/04/2014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23/40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57,5</w:t>
            </w:r>
          </w:p>
        </w:tc>
        <w:tc>
          <w:tcPr>
            <w:tcW w:w="226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Tham dự 23 cuộc họp từ ngày 28/04/2014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b/>
                <w:color w:val="000000"/>
                <w:sz w:val="22"/>
                <w:szCs w:val="22"/>
              </w:rPr>
            </w:pPr>
            <w:r w:rsidRPr="009C7D08">
              <w:rPr>
                <w:rFonts w:ascii="Times New Roman" w:hAnsi="Times New Roman"/>
                <w:b/>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b/>
                <w:color w:val="000000"/>
                <w:sz w:val="22"/>
                <w:szCs w:val="22"/>
              </w:rPr>
            </w:pPr>
            <w:r w:rsidRPr="009C7D08">
              <w:rPr>
                <w:rFonts w:ascii="Times New Roman" w:hAnsi="Times New Roman"/>
                <w:b/>
                <w:color w:val="000000"/>
                <w:sz w:val="22"/>
                <w:szCs w:val="22"/>
              </w:rPr>
              <w:t>Ông: David Frank Woodhouse</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Thành viên từ ngày 28/04/2014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23/40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57,5</w:t>
            </w:r>
          </w:p>
        </w:tc>
        <w:tc>
          <w:tcPr>
            <w:tcW w:w="226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Tham dự 23 cuộc họp từ ngày 28/04/2014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Ông: Trịnh Xuân Sơn</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Thành viên từ ngày 28/04/2014 đến 30/08/2014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18/40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45</w:t>
            </w:r>
          </w:p>
        </w:tc>
        <w:tc>
          <w:tcPr>
            <w:tcW w:w="226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Tham dự 18 cuộc họp trước khi từ nhiệm ngày 30/08/2014</w:t>
            </w:r>
          </w:p>
        </w:tc>
      </w:tr>
      <w:tr w:rsidR="009C7D08" w:rsidRPr="009C7D08" w:rsidTr="00A32E97">
        <w:tc>
          <w:tcPr>
            <w:tcW w:w="567"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14</w:t>
            </w:r>
          </w:p>
        </w:tc>
        <w:tc>
          <w:tcPr>
            <w:tcW w:w="1560"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 xml:space="preserve">Ông: Vũ Lâm (Uỷ quyền họp </w:t>
            </w:r>
            <w:r w:rsidRPr="009C7D08">
              <w:rPr>
                <w:rFonts w:ascii="Times New Roman" w:hAnsi="Times New Roman"/>
                <w:color w:val="000000"/>
                <w:sz w:val="22"/>
                <w:szCs w:val="22"/>
              </w:rPr>
              <w:lastRenderedPageBreak/>
              <w:t>cho Ông Lê Khả Tuyên)</w:t>
            </w:r>
          </w:p>
        </w:tc>
        <w:tc>
          <w:tcPr>
            <w:tcW w:w="1984"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lastRenderedPageBreak/>
              <w:t xml:space="preserve">Thành viên từ 28/04/2014 đến </w:t>
            </w:r>
            <w:r w:rsidRPr="009C7D08">
              <w:rPr>
                <w:rFonts w:ascii="Times New Roman" w:hAnsi="Times New Roman"/>
                <w:color w:val="000000"/>
                <w:sz w:val="22"/>
                <w:szCs w:val="22"/>
              </w:rPr>
              <w:lastRenderedPageBreak/>
              <w:t>30/08/2014</w:t>
            </w:r>
          </w:p>
        </w:tc>
        <w:tc>
          <w:tcPr>
            <w:tcW w:w="141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lastRenderedPageBreak/>
              <w:t>17/40</w:t>
            </w:r>
          </w:p>
        </w:tc>
        <w:tc>
          <w:tcPr>
            <w:tcW w:w="70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center"/>
              <w:rPr>
                <w:rFonts w:ascii="Times New Roman" w:hAnsi="Times New Roman"/>
                <w:color w:val="000000"/>
                <w:sz w:val="22"/>
                <w:szCs w:val="22"/>
              </w:rPr>
            </w:pPr>
            <w:r w:rsidRPr="009C7D08">
              <w:rPr>
                <w:rFonts w:ascii="Times New Roman" w:hAnsi="Times New Roman"/>
                <w:color w:val="000000"/>
                <w:sz w:val="22"/>
                <w:szCs w:val="22"/>
              </w:rPr>
              <w:t>42,5</w:t>
            </w:r>
          </w:p>
        </w:tc>
        <w:tc>
          <w:tcPr>
            <w:tcW w:w="2268" w:type="dxa"/>
            <w:tcBorders>
              <w:top w:val="single" w:sz="4" w:space="0" w:color="auto"/>
              <w:left w:val="single" w:sz="4" w:space="0" w:color="auto"/>
              <w:bottom w:val="single" w:sz="4" w:space="0" w:color="auto"/>
              <w:right w:val="single" w:sz="4" w:space="0" w:color="auto"/>
            </w:tcBorders>
            <w:vAlign w:val="center"/>
          </w:tcPr>
          <w:p w:rsidR="009C7D08" w:rsidRPr="009C7D08" w:rsidRDefault="009C7D08" w:rsidP="007E6BB1">
            <w:pPr>
              <w:pStyle w:val="BodyText"/>
              <w:widowControl w:val="0"/>
              <w:jc w:val="left"/>
              <w:rPr>
                <w:rFonts w:ascii="Times New Roman" w:hAnsi="Times New Roman"/>
                <w:color w:val="000000"/>
                <w:sz w:val="22"/>
                <w:szCs w:val="22"/>
              </w:rPr>
            </w:pPr>
            <w:r w:rsidRPr="009C7D08">
              <w:rPr>
                <w:rFonts w:ascii="Times New Roman" w:hAnsi="Times New Roman"/>
                <w:color w:val="000000"/>
                <w:sz w:val="22"/>
                <w:szCs w:val="22"/>
              </w:rPr>
              <w:t xml:space="preserve">Tham dự 17 cuộc họp trước khi từ nhiệm vào </w:t>
            </w:r>
            <w:r w:rsidRPr="009C7D08">
              <w:rPr>
                <w:rFonts w:ascii="Times New Roman" w:hAnsi="Times New Roman"/>
                <w:color w:val="000000"/>
                <w:sz w:val="22"/>
                <w:szCs w:val="22"/>
              </w:rPr>
              <w:lastRenderedPageBreak/>
              <w:t>ngày 30/08/2014</w:t>
            </w:r>
          </w:p>
        </w:tc>
      </w:tr>
    </w:tbl>
    <w:p w:rsidR="00D9202C" w:rsidRDefault="001C2050" w:rsidP="007E6BB1">
      <w:pPr>
        <w:widowControl w:val="0"/>
        <w:tabs>
          <w:tab w:val="left" w:pos="567"/>
        </w:tabs>
        <w:spacing w:line="288" w:lineRule="auto"/>
        <w:ind w:right="73"/>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Pr>
          <w:rFonts w:ascii="Times New Roman" w:hAnsi="Times New Roman" w:cs="Times New Roman"/>
          <w:b/>
          <w:sz w:val="24"/>
          <w:szCs w:val="24"/>
        </w:rPr>
        <w:tab/>
      </w:r>
      <w:r w:rsidR="00D9202C" w:rsidRPr="00D9202C">
        <w:rPr>
          <w:rFonts w:ascii="Times New Roman" w:hAnsi="Times New Roman" w:cs="Times New Roman"/>
          <w:b/>
          <w:sz w:val="24"/>
          <w:szCs w:val="24"/>
        </w:rPr>
        <w:t>Các Nghị quyết</w:t>
      </w:r>
      <w:r w:rsidR="00D9202C">
        <w:rPr>
          <w:rFonts w:ascii="Times New Roman" w:hAnsi="Times New Roman" w:cs="Times New Roman"/>
          <w:b/>
          <w:sz w:val="24"/>
          <w:szCs w:val="24"/>
        </w:rPr>
        <w:t>/Quyết định</w:t>
      </w:r>
      <w:r w:rsidR="00D9202C" w:rsidRPr="00D9202C">
        <w:rPr>
          <w:rFonts w:ascii="Times New Roman" w:hAnsi="Times New Roman" w:cs="Times New Roman"/>
          <w:b/>
          <w:sz w:val="24"/>
          <w:szCs w:val="24"/>
        </w:rPr>
        <w:t xml:space="preserve"> của HĐQT</w:t>
      </w:r>
    </w:p>
    <w:p w:rsidR="00B442DA" w:rsidRDefault="00B442DA" w:rsidP="007E6BB1">
      <w:pPr>
        <w:widowControl w:val="0"/>
        <w:tabs>
          <w:tab w:val="left" w:pos="567"/>
        </w:tabs>
        <w:spacing w:line="288" w:lineRule="auto"/>
        <w:ind w:left="567" w:right="73"/>
        <w:jc w:val="both"/>
        <w:rPr>
          <w:rFonts w:ascii="Times New Roman" w:hAnsi="Times New Roman" w:cs="Times New Roman"/>
          <w:sz w:val="24"/>
          <w:szCs w:val="24"/>
        </w:rPr>
      </w:pPr>
      <w:r w:rsidRPr="00B442DA">
        <w:rPr>
          <w:rFonts w:ascii="Times New Roman" w:hAnsi="Times New Roman" w:cs="Times New Roman"/>
          <w:sz w:val="24"/>
          <w:szCs w:val="24"/>
        </w:rPr>
        <w:t>Trong năm 2014, Hội đồng quản trị đã ban hành 56 Nghị quyết và Quyết định của Hội đồng quản trị để quản lý tình hình hoạt động của Công ty. Bảng liệt kê chi tiết số, ngày tháng và nội dung các Nghị quyết, Quyết định của Hội đồng quản trị xin vui lòng xem Phụ lục 01 đính kèm Báo cáo này.</w:t>
      </w:r>
    </w:p>
    <w:p w:rsidR="00D9202C" w:rsidRDefault="00172DB0" w:rsidP="007E6BB1">
      <w:pPr>
        <w:widowControl w:val="0"/>
        <w:tabs>
          <w:tab w:val="left" w:pos="567"/>
        </w:tabs>
        <w:spacing w:line="288" w:lineRule="auto"/>
        <w:ind w:left="567" w:right="73" w:hanging="567"/>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sidR="00B442DA">
        <w:rPr>
          <w:rFonts w:ascii="Times New Roman" w:hAnsi="Times New Roman" w:cs="Times New Roman"/>
          <w:b/>
          <w:sz w:val="24"/>
          <w:szCs w:val="24"/>
        </w:rPr>
        <w:t>Kết quả thực hiện c</w:t>
      </w:r>
      <w:r w:rsidR="0017547C" w:rsidRPr="0017547C">
        <w:rPr>
          <w:rFonts w:ascii="Times New Roman" w:hAnsi="Times New Roman" w:cs="Times New Roman"/>
          <w:b/>
          <w:sz w:val="24"/>
          <w:szCs w:val="24"/>
        </w:rPr>
        <w:t>ác công việc ĐHĐCĐ thường niên và bất thường năm 2014 giao cho HĐQT</w:t>
      </w:r>
    </w:p>
    <w:tbl>
      <w:tblPr>
        <w:tblStyle w:val="TableGrid"/>
        <w:tblW w:w="8647" w:type="dxa"/>
        <w:tblInd w:w="562" w:type="dxa"/>
        <w:tblLook w:val="04A0"/>
      </w:tblPr>
      <w:tblGrid>
        <w:gridCol w:w="709"/>
        <w:gridCol w:w="2977"/>
        <w:gridCol w:w="1417"/>
        <w:gridCol w:w="3544"/>
      </w:tblGrid>
      <w:tr w:rsidR="00A32E97" w:rsidRPr="00B83B15" w:rsidTr="00A32E97">
        <w:tc>
          <w:tcPr>
            <w:tcW w:w="709"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b/>
              </w:rPr>
            </w:pPr>
            <w:r w:rsidRPr="00B83B15">
              <w:rPr>
                <w:rFonts w:ascii="Times New Roman" w:hAnsi="Times New Roman" w:cs="Times New Roman"/>
                <w:b/>
              </w:rPr>
              <w:t>STT</w:t>
            </w:r>
          </w:p>
        </w:tc>
        <w:tc>
          <w:tcPr>
            <w:tcW w:w="2977"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b/>
              </w:rPr>
            </w:pPr>
            <w:r w:rsidRPr="00B83B15">
              <w:rPr>
                <w:rFonts w:ascii="Times New Roman" w:hAnsi="Times New Roman" w:cs="Times New Roman"/>
                <w:b/>
              </w:rPr>
              <w:t>Nội dung công việc</w:t>
            </w:r>
          </w:p>
        </w:tc>
        <w:tc>
          <w:tcPr>
            <w:tcW w:w="1417"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b/>
              </w:rPr>
            </w:pPr>
            <w:r>
              <w:rPr>
                <w:rFonts w:ascii="Times New Roman" w:hAnsi="Times New Roman" w:cs="Times New Roman"/>
                <w:b/>
              </w:rPr>
              <w:t>Thực hiện</w:t>
            </w:r>
          </w:p>
        </w:tc>
        <w:tc>
          <w:tcPr>
            <w:tcW w:w="3544"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b/>
              </w:rPr>
            </w:pPr>
            <w:r>
              <w:rPr>
                <w:rFonts w:ascii="Times New Roman" w:hAnsi="Times New Roman" w:cs="Times New Roman"/>
                <w:b/>
              </w:rPr>
              <w:t>Ghi chú</w:t>
            </w:r>
          </w:p>
        </w:tc>
      </w:tr>
      <w:tr w:rsidR="00A32E97" w:rsidRPr="00B83B15" w:rsidTr="00A32E97">
        <w:tc>
          <w:tcPr>
            <w:tcW w:w="709"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sidRPr="00B83B15">
              <w:rPr>
                <w:rFonts w:ascii="Times New Roman" w:hAnsi="Times New Roman" w:cs="Times New Roman"/>
              </w:rPr>
              <w:t>1</w:t>
            </w:r>
          </w:p>
        </w:tc>
        <w:tc>
          <w:tcPr>
            <w:tcW w:w="2977"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rPr>
            </w:pPr>
            <w:r w:rsidRPr="00B83B15">
              <w:rPr>
                <w:rFonts w:ascii="Times New Roman" w:hAnsi="Times New Roman" w:cs="Times New Roman"/>
              </w:rPr>
              <w:t>Kết quả kinh doanh năm 2014</w:t>
            </w:r>
          </w:p>
        </w:tc>
        <w:tc>
          <w:tcPr>
            <w:tcW w:w="1417"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Pr>
                <w:rFonts w:ascii="Times New Roman" w:hAnsi="Times New Roman" w:cs="Times New Roman"/>
              </w:rPr>
              <w:t>Hoàn thành</w:t>
            </w:r>
          </w:p>
        </w:tc>
        <w:tc>
          <w:tcPr>
            <w:tcW w:w="3544" w:type="dxa"/>
            <w:vAlign w:val="center"/>
          </w:tcPr>
          <w:p w:rsidR="00A32E97" w:rsidRPr="00B83B15" w:rsidRDefault="00A32E97" w:rsidP="007E6BB1">
            <w:pPr>
              <w:widowControl w:val="0"/>
              <w:tabs>
                <w:tab w:val="left" w:pos="567"/>
              </w:tabs>
              <w:spacing w:line="240" w:lineRule="auto"/>
              <w:ind w:right="74"/>
              <w:jc w:val="both"/>
              <w:rPr>
                <w:rFonts w:ascii="Times New Roman" w:hAnsi="Times New Roman" w:cs="Times New Roman"/>
              </w:rPr>
            </w:pPr>
            <w:r>
              <w:rPr>
                <w:rFonts w:ascii="Times New Roman" w:hAnsi="Times New Roman" w:cs="Times New Roman"/>
              </w:rPr>
              <w:t>LNSTv</w:t>
            </w:r>
            <w:r w:rsidRPr="00B83B15">
              <w:rPr>
                <w:rFonts w:ascii="Times New Roman" w:hAnsi="Times New Roman" w:cs="Times New Roman"/>
              </w:rPr>
              <w:t xml:space="preserve">ượt kế hoạch </w:t>
            </w:r>
            <w:r>
              <w:rPr>
                <w:rFonts w:ascii="Times New Roman" w:hAnsi="Times New Roman" w:cs="Times New Roman"/>
              </w:rPr>
              <w:t>64,23% (LNST kế hoạch là hơn 48 tỷ đồng, LNST thực hiện là hơn 79 tỷ đồng)</w:t>
            </w:r>
          </w:p>
        </w:tc>
      </w:tr>
      <w:tr w:rsidR="00A32E97" w:rsidRPr="00B83B15" w:rsidTr="00A32E97">
        <w:tc>
          <w:tcPr>
            <w:tcW w:w="709"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sidRPr="00B83B15">
              <w:rPr>
                <w:rFonts w:ascii="Times New Roman" w:hAnsi="Times New Roman" w:cs="Times New Roman"/>
              </w:rPr>
              <w:t>2</w:t>
            </w:r>
          </w:p>
        </w:tc>
        <w:tc>
          <w:tcPr>
            <w:tcW w:w="2977" w:type="dxa"/>
            <w:vAlign w:val="center"/>
          </w:tcPr>
          <w:p w:rsidR="00A32E97" w:rsidRPr="00B83B15" w:rsidRDefault="00A32E97" w:rsidP="007E6BB1">
            <w:pPr>
              <w:widowControl w:val="0"/>
              <w:tabs>
                <w:tab w:val="left" w:pos="567"/>
              </w:tabs>
              <w:spacing w:line="240" w:lineRule="auto"/>
              <w:ind w:right="74"/>
              <w:jc w:val="both"/>
              <w:rPr>
                <w:rFonts w:ascii="Times New Roman" w:hAnsi="Times New Roman" w:cs="Times New Roman"/>
              </w:rPr>
            </w:pPr>
            <w:r w:rsidRPr="00B83B15">
              <w:rPr>
                <w:rFonts w:ascii="Times New Roman" w:hAnsi="Times New Roman" w:cs="Times New Roman"/>
              </w:rPr>
              <w:t>Lựa chọn công ty kiểm toán độc lập soát xét Báo cáo tài chính (BCTC) bán niên và kiểm toán BCTC năm 2014 của Công ty</w:t>
            </w:r>
          </w:p>
        </w:tc>
        <w:tc>
          <w:tcPr>
            <w:tcW w:w="1417"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Pr>
                <w:rFonts w:ascii="Times New Roman" w:hAnsi="Times New Roman" w:cs="Times New Roman"/>
              </w:rPr>
              <w:t>Hoàn thành</w:t>
            </w:r>
          </w:p>
        </w:tc>
        <w:tc>
          <w:tcPr>
            <w:tcW w:w="3544"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rPr>
            </w:pPr>
            <w:r w:rsidRPr="00B83B15">
              <w:rPr>
                <w:rFonts w:ascii="Times New Roman" w:hAnsi="Times New Roman" w:cs="Times New Roman"/>
              </w:rPr>
              <w:t>Công ty TNHH Ernst &amp; Young Việ</w:t>
            </w:r>
            <w:r>
              <w:rPr>
                <w:rFonts w:ascii="Times New Roman" w:hAnsi="Times New Roman" w:cs="Times New Roman"/>
              </w:rPr>
              <w:t>t Nam</w:t>
            </w:r>
          </w:p>
        </w:tc>
      </w:tr>
      <w:tr w:rsidR="00A32E97" w:rsidRPr="00B83B15" w:rsidTr="00A32E97">
        <w:tc>
          <w:tcPr>
            <w:tcW w:w="709"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sidRPr="00B83B15">
              <w:rPr>
                <w:rFonts w:ascii="Times New Roman" w:hAnsi="Times New Roman" w:cs="Times New Roman"/>
              </w:rPr>
              <w:t>3</w:t>
            </w:r>
          </w:p>
        </w:tc>
        <w:tc>
          <w:tcPr>
            <w:tcW w:w="2977"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rPr>
            </w:pPr>
            <w:r w:rsidRPr="00B83B15">
              <w:rPr>
                <w:rFonts w:ascii="Times New Roman" w:hAnsi="Times New Roman" w:cs="Times New Roman"/>
              </w:rPr>
              <w:t>Đổi tên Công ty</w:t>
            </w:r>
          </w:p>
        </w:tc>
        <w:tc>
          <w:tcPr>
            <w:tcW w:w="1417"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Pr>
                <w:rFonts w:ascii="Times New Roman" w:hAnsi="Times New Roman" w:cs="Times New Roman"/>
              </w:rPr>
              <w:t>Hoàn thành</w:t>
            </w:r>
          </w:p>
        </w:tc>
        <w:tc>
          <w:tcPr>
            <w:tcW w:w="3544"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rPr>
            </w:pPr>
          </w:p>
        </w:tc>
      </w:tr>
      <w:tr w:rsidR="00A32E97" w:rsidRPr="00B83B15" w:rsidTr="00A32E97">
        <w:tc>
          <w:tcPr>
            <w:tcW w:w="709"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sidRPr="00B83B15">
              <w:rPr>
                <w:rFonts w:ascii="Times New Roman" w:hAnsi="Times New Roman" w:cs="Times New Roman"/>
              </w:rPr>
              <w:t>4</w:t>
            </w:r>
          </w:p>
        </w:tc>
        <w:tc>
          <w:tcPr>
            <w:tcW w:w="2977"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rPr>
            </w:pPr>
            <w:r w:rsidRPr="00B83B15">
              <w:rPr>
                <w:rFonts w:ascii="Times New Roman" w:hAnsi="Times New Roman" w:cs="Times New Roman"/>
              </w:rPr>
              <w:t>Thay đổi Trụ sở chính của Công ty</w:t>
            </w:r>
          </w:p>
        </w:tc>
        <w:tc>
          <w:tcPr>
            <w:tcW w:w="1417"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Pr>
                <w:rFonts w:ascii="Times New Roman" w:hAnsi="Times New Roman" w:cs="Times New Roman"/>
              </w:rPr>
              <w:t>Hoàn thành</w:t>
            </w:r>
          </w:p>
        </w:tc>
        <w:tc>
          <w:tcPr>
            <w:tcW w:w="3544" w:type="dxa"/>
            <w:vAlign w:val="center"/>
          </w:tcPr>
          <w:p w:rsidR="00A32E97" w:rsidRPr="00B83B15" w:rsidRDefault="00A32E97" w:rsidP="007E6BB1">
            <w:pPr>
              <w:widowControl w:val="0"/>
              <w:tabs>
                <w:tab w:val="left" w:pos="567"/>
              </w:tabs>
              <w:spacing w:line="240" w:lineRule="auto"/>
              <w:ind w:right="74"/>
              <w:jc w:val="both"/>
              <w:rPr>
                <w:rFonts w:ascii="Times New Roman" w:hAnsi="Times New Roman" w:cs="Times New Roman"/>
              </w:rPr>
            </w:pPr>
            <w:r>
              <w:rPr>
                <w:rFonts w:ascii="Times New Roman" w:hAnsi="Times New Roman" w:cs="Times New Roman"/>
              </w:rPr>
              <w:t>C</w:t>
            </w:r>
            <w:r w:rsidRPr="00B83B15">
              <w:rPr>
                <w:rFonts w:ascii="Times New Roman" w:hAnsi="Times New Roman" w:cs="Times New Roman"/>
              </w:rPr>
              <w:t>huyển Trụ sở về Tầng 8, 52 Lê Đại Hành,Phường Lê Đại Hành, Quận Hai Bà Trưng, Hà Nội</w:t>
            </w:r>
          </w:p>
        </w:tc>
      </w:tr>
      <w:tr w:rsidR="00A32E97" w:rsidRPr="00B83B15" w:rsidTr="00A32E97">
        <w:tc>
          <w:tcPr>
            <w:tcW w:w="709"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sidRPr="00B83B15">
              <w:rPr>
                <w:rFonts w:ascii="Times New Roman" w:hAnsi="Times New Roman" w:cs="Times New Roman"/>
              </w:rPr>
              <w:t>5</w:t>
            </w:r>
          </w:p>
        </w:tc>
        <w:tc>
          <w:tcPr>
            <w:tcW w:w="2977"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rPr>
            </w:pPr>
            <w:r w:rsidRPr="00B83B15">
              <w:rPr>
                <w:rFonts w:ascii="Times New Roman" w:hAnsi="Times New Roman" w:cs="Times New Roman"/>
              </w:rPr>
              <w:t>Phát hành cổ phiếu tăng vốn điều lệ</w:t>
            </w:r>
          </w:p>
        </w:tc>
        <w:tc>
          <w:tcPr>
            <w:tcW w:w="1417" w:type="dxa"/>
            <w:vAlign w:val="center"/>
          </w:tcPr>
          <w:p w:rsidR="00A32E97" w:rsidRPr="00B83B15" w:rsidRDefault="008F3A60" w:rsidP="007E6BB1">
            <w:pPr>
              <w:widowControl w:val="0"/>
              <w:tabs>
                <w:tab w:val="left" w:pos="567"/>
              </w:tabs>
              <w:spacing w:line="240" w:lineRule="auto"/>
              <w:ind w:right="74"/>
              <w:jc w:val="center"/>
              <w:rPr>
                <w:rFonts w:ascii="Times New Roman" w:hAnsi="Times New Roman" w:cs="Times New Roman"/>
              </w:rPr>
            </w:pPr>
            <w:r>
              <w:rPr>
                <w:rFonts w:ascii="Times New Roman" w:hAnsi="Times New Roman" w:cs="Times New Roman"/>
              </w:rPr>
              <w:t>Đang thực hiện</w:t>
            </w:r>
          </w:p>
        </w:tc>
        <w:tc>
          <w:tcPr>
            <w:tcW w:w="3544" w:type="dxa"/>
            <w:vAlign w:val="center"/>
          </w:tcPr>
          <w:p w:rsidR="00A32E97" w:rsidRPr="00B83B15" w:rsidRDefault="00A32E97" w:rsidP="007E6BB1">
            <w:pPr>
              <w:widowControl w:val="0"/>
              <w:tabs>
                <w:tab w:val="left" w:pos="567"/>
              </w:tabs>
              <w:spacing w:line="240" w:lineRule="auto"/>
              <w:ind w:right="74"/>
              <w:jc w:val="both"/>
              <w:rPr>
                <w:rFonts w:ascii="Times New Roman" w:hAnsi="Times New Roman" w:cs="Times New Roman"/>
              </w:rPr>
            </w:pPr>
            <w:r w:rsidRPr="00B83B15">
              <w:rPr>
                <w:rFonts w:ascii="Times New Roman" w:hAnsi="Times New Roman" w:cs="Times New Roman"/>
              </w:rPr>
              <w:t xml:space="preserve">Đã </w:t>
            </w:r>
            <w:r>
              <w:rPr>
                <w:rFonts w:ascii="Times New Roman" w:hAnsi="Times New Roman" w:cs="Times New Roman"/>
              </w:rPr>
              <w:t>được cấp giấy chứng nhận đăng ký chào bán và đang tiến hành các thủ tục chào bán</w:t>
            </w:r>
          </w:p>
        </w:tc>
      </w:tr>
      <w:tr w:rsidR="00A32E97" w:rsidRPr="00B83B15" w:rsidTr="00A32E97">
        <w:tc>
          <w:tcPr>
            <w:tcW w:w="709"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sidRPr="00B83B15">
              <w:rPr>
                <w:rFonts w:ascii="Times New Roman" w:hAnsi="Times New Roman" w:cs="Times New Roman"/>
              </w:rPr>
              <w:t>6</w:t>
            </w:r>
          </w:p>
        </w:tc>
        <w:tc>
          <w:tcPr>
            <w:tcW w:w="2977"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rPr>
            </w:pPr>
            <w:r w:rsidRPr="00B83B15">
              <w:rPr>
                <w:rFonts w:ascii="Times New Roman" w:hAnsi="Times New Roman" w:cs="Times New Roman"/>
              </w:rPr>
              <w:t>Chuyển niêm yết từ HNX sang HOSE</w:t>
            </w:r>
          </w:p>
        </w:tc>
        <w:tc>
          <w:tcPr>
            <w:tcW w:w="1417"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Pr>
                <w:rFonts w:ascii="Times New Roman" w:hAnsi="Times New Roman" w:cs="Times New Roman"/>
              </w:rPr>
              <w:t>Chưa hoàn thành</w:t>
            </w:r>
          </w:p>
        </w:tc>
        <w:tc>
          <w:tcPr>
            <w:tcW w:w="3544" w:type="dxa"/>
            <w:vAlign w:val="center"/>
          </w:tcPr>
          <w:p w:rsidR="00A32E97" w:rsidRPr="00B83B15" w:rsidRDefault="00A32E97" w:rsidP="007E6BB1">
            <w:pPr>
              <w:widowControl w:val="0"/>
              <w:tabs>
                <w:tab w:val="left" w:pos="567"/>
              </w:tabs>
              <w:spacing w:line="240" w:lineRule="auto"/>
              <w:ind w:right="74"/>
              <w:jc w:val="both"/>
              <w:rPr>
                <w:rFonts w:ascii="Times New Roman" w:hAnsi="Times New Roman" w:cs="Times New Roman"/>
              </w:rPr>
            </w:pPr>
            <w:r w:rsidRPr="00B83B15">
              <w:rPr>
                <w:rFonts w:ascii="Times New Roman" w:hAnsi="Times New Roman" w:cs="Times New Roman"/>
              </w:rPr>
              <w:t>Không đủ điều kiện do năm 2012 lỗ.</w:t>
            </w:r>
          </w:p>
        </w:tc>
      </w:tr>
      <w:tr w:rsidR="00A32E97" w:rsidRPr="00B83B15" w:rsidTr="00A32E97">
        <w:tc>
          <w:tcPr>
            <w:tcW w:w="709"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sidRPr="00B83B15">
              <w:rPr>
                <w:rFonts w:ascii="Times New Roman" w:hAnsi="Times New Roman" w:cs="Times New Roman"/>
              </w:rPr>
              <w:t>7</w:t>
            </w:r>
          </w:p>
        </w:tc>
        <w:tc>
          <w:tcPr>
            <w:tcW w:w="2977"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rPr>
            </w:pPr>
            <w:r w:rsidRPr="00B83B15">
              <w:rPr>
                <w:rFonts w:ascii="Times New Roman" w:hAnsi="Times New Roman" w:cs="Times New Roman"/>
              </w:rPr>
              <w:t>Sửa đổi, bổ sung Điều lệ</w:t>
            </w:r>
          </w:p>
        </w:tc>
        <w:tc>
          <w:tcPr>
            <w:tcW w:w="1417"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Pr>
                <w:rFonts w:ascii="Times New Roman" w:hAnsi="Times New Roman" w:cs="Times New Roman"/>
              </w:rPr>
              <w:t>Hoàn thành</w:t>
            </w:r>
          </w:p>
        </w:tc>
        <w:tc>
          <w:tcPr>
            <w:tcW w:w="3544"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rPr>
            </w:pPr>
          </w:p>
        </w:tc>
      </w:tr>
      <w:tr w:rsidR="00A32E97" w:rsidRPr="00B83B15" w:rsidTr="00A32E97">
        <w:tc>
          <w:tcPr>
            <w:tcW w:w="709"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sidRPr="00B83B15">
              <w:rPr>
                <w:rFonts w:ascii="Times New Roman" w:hAnsi="Times New Roman" w:cs="Times New Roman"/>
              </w:rPr>
              <w:t>8</w:t>
            </w:r>
          </w:p>
        </w:tc>
        <w:tc>
          <w:tcPr>
            <w:tcW w:w="2977"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rPr>
            </w:pPr>
            <w:r w:rsidRPr="00B83B15">
              <w:rPr>
                <w:rFonts w:ascii="Times New Roman" w:hAnsi="Times New Roman" w:cs="Times New Roman"/>
              </w:rPr>
              <w:t xml:space="preserve">Quy trình tổ chức họp ĐHĐCĐ </w:t>
            </w:r>
          </w:p>
        </w:tc>
        <w:tc>
          <w:tcPr>
            <w:tcW w:w="1417" w:type="dxa"/>
            <w:vAlign w:val="center"/>
          </w:tcPr>
          <w:p w:rsidR="00A32E97" w:rsidRPr="00B83B15" w:rsidRDefault="00A32E97" w:rsidP="007E6BB1">
            <w:pPr>
              <w:widowControl w:val="0"/>
              <w:tabs>
                <w:tab w:val="left" w:pos="567"/>
              </w:tabs>
              <w:spacing w:line="240" w:lineRule="auto"/>
              <w:ind w:right="74"/>
              <w:jc w:val="center"/>
              <w:rPr>
                <w:rFonts w:ascii="Times New Roman" w:hAnsi="Times New Roman" w:cs="Times New Roman"/>
              </w:rPr>
            </w:pPr>
            <w:r>
              <w:rPr>
                <w:rFonts w:ascii="Times New Roman" w:hAnsi="Times New Roman" w:cs="Times New Roman"/>
              </w:rPr>
              <w:t>Hoàn thành</w:t>
            </w:r>
          </w:p>
        </w:tc>
        <w:tc>
          <w:tcPr>
            <w:tcW w:w="3544" w:type="dxa"/>
            <w:vAlign w:val="center"/>
          </w:tcPr>
          <w:p w:rsidR="00A32E97" w:rsidRPr="00B83B15" w:rsidRDefault="00A32E97" w:rsidP="007E6BB1">
            <w:pPr>
              <w:widowControl w:val="0"/>
              <w:tabs>
                <w:tab w:val="left" w:pos="567"/>
              </w:tabs>
              <w:spacing w:line="240" w:lineRule="auto"/>
              <w:ind w:right="74"/>
              <w:rPr>
                <w:rFonts w:ascii="Times New Roman" w:hAnsi="Times New Roman" w:cs="Times New Roman"/>
              </w:rPr>
            </w:pPr>
          </w:p>
        </w:tc>
      </w:tr>
    </w:tbl>
    <w:p w:rsidR="003F7EE0" w:rsidRPr="003F7EE0" w:rsidRDefault="003F7EE0" w:rsidP="007E6BB1">
      <w:pPr>
        <w:widowControl w:val="0"/>
        <w:tabs>
          <w:tab w:val="left" w:pos="567"/>
        </w:tabs>
        <w:spacing w:line="288" w:lineRule="auto"/>
        <w:ind w:left="567" w:right="73" w:hanging="567"/>
        <w:rPr>
          <w:rFonts w:ascii="Times New Roman" w:hAnsi="Times New Roman" w:cs="Times New Roman"/>
          <w:b/>
          <w:sz w:val="24"/>
          <w:szCs w:val="24"/>
        </w:rPr>
      </w:pPr>
      <w:r w:rsidRPr="003F7EE0">
        <w:rPr>
          <w:rFonts w:ascii="Times New Roman" w:hAnsi="Times New Roman" w:cs="Times New Roman"/>
          <w:b/>
          <w:sz w:val="24"/>
          <w:szCs w:val="24"/>
        </w:rPr>
        <w:t xml:space="preserve">B. </w:t>
      </w:r>
      <w:r>
        <w:rPr>
          <w:rFonts w:ascii="Times New Roman" w:hAnsi="Times New Roman" w:cs="Times New Roman"/>
          <w:b/>
          <w:sz w:val="24"/>
          <w:szCs w:val="24"/>
        </w:rPr>
        <w:tab/>
      </w:r>
      <w:r w:rsidRPr="003F7EE0">
        <w:rPr>
          <w:rFonts w:ascii="Times New Roman" w:hAnsi="Times New Roman" w:cs="Times New Roman"/>
          <w:b/>
          <w:sz w:val="24"/>
          <w:szCs w:val="24"/>
        </w:rPr>
        <w:t xml:space="preserve">THÙ LAO CỦA HỘI ĐỒNG QUẢN TRỊ </w:t>
      </w:r>
    </w:p>
    <w:p w:rsidR="009C7D08" w:rsidRDefault="009C7D08" w:rsidP="007E6BB1">
      <w:pPr>
        <w:pStyle w:val="ListParagraph"/>
        <w:widowControl w:val="0"/>
        <w:numPr>
          <w:ilvl w:val="0"/>
          <w:numId w:val="11"/>
        </w:numPr>
        <w:tabs>
          <w:tab w:val="left" w:pos="851"/>
        </w:tabs>
        <w:spacing w:line="288" w:lineRule="auto"/>
        <w:ind w:left="851" w:right="73" w:hanging="284"/>
        <w:rPr>
          <w:rFonts w:ascii="Times New Roman" w:hAnsi="Times New Roman" w:cs="Times New Roman"/>
          <w:sz w:val="24"/>
          <w:szCs w:val="24"/>
        </w:rPr>
      </w:pPr>
      <w:r>
        <w:rPr>
          <w:rFonts w:ascii="Times New Roman" w:hAnsi="Times New Roman" w:cs="Times New Roman"/>
          <w:sz w:val="24"/>
          <w:szCs w:val="24"/>
        </w:rPr>
        <w:t>Tổng số thành viên HĐQT: 05 thành viên</w:t>
      </w:r>
    </w:p>
    <w:p w:rsidR="008F3A60" w:rsidRPr="008F3A60" w:rsidRDefault="008F3A60" w:rsidP="007E6BB1">
      <w:pPr>
        <w:pStyle w:val="ListParagraph"/>
        <w:widowControl w:val="0"/>
        <w:numPr>
          <w:ilvl w:val="0"/>
          <w:numId w:val="11"/>
        </w:numPr>
        <w:tabs>
          <w:tab w:val="left" w:pos="851"/>
        </w:tabs>
        <w:spacing w:line="288" w:lineRule="auto"/>
        <w:ind w:left="851" w:right="73" w:hanging="284"/>
        <w:rPr>
          <w:rFonts w:ascii="Times New Roman" w:hAnsi="Times New Roman" w:cs="Times New Roman"/>
          <w:sz w:val="24"/>
          <w:szCs w:val="24"/>
        </w:rPr>
      </w:pPr>
      <w:r w:rsidRPr="008F3A60">
        <w:rPr>
          <w:rFonts w:ascii="Times New Roman" w:hAnsi="Times New Roman" w:cs="Times New Roman"/>
          <w:sz w:val="24"/>
          <w:szCs w:val="24"/>
        </w:rPr>
        <w:t xml:space="preserve">Thù lao HĐQT từ 01/01/2014 đến 31/03/2014 đã được ĐHĐCĐ thông qua tại phiên họp ngày 28/04/2014 là 73.972.603 VND. </w:t>
      </w:r>
    </w:p>
    <w:p w:rsidR="009C7D08" w:rsidRDefault="009C7D08" w:rsidP="007E6BB1">
      <w:pPr>
        <w:pStyle w:val="ListParagraph"/>
        <w:widowControl w:val="0"/>
        <w:numPr>
          <w:ilvl w:val="0"/>
          <w:numId w:val="11"/>
        </w:numPr>
        <w:tabs>
          <w:tab w:val="left" w:pos="851"/>
        </w:tabs>
        <w:spacing w:line="288" w:lineRule="auto"/>
        <w:ind w:left="851" w:right="73" w:hanging="284"/>
        <w:rPr>
          <w:rFonts w:ascii="Times New Roman" w:hAnsi="Times New Roman" w:cs="Times New Roman"/>
          <w:sz w:val="24"/>
          <w:szCs w:val="24"/>
        </w:rPr>
      </w:pPr>
      <w:r>
        <w:rPr>
          <w:rFonts w:ascii="Times New Roman" w:hAnsi="Times New Roman" w:cs="Times New Roman"/>
          <w:sz w:val="24"/>
          <w:szCs w:val="24"/>
        </w:rPr>
        <w:t>Thù lao</w:t>
      </w:r>
      <w:r w:rsidR="008F3A60">
        <w:rPr>
          <w:rFonts w:ascii="Times New Roman" w:hAnsi="Times New Roman" w:cs="Times New Roman"/>
          <w:sz w:val="24"/>
          <w:szCs w:val="24"/>
        </w:rPr>
        <w:t xml:space="preserve">HĐQT </w:t>
      </w:r>
      <w:r w:rsidR="0000184D">
        <w:rPr>
          <w:rFonts w:ascii="Times New Roman" w:hAnsi="Times New Roman" w:cs="Times New Roman"/>
          <w:sz w:val="24"/>
          <w:szCs w:val="24"/>
        </w:rPr>
        <w:t xml:space="preserve">đã tạm ứng </w:t>
      </w:r>
      <w:r w:rsidR="004D4E58">
        <w:rPr>
          <w:rFonts w:ascii="Times New Roman" w:hAnsi="Times New Roman" w:cs="Times New Roman"/>
          <w:sz w:val="24"/>
          <w:szCs w:val="24"/>
        </w:rPr>
        <w:t>từ ngày 01/04/2014 đến ngày 31/12/2014</w:t>
      </w:r>
      <w:r w:rsidR="008F3A60">
        <w:rPr>
          <w:rFonts w:ascii="Times New Roman" w:hAnsi="Times New Roman" w:cs="Times New Roman"/>
          <w:sz w:val="24"/>
          <w:szCs w:val="24"/>
        </w:rPr>
        <w:t xml:space="preserve"> là</w:t>
      </w:r>
      <w:r w:rsidR="004D4E58">
        <w:rPr>
          <w:rFonts w:ascii="Times New Roman" w:hAnsi="Times New Roman" w:cs="Times New Roman"/>
          <w:sz w:val="24"/>
          <w:szCs w:val="24"/>
        </w:rPr>
        <w:t>: 1.023.000</w:t>
      </w:r>
      <w:r>
        <w:rPr>
          <w:rFonts w:ascii="Times New Roman" w:hAnsi="Times New Roman" w:cs="Times New Roman"/>
          <w:sz w:val="24"/>
          <w:szCs w:val="24"/>
        </w:rPr>
        <w:t>.000</w:t>
      </w:r>
      <w:r w:rsidR="004D4E58">
        <w:rPr>
          <w:rFonts w:ascii="Times New Roman" w:hAnsi="Times New Roman" w:cs="Times New Roman"/>
          <w:sz w:val="24"/>
          <w:szCs w:val="24"/>
        </w:rPr>
        <w:t xml:space="preserve"> VND</w:t>
      </w:r>
      <w:r w:rsidR="007E6BB1">
        <w:rPr>
          <w:rFonts w:ascii="Times New Roman" w:hAnsi="Times New Roman" w:cs="Times New Roman"/>
          <w:sz w:val="24"/>
          <w:szCs w:val="24"/>
        </w:rPr>
        <w:t xml:space="preserve">. Tổng mức thù lao này nằm trong hạn mức được ĐHĐCĐ phê duyệt </w:t>
      </w:r>
      <w:r w:rsidR="00A73B82">
        <w:rPr>
          <w:rFonts w:ascii="Times New Roman" w:hAnsi="Times New Roman" w:cs="Times New Roman"/>
          <w:sz w:val="24"/>
          <w:szCs w:val="24"/>
        </w:rPr>
        <w:t xml:space="preserve">tại </w:t>
      </w:r>
      <w:r w:rsidR="007E6BB1">
        <w:rPr>
          <w:rFonts w:ascii="Times New Roman" w:hAnsi="Times New Roman" w:cs="Times New Roman"/>
          <w:sz w:val="24"/>
          <w:szCs w:val="24"/>
        </w:rPr>
        <w:t xml:space="preserve">cuộc họp </w:t>
      </w:r>
      <w:r w:rsidR="00A73B82">
        <w:rPr>
          <w:rFonts w:ascii="Times New Roman" w:hAnsi="Times New Roman" w:cs="Times New Roman"/>
          <w:sz w:val="24"/>
          <w:szCs w:val="24"/>
        </w:rPr>
        <w:t xml:space="preserve">ĐHCĐ </w:t>
      </w:r>
      <w:r w:rsidR="007E6BB1">
        <w:rPr>
          <w:rFonts w:ascii="Times New Roman" w:hAnsi="Times New Roman" w:cs="Times New Roman"/>
          <w:sz w:val="24"/>
          <w:szCs w:val="24"/>
        </w:rPr>
        <w:t xml:space="preserve">thường niên 2014 tổ chức vào ngày 28/04/2014 là 2 tỉ đồng. Chi tiết thù lao của các thành viên HĐQT như sau: </w:t>
      </w:r>
    </w:p>
    <w:tbl>
      <w:tblPr>
        <w:tblStyle w:val="TableGrid"/>
        <w:tblW w:w="0" w:type="auto"/>
        <w:tblInd w:w="988" w:type="dxa"/>
        <w:tblLook w:val="04A0"/>
      </w:tblPr>
      <w:tblGrid>
        <w:gridCol w:w="708"/>
        <w:gridCol w:w="3261"/>
        <w:gridCol w:w="1984"/>
        <w:gridCol w:w="2268"/>
      </w:tblGrid>
      <w:tr w:rsidR="007E6BB1" w:rsidRPr="00BF4B06" w:rsidTr="007E6BB1">
        <w:tc>
          <w:tcPr>
            <w:tcW w:w="708" w:type="dxa"/>
          </w:tcPr>
          <w:p w:rsidR="007E6BB1" w:rsidRPr="00BF4B06" w:rsidRDefault="007E6BB1" w:rsidP="007E6BB1">
            <w:pPr>
              <w:jc w:val="both"/>
              <w:rPr>
                <w:rFonts w:ascii="Times New Roman" w:hAnsi="Times New Roman" w:cs="Times New Roman"/>
                <w:b/>
                <w:sz w:val="24"/>
                <w:szCs w:val="24"/>
                <w:lang w:val="it-IT"/>
              </w:rPr>
            </w:pPr>
            <w:r w:rsidRPr="00BF4B06">
              <w:rPr>
                <w:rFonts w:ascii="Times New Roman" w:hAnsi="Times New Roman" w:cs="Times New Roman"/>
                <w:b/>
                <w:sz w:val="24"/>
                <w:szCs w:val="24"/>
                <w:lang w:val="it-IT"/>
              </w:rPr>
              <w:t>STT</w:t>
            </w:r>
          </w:p>
        </w:tc>
        <w:tc>
          <w:tcPr>
            <w:tcW w:w="3261" w:type="dxa"/>
          </w:tcPr>
          <w:p w:rsidR="007E6BB1" w:rsidRPr="00BF4B06" w:rsidRDefault="007E6BB1" w:rsidP="007E6BB1">
            <w:pPr>
              <w:jc w:val="both"/>
              <w:rPr>
                <w:rFonts w:ascii="Times New Roman" w:hAnsi="Times New Roman" w:cs="Times New Roman"/>
                <w:b/>
                <w:sz w:val="24"/>
                <w:szCs w:val="24"/>
                <w:lang w:val="it-IT"/>
              </w:rPr>
            </w:pPr>
            <w:r w:rsidRPr="00BF4B06">
              <w:rPr>
                <w:rFonts w:ascii="Times New Roman" w:hAnsi="Times New Roman" w:cs="Times New Roman"/>
                <w:b/>
                <w:sz w:val="24"/>
                <w:szCs w:val="24"/>
                <w:lang w:val="it-IT"/>
              </w:rPr>
              <w:t>Chức danh</w:t>
            </w:r>
          </w:p>
        </w:tc>
        <w:tc>
          <w:tcPr>
            <w:tcW w:w="1984" w:type="dxa"/>
          </w:tcPr>
          <w:p w:rsidR="007E6BB1" w:rsidRPr="00BF4B06" w:rsidRDefault="007E6BB1" w:rsidP="007E6BB1">
            <w:pPr>
              <w:jc w:val="center"/>
              <w:rPr>
                <w:rFonts w:ascii="Times New Roman" w:hAnsi="Times New Roman" w:cs="Times New Roman"/>
                <w:b/>
                <w:sz w:val="24"/>
                <w:szCs w:val="24"/>
                <w:lang w:val="it-IT"/>
              </w:rPr>
            </w:pPr>
            <w:r>
              <w:rPr>
                <w:rFonts w:ascii="Times New Roman" w:hAnsi="Times New Roman" w:cs="Times New Roman"/>
                <w:b/>
                <w:sz w:val="24"/>
                <w:szCs w:val="24"/>
                <w:lang w:val="it-IT"/>
              </w:rPr>
              <w:t>Từ 01/01/2014 đến 31/03/2014</w:t>
            </w:r>
          </w:p>
        </w:tc>
        <w:tc>
          <w:tcPr>
            <w:tcW w:w="2268" w:type="dxa"/>
          </w:tcPr>
          <w:p w:rsidR="007E6BB1" w:rsidRPr="00BF4B06" w:rsidRDefault="007E6BB1" w:rsidP="00A73B82">
            <w:pPr>
              <w:jc w:val="center"/>
              <w:rPr>
                <w:rFonts w:ascii="Times New Roman" w:hAnsi="Times New Roman" w:cs="Times New Roman"/>
                <w:b/>
                <w:sz w:val="24"/>
                <w:szCs w:val="24"/>
                <w:lang w:val="it-IT"/>
              </w:rPr>
            </w:pPr>
            <w:r>
              <w:rPr>
                <w:rFonts w:ascii="Times New Roman" w:hAnsi="Times New Roman" w:cs="Times New Roman"/>
                <w:b/>
                <w:sz w:val="24"/>
                <w:szCs w:val="24"/>
                <w:lang w:val="it-IT"/>
              </w:rPr>
              <w:t>Từ 01/0</w:t>
            </w:r>
            <w:r w:rsidR="00A73B82">
              <w:rPr>
                <w:rFonts w:ascii="Times New Roman" w:hAnsi="Times New Roman" w:cs="Times New Roman"/>
                <w:b/>
                <w:sz w:val="24"/>
                <w:szCs w:val="24"/>
                <w:lang w:val="it-IT"/>
              </w:rPr>
              <w:t>4</w:t>
            </w:r>
            <w:r>
              <w:rPr>
                <w:rFonts w:ascii="Times New Roman" w:hAnsi="Times New Roman" w:cs="Times New Roman"/>
                <w:b/>
                <w:sz w:val="24"/>
                <w:szCs w:val="24"/>
                <w:lang w:val="it-IT"/>
              </w:rPr>
              <w:t>/2014 đến 31/</w:t>
            </w:r>
            <w:r w:rsidR="00A73B82">
              <w:rPr>
                <w:rFonts w:ascii="Times New Roman" w:hAnsi="Times New Roman" w:cs="Times New Roman"/>
                <w:b/>
                <w:sz w:val="24"/>
                <w:szCs w:val="24"/>
                <w:lang w:val="it-IT"/>
              </w:rPr>
              <w:t>12</w:t>
            </w:r>
            <w:r>
              <w:rPr>
                <w:rFonts w:ascii="Times New Roman" w:hAnsi="Times New Roman" w:cs="Times New Roman"/>
                <w:b/>
                <w:sz w:val="24"/>
                <w:szCs w:val="24"/>
                <w:lang w:val="it-IT"/>
              </w:rPr>
              <w:t>/2014</w:t>
            </w:r>
          </w:p>
        </w:tc>
      </w:tr>
      <w:tr w:rsidR="007E6BB1" w:rsidRPr="00BF4B06" w:rsidTr="007E6BB1">
        <w:tc>
          <w:tcPr>
            <w:tcW w:w="708" w:type="dxa"/>
          </w:tcPr>
          <w:p w:rsidR="007E6BB1" w:rsidRPr="00BF4B06" w:rsidRDefault="007E6BB1" w:rsidP="007E6BB1">
            <w:pPr>
              <w:jc w:val="both"/>
              <w:rPr>
                <w:rFonts w:ascii="Times New Roman" w:hAnsi="Times New Roman" w:cs="Times New Roman"/>
                <w:b/>
                <w:sz w:val="24"/>
                <w:szCs w:val="24"/>
                <w:lang w:val="it-IT"/>
              </w:rPr>
            </w:pPr>
          </w:p>
        </w:tc>
        <w:tc>
          <w:tcPr>
            <w:tcW w:w="3261" w:type="dxa"/>
          </w:tcPr>
          <w:p w:rsidR="007E6BB1" w:rsidRPr="00BF4B06" w:rsidRDefault="007E6BB1" w:rsidP="007E6BB1">
            <w:pPr>
              <w:jc w:val="both"/>
              <w:rPr>
                <w:rFonts w:ascii="Times New Roman" w:hAnsi="Times New Roman" w:cs="Times New Roman"/>
                <w:b/>
                <w:sz w:val="24"/>
                <w:szCs w:val="24"/>
                <w:lang w:val="it-IT"/>
              </w:rPr>
            </w:pPr>
            <w:r w:rsidRPr="00BF4B06">
              <w:rPr>
                <w:rFonts w:ascii="Times New Roman" w:hAnsi="Times New Roman" w:cs="Times New Roman"/>
                <w:b/>
                <w:sz w:val="24"/>
                <w:szCs w:val="24"/>
                <w:lang w:val="it-IT"/>
              </w:rPr>
              <w:t>Hội đồng quản trị</w:t>
            </w:r>
          </w:p>
        </w:tc>
        <w:tc>
          <w:tcPr>
            <w:tcW w:w="1984" w:type="dxa"/>
          </w:tcPr>
          <w:p w:rsidR="007E6BB1" w:rsidRPr="00BF4B06" w:rsidRDefault="007E6BB1" w:rsidP="007E6BB1">
            <w:pPr>
              <w:jc w:val="right"/>
              <w:rPr>
                <w:rFonts w:ascii="Times New Roman" w:hAnsi="Times New Roman" w:cs="Times New Roman"/>
                <w:b/>
                <w:sz w:val="24"/>
                <w:szCs w:val="24"/>
                <w:lang w:val="it-IT"/>
              </w:rPr>
            </w:pPr>
            <w:r>
              <w:rPr>
                <w:rFonts w:ascii="Times New Roman" w:hAnsi="Times New Roman" w:cs="Times New Roman"/>
                <w:b/>
                <w:sz w:val="24"/>
                <w:szCs w:val="24"/>
                <w:lang w:val="it-IT"/>
              </w:rPr>
              <w:t>73.972.603 VND</w:t>
            </w:r>
          </w:p>
        </w:tc>
        <w:tc>
          <w:tcPr>
            <w:tcW w:w="2268" w:type="dxa"/>
          </w:tcPr>
          <w:p w:rsidR="007E6BB1" w:rsidRPr="00BF4B06" w:rsidRDefault="007E6BB1" w:rsidP="007E6BB1">
            <w:pPr>
              <w:jc w:val="right"/>
              <w:rPr>
                <w:rFonts w:ascii="Times New Roman" w:hAnsi="Times New Roman" w:cs="Times New Roman"/>
                <w:b/>
                <w:sz w:val="24"/>
                <w:szCs w:val="24"/>
                <w:lang w:val="it-IT"/>
              </w:rPr>
            </w:pPr>
            <w:r w:rsidRPr="00BF4B06">
              <w:rPr>
                <w:rFonts w:ascii="Times New Roman" w:hAnsi="Times New Roman" w:cs="Times New Roman"/>
                <w:b/>
                <w:sz w:val="24"/>
                <w:szCs w:val="24"/>
                <w:lang w:val="it-IT"/>
              </w:rPr>
              <w:t>1.023.000.000 VND</w:t>
            </w:r>
          </w:p>
        </w:tc>
      </w:tr>
      <w:tr w:rsidR="007E6BB1" w:rsidRPr="00BF4B06" w:rsidTr="007E6BB1">
        <w:tc>
          <w:tcPr>
            <w:tcW w:w="708" w:type="dxa"/>
            <w:vAlign w:val="center"/>
          </w:tcPr>
          <w:p w:rsidR="007E6BB1" w:rsidRPr="00BF4B06" w:rsidRDefault="007E6BB1" w:rsidP="007E6BB1">
            <w:pPr>
              <w:jc w:val="center"/>
              <w:rPr>
                <w:rFonts w:ascii="Times New Roman" w:eastAsia="Times New Roman" w:hAnsi="Times New Roman" w:cs="Times New Roman"/>
                <w:color w:val="000000"/>
                <w:sz w:val="24"/>
                <w:szCs w:val="24"/>
              </w:rPr>
            </w:pPr>
            <w:r w:rsidRPr="00BF4B06">
              <w:rPr>
                <w:rFonts w:ascii="Times New Roman" w:eastAsia="Times New Roman" w:hAnsi="Times New Roman" w:cs="Times New Roman"/>
                <w:color w:val="000000"/>
                <w:sz w:val="24"/>
                <w:szCs w:val="24"/>
              </w:rPr>
              <w:t>1</w:t>
            </w:r>
          </w:p>
        </w:tc>
        <w:tc>
          <w:tcPr>
            <w:tcW w:w="3261" w:type="dxa"/>
            <w:vAlign w:val="center"/>
          </w:tcPr>
          <w:p w:rsidR="007E6BB1" w:rsidRPr="00BF4B06" w:rsidRDefault="007E6BB1" w:rsidP="007E6BB1">
            <w:pPr>
              <w:rPr>
                <w:rFonts w:ascii="Times New Roman" w:eastAsia="Times New Roman" w:hAnsi="Times New Roman" w:cs="Times New Roman"/>
                <w:color w:val="000000"/>
                <w:sz w:val="24"/>
                <w:szCs w:val="24"/>
              </w:rPr>
            </w:pPr>
            <w:r w:rsidRPr="00BF4B06">
              <w:rPr>
                <w:rFonts w:ascii="Times New Roman" w:eastAsia="Times New Roman" w:hAnsi="Times New Roman" w:cs="Times New Roman"/>
                <w:color w:val="000000"/>
                <w:sz w:val="24"/>
                <w:szCs w:val="24"/>
              </w:rPr>
              <w:t>Chủ tịch HĐQT</w:t>
            </w:r>
          </w:p>
        </w:tc>
        <w:tc>
          <w:tcPr>
            <w:tcW w:w="1984" w:type="dxa"/>
          </w:tcPr>
          <w:p w:rsidR="007E6BB1" w:rsidRPr="00BF4B06" w:rsidRDefault="007E6BB1" w:rsidP="007E6BB1">
            <w:pPr>
              <w:jc w:val="right"/>
              <w:rPr>
                <w:rFonts w:ascii="Times New Roman" w:hAnsi="Times New Roman" w:cs="Times New Roman"/>
                <w:sz w:val="24"/>
                <w:szCs w:val="24"/>
                <w:lang w:val="it-IT"/>
              </w:rPr>
            </w:pPr>
          </w:p>
        </w:tc>
        <w:tc>
          <w:tcPr>
            <w:tcW w:w="2268" w:type="dxa"/>
            <w:vAlign w:val="center"/>
          </w:tcPr>
          <w:p w:rsidR="007E6BB1" w:rsidRPr="00BF4B06" w:rsidRDefault="007E6BB1" w:rsidP="007E6BB1">
            <w:pPr>
              <w:jc w:val="right"/>
              <w:rPr>
                <w:rFonts w:ascii="Times New Roman" w:eastAsia="Times New Roman" w:hAnsi="Times New Roman" w:cs="Times New Roman"/>
                <w:color w:val="000000"/>
                <w:sz w:val="24"/>
                <w:szCs w:val="24"/>
              </w:rPr>
            </w:pPr>
            <w:r w:rsidRPr="00BF4B06">
              <w:rPr>
                <w:rFonts w:ascii="Times New Roman" w:eastAsia="Times New Roman" w:hAnsi="Times New Roman" w:cs="Times New Roman"/>
                <w:color w:val="000000"/>
                <w:sz w:val="24"/>
                <w:szCs w:val="24"/>
              </w:rPr>
              <w:t>556.000.000 VND</w:t>
            </w:r>
          </w:p>
        </w:tc>
      </w:tr>
      <w:tr w:rsidR="007E6BB1" w:rsidRPr="00BF4B06" w:rsidTr="007E6BB1">
        <w:tc>
          <w:tcPr>
            <w:tcW w:w="708" w:type="dxa"/>
            <w:vAlign w:val="center"/>
          </w:tcPr>
          <w:p w:rsidR="007E6BB1" w:rsidRPr="00BF4B06" w:rsidRDefault="007E6BB1" w:rsidP="007E6BB1">
            <w:pPr>
              <w:jc w:val="center"/>
              <w:rPr>
                <w:rFonts w:ascii="Times New Roman" w:eastAsia="Times New Roman" w:hAnsi="Times New Roman" w:cs="Times New Roman"/>
                <w:color w:val="000000"/>
                <w:sz w:val="24"/>
                <w:szCs w:val="24"/>
              </w:rPr>
            </w:pPr>
            <w:r w:rsidRPr="00BF4B06">
              <w:rPr>
                <w:rFonts w:ascii="Times New Roman" w:eastAsia="Times New Roman" w:hAnsi="Times New Roman" w:cs="Times New Roman"/>
                <w:color w:val="000000"/>
                <w:sz w:val="24"/>
                <w:szCs w:val="24"/>
              </w:rPr>
              <w:t>2</w:t>
            </w:r>
          </w:p>
        </w:tc>
        <w:tc>
          <w:tcPr>
            <w:tcW w:w="3261" w:type="dxa"/>
            <w:vAlign w:val="center"/>
          </w:tcPr>
          <w:p w:rsidR="007E6BB1" w:rsidRPr="00BF4B06" w:rsidRDefault="007E6BB1" w:rsidP="007E6BB1">
            <w:pPr>
              <w:rPr>
                <w:rFonts w:ascii="Times New Roman" w:eastAsia="Times New Roman" w:hAnsi="Times New Roman" w:cs="Times New Roman"/>
                <w:color w:val="000000"/>
                <w:sz w:val="24"/>
                <w:szCs w:val="24"/>
              </w:rPr>
            </w:pPr>
            <w:r w:rsidRPr="00BF4B06">
              <w:rPr>
                <w:rFonts w:ascii="Times New Roman" w:eastAsia="Times New Roman" w:hAnsi="Times New Roman" w:cs="Times New Roman"/>
                <w:color w:val="000000"/>
                <w:sz w:val="24"/>
                <w:szCs w:val="24"/>
              </w:rPr>
              <w:t>Phó Chủ tịch HĐQT</w:t>
            </w:r>
          </w:p>
        </w:tc>
        <w:tc>
          <w:tcPr>
            <w:tcW w:w="1984" w:type="dxa"/>
          </w:tcPr>
          <w:p w:rsidR="007E6BB1" w:rsidRPr="00BF4B06" w:rsidRDefault="007E6BB1" w:rsidP="007E6BB1">
            <w:pPr>
              <w:jc w:val="right"/>
              <w:rPr>
                <w:rFonts w:ascii="Times New Roman" w:hAnsi="Times New Roman" w:cs="Times New Roman"/>
                <w:sz w:val="24"/>
                <w:szCs w:val="24"/>
                <w:lang w:val="it-IT"/>
              </w:rPr>
            </w:pPr>
          </w:p>
        </w:tc>
        <w:tc>
          <w:tcPr>
            <w:tcW w:w="2268" w:type="dxa"/>
            <w:vAlign w:val="center"/>
          </w:tcPr>
          <w:p w:rsidR="007E6BB1" w:rsidRPr="00BF4B06" w:rsidRDefault="007E6BB1" w:rsidP="007E6BB1">
            <w:pPr>
              <w:jc w:val="right"/>
              <w:rPr>
                <w:rFonts w:ascii="Times New Roman" w:eastAsia="Times New Roman" w:hAnsi="Times New Roman" w:cs="Times New Roman"/>
                <w:color w:val="000000"/>
                <w:sz w:val="24"/>
                <w:szCs w:val="24"/>
              </w:rPr>
            </w:pPr>
            <w:r w:rsidRPr="00BF4B06">
              <w:rPr>
                <w:rFonts w:ascii="Times New Roman" w:eastAsia="Times New Roman" w:hAnsi="Times New Roman" w:cs="Times New Roman"/>
                <w:color w:val="000000"/>
                <w:sz w:val="24"/>
                <w:szCs w:val="24"/>
              </w:rPr>
              <w:t xml:space="preserve">132.000.000 VND  </w:t>
            </w:r>
          </w:p>
        </w:tc>
      </w:tr>
      <w:tr w:rsidR="007E6BB1" w:rsidRPr="00BF4B06" w:rsidTr="007E6BB1">
        <w:tc>
          <w:tcPr>
            <w:tcW w:w="708" w:type="dxa"/>
            <w:vAlign w:val="center"/>
          </w:tcPr>
          <w:p w:rsidR="007E6BB1" w:rsidRPr="00BF4B06" w:rsidRDefault="007E6BB1" w:rsidP="007E6BB1">
            <w:pPr>
              <w:jc w:val="center"/>
              <w:rPr>
                <w:rFonts w:ascii="Times New Roman" w:eastAsia="Times New Roman" w:hAnsi="Times New Roman" w:cs="Times New Roman"/>
                <w:color w:val="000000"/>
                <w:sz w:val="24"/>
                <w:szCs w:val="24"/>
              </w:rPr>
            </w:pPr>
            <w:r w:rsidRPr="00BF4B06">
              <w:rPr>
                <w:rFonts w:ascii="Times New Roman" w:eastAsia="Times New Roman" w:hAnsi="Times New Roman" w:cs="Times New Roman"/>
                <w:color w:val="000000"/>
                <w:sz w:val="24"/>
                <w:szCs w:val="24"/>
              </w:rPr>
              <w:lastRenderedPageBreak/>
              <w:t>3</w:t>
            </w:r>
          </w:p>
        </w:tc>
        <w:tc>
          <w:tcPr>
            <w:tcW w:w="3261" w:type="dxa"/>
            <w:vAlign w:val="center"/>
          </w:tcPr>
          <w:p w:rsidR="007E6BB1" w:rsidRPr="00BF4B06" w:rsidRDefault="007E6BB1" w:rsidP="007E6BB1">
            <w:pPr>
              <w:rPr>
                <w:rFonts w:ascii="Times New Roman" w:eastAsia="Times New Roman" w:hAnsi="Times New Roman" w:cs="Times New Roman"/>
                <w:color w:val="000000"/>
                <w:sz w:val="24"/>
                <w:szCs w:val="24"/>
              </w:rPr>
            </w:pPr>
            <w:r w:rsidRPr="00BF4B06">
              <w:rPr>
                <w:rFonts w:ascii="Times New Roman" w:eastAsia="Times New Roman" w:hAnsi="Times New Roman" w:cs="Times New Roman"/>
                <w:color w:val="000000"/>
                <w:sz w:val="24"/>
                <w:szCs w:val="24"/>
              </w:rPr>
              <w:t>Thành viên HĐQT</w:t>
            </w:r>
          </w:p>
        </w:tc>
        <w:tc>
          <w:tcPr>
            <w:tcW w:w="1984" w:type="dxa"/>
          </w:tcPr>
          <w:p w:rsidR="007E6BB1" w:rsidRPr="00BF4B06" w:rsidRDefault="007E6BB1" w:rsidP="007E6BB1">
            <w:pPr>
              <w:jc w:val="right"/>
              <w:rPr>
                <w:rFonts w:ascii="Times New Roman" w:hAnsi="Times New Roman" w:cs="Times New Roman"/>
                <w:sz w:val="24"/>
                <w:szCs w:val="24"/>
                <w:lang w:val="it-IT"/>
              </w:rPr>
            </w:pPr>
          </w:p>
        </w:tc>
        <w:tc>
          <w:tcPr>
            <w:tcW w:w="2268" w:type="dxa"/>
            <w:vAlign w:val="center"/>
          </w:tcPr>
          <w:p w:rsidR="007E6BB1" w:rsidRPr="00BF4B06" w:rsidRDefault="007E6BB1" w:rsidP="007E6BB1">
            <w:pPr>
              <w:jc w:val="right"/>
              <w:rPr>
                <w:rFonts w:ascii="Times New Roman" w:eastAsia="Times New Roman" w:hAnsi="Times New Roman" w:cs="Times New Roman"/>
                <w:color w:val="000000"/>
                <w:sz w:val="24"/>
                <w:szCs w:val="24"/>
              </w:rPr>
            </w:pPr>
            <w:r w:rsidRPr="00BF4B06">
              <w:rPr>
                <w:rFonts w:ascii="Times New Roman" w:eastAsia="Times New Roman" w:hAnsi="Times New Roman" w:cs="Times New Roman"/>
                <w:color w:val="000000"/>
                <w:sz w:val="24"/>
                <w:szCs w:val="24"/>
              </w:rPr>
              <w:t xml:space="preserve">335.000.000 VND  </w:t>
            </w:r>
          </w:p>
        </w:tc>
      </w:tr>
    </w:tbl>
    <w:p w:rsidR="007E6BB1" w:rsidRDefault="007E6BB1" w:rsidP="007E6BB1">
      <w:pPr>
        <w:widowControl w:val="0"/>
        <w:tabs>
          <w:tab w:val="left" w:pos="567"/>
        </w:tabs>
        <w:spacing w:line="288" w:lineRule="auto"/>
        <w:jc w:val="both"/>
        <w:rPr>
          <w:rFonts w:ascii="Times New Roman" w:hAnsi="Times New Roman" w:cs="Times New Roman"/>
          <w:b/>
          <w:sz w:val="24"/>
          <w:szCs w:val="24"/>
        </w:rPr>
      </w:pPr>
    </w:p>
    <w:p w:rsidR="007E6BB1" w:rsidRDefault="007E6BB1" w:rsidP="007E6BB1">
      <w:pPr>
        <w:widowControl w:val="0"/>
        <w:tabs>
          <w:tab w:val="left" w:pos="567"/>
        </w:tabs>
        <w:spacing w:line="288" w:lineRule="auto"/>
        <w:jc w:val="both"/>
        <w:rPr>
          <w:rFonts w:ascii="Times New Roman" w:hAnsi="Times New Roman" w:cs="Times New Roman"/>
          <w:b/>
          <w:sz w:val="24"/>
          <w:szCs w:val="24"/>
        </w:rPr>
      </w:pPr>
    </w:p>
    <w:p w:rsidR="007E6BB1" w:rsidRDefault="007E6BB1" w:rsidP="007E6BB1">
      <w:pPr>
        <w:widowControl w:val="0"/>
        <w:tabs>
          <w:tab w:val="left" w:pos="567"/>
        </w:tabs>
        <w:spacing w:line="288" w:lineRule="auto"/>
        <w:jc w:val="both"/>
        <w:rPr>
          <w:rFonts w:ascii="Times New Roman" w:hAnsi="Times New Roman" w:cs="Times New Roman"/>
          <w:b/>
          <w:sz w:val="24"/>
          <w:szCs w:val="24"/>
        </w:rPr>
      </w:pPr>
    </w:p>
    <w:p w:rsidR="003F7EE0" w:rsidRPr="005E210B" w:rsidRDefault="003F7EE0" w:rsidP="007E6BB1">
      <w:pPr>
        <w:widowControl w:val="0"/>
        <w:tabs>
          <w:tab w:val="left" w:pos="567"/>
        </w:tabs>
        <w:spacing w:line="288" w:lineRule="auto"/>
        <w:jc w:val="both"/>
        <w:rPr>
          <w:rFonts w:ascii="Times New Roman" w:hAnsi="Times New Roman" w:cs="Times New Roman"/>
          <w:b/>
          <w:sz w:val="24"/>
          <w:szCs w:val="24"/>
        </w:rPr>
      </w:pPr>
      <w:r>
        <w:rPr>
          <w:rFonts w:ascii="Times New Roman" w:hAnsi="Times New Roman" w:cs="Times New Roman"/>
          <w:b/>
          <w:sz w:val="24"/>
          <w:szCs w:val="24"/>
        </w:rPr>
        <w:t>III</w:t>
      </w:r>
      <w:r w:rsidRPr="005E210B">
        <w:rPr>
          <w:rFonts w:ascii="Times New Roman" w:hAnsi="Times New Roman" w:cs="Times New Roman"/>
          <w:b/>
          <w:sz w:val="24"/>
          <w:szCs w:val="24"/>
        </w:rPr>
        <w:t xml:space="preserve">. </w:t>
      </w:r>
      <w:r w:rsidRPr="005E210B">
        <w:rPr>
          <w:rFonts w:ascii="Times New Roman" w:hAnsi="Times New Roman" w:cs="Times New Roman"/>
          <w:b/>
          <w:sz w:val="24"/>
          <w:szCs w:val="24"/>
        </w:rPr>
        <w:tab/>
        <w:t>KẾ HOẠCH, ĐỊNH HƯỚNG CỦA HỘI ĐỒNG QUẢN TRỊ</w:t>
      </w:r>
      <w:r w:rsidR="008F3A60">
        <w:rPr>
          <w:rFonts w:ascii="Times New Roman" w:hAnsi="Times New Roman" w:cs="Times New Roman"/>
          <w:b/>
          <w:sz w:val="24"/>
          <w:szCs w:val="24"/>
        </w:rPr>
        <w:t xml:space="preserve"> NĂM 2015</w:t>
      </w:r>
    </w:p>
    <w:p w:rsidR="00F929E8" w:rsidRPr="008F3A60" w:rsidRDefault="00F929E8" w:rsidP="007E6BB1">
      <w:pPr>
        <w:pStyle w:val="ListParagraph"/>
        <w:widowControl w:val="0"/>
        <w:numPr>
          <w:ilvl w:val="0"/>
          <w:numId w:val="12"/>
        </w:numPr>
        <w:spacing w:line="288" w:lineRule="auto"/>
        <w:ind w:left="567" w:hanging="567"/>
        <w:jc w:val="both"/>
        <w:rPr>
          <w:rFonts w:ascii="Times New Roman" w:hAnsi="Times New Roman" w:cs="Times New Roman"/>
          <w:b/>
          <w:sz w:val="24"/>
          <w:szCs w:val="24"/>
        </w:rPr>
      </w:pPr>
      <w:r w:rsidRPr="008F3A60">
        <w:rPr>
          <w:rFonts w:ascii="Times New Roman" w:hAnsi="Times New Roman" w:cs="Times New Roman"/>
          <w:b/>
          <w:sz w:val="24"/>
          <w:szCs w:val="24"/>
        </w:rPr>
        <w:t>Kế hoạch, định hướng của Hội đồng quản trị năm 2015</w:t>
      </w:r>
    </w:p>
    <w:p w:rsidR="003F7EE0" w:rsidRPr="009A162C" w:rsidRDefault="003F7EE0" w:rsidP="007E6BB1">
      <w:pPr>
        <w:widowControl w:val="0"/>
        <w:spacing w:line="288" w:lineRule="auto"/>
        <w:ind w:left="567"/>
        <w:jc w:val="both"/>
        <w:rPr>
          <w:rFonts w:ascii="Times New Roman" w:hAnsi="Times New Roman" w:cs="Times New Roman"/>
          <w:sz w:val="24"/>
          <w:szCs w:val="24"/>
        </w:rPr>
      </w:pPr>
      <w:r w:rsidRPr="009A162C">
        <w:rPr>
          <w:rFonts w:ascii="Times New Roman" w:hAnsi="Times New Roman" w:cs="Times New Roman"/>
          <w:sz w:val="24"/>
          <w:szCs w:val="24"/>
        </w:rPr>
        <w:t xml:space="preserve">Dự đoán kinh tế vĩ mô ổn định, lạm phát được kiềm chế, lãi suất ngân hàng giảm và việc thực hiện tái cấu trúc thị trường chứng khoán, thực hiện các đề án về thị trường chứng khoán phái sinh và đề án hợp nhất hai sở giao dịch cũng như cải thiện sức cầu thị trường về đầu tư nước ngoài của Ủy </w:t>
      </w:r>
      <w:r w:rsidR="00D26A78">
        <w:rPr>
          <w:rFonts w:ascii="Times New Roman" w:hAnsi="Times New Roman" w:cs="Times New Roman"/>
          <w:sz w:val="24"/>
          <w:szCs w:val="24"/>
        </w:rPr>
        <w:t>b</w:t>
      </w:r>
      <w:r w:rsidRPr="009A162C">
        <w:rPr>
          <w:rFonts w:ascii="Times New Roman" w:hAnsi="Times New Roman" w:cs="Times New Roman"/>
          <w:sz w:val="24"/>
          <w:szCs w:val="24"/>
        </w:rPr>
        <w:t xml:space="preserve">an Chứng khoán Nhà nước là những yếu tố then chốt giúp thị trường chứng khoán Việt Nam dần dần được hồi phục. Với những dự đoán trên và để tiếp tục nâng cao hiệu quả trong việc sử dụng đồng vốn của cổ đông và nhà đầu tư cũng như duy trì </w:t>
      </w:r>
      <w:r w:rsidR="0079614D">
        <w:rPr>
          <w:rFonts w:ascii="Times New Roman" w:hAnsi="Times New Roman" w:cs="Times New Roman"/>
          <w:sz w:val="24"/>
          <w:szCs w:val="24"/>
        </w:rPr>
        <w:t xml:space="preserve">và hướng tới </w:t>
      </w:r>
      <w:r w:rsidRPr="009A162C">
        <w:rPr>
          <w:rFonts w:ascii="Times New Roman" w:hAnsi="Times New Roman" w:cs="Times New Roman"/>
          <w:sz w:val="24"/>
          <w:szCs w:val="24"/>
        </w:rPr>
        <w:t xml:space="preserve">vị trí công ty chứng khoán hàng đầu Việt Nam, HĐQT Công ty </w:t>
      </w:r>
      <w:r w:rsidR="00492858">
        <w:rPr>
          <w:rFonts w:ascii="Times New Roman" w:hAnsi="Times New Roman" w:cs="Times New Roman"/>
          <w:sz w:val="24"/>
          <w:szCs w:val="24"/>
        </w:rPr>
        <w:t xml:space="preserve">xây dựng kế hoạch, định hướng </w:t>
      </w:r>
      <w:r w:rsidRPr="009A162C">
        <w:rPr>
          <w:rFonts w:ascii="Times New Roman" w:hAnsi="Times New Roman" w:cs="Times New Roman"/>
          <w:sz w:val="24"/>
          <w:szCs w:val="24"/>
        </w:rPr>
        <w:t>hoạt độ</w:t>
      </w:r>
      <w:r>
        <w:rPr>
          <w:rFonts w:ascii="Times New Roman" w:hAnsi="Times New Roman" w:cs="Times New Roman"/>
          <w:sz w:val="24"/>
          <w:szCs w:val="24"/>
        </w:rPr>
        <w:t>ng trong năm 2015</w:t>
      </w:r>
      <w:r w:rsidR="00492858">
        <w:rPr>
          <w:rFonts w:ascii="Times New Roman" w:hAnsi="Times New Roman" w:cs="Times New Roman"/>
          <w:sz w:val="24"/>
          <w:szCs w:val="24"/>
        </w:rPr>
        <w:t xml:space="preserve">sẽ tập trung vào các nội dung </w:t>
      </w:r>
      <w:r w:rsidRPr="009A162C">
        <w:rPr>
          <w:rFonts w:ascii="Times New Roman" w:hAnsi="Times New Roman" w:cs="Times New Roman"/>
          <w:sz w:val="24"/>
          <w:szCs w:val="24"/>
        </w:rPr>
        <w:t xml:space="preserve">sau: </w:t>
      </w:r>
    </w:p>
    <w:p w:rsidR="00D26A78" w:rsidRDefault="00D26A78" w:rsidP="007E6BB1">
      <w:pPr>
        <w:widowControl w:val="0"/>
        <w:numPr>
          <w:ilvl w:val="1"/>
          <w:numId w:val="7"/>
        </w:numPr>
        <w:spacing w:line="288" w:lineRule="auto"/>
        <w:ind w:left="851" w:right="74" w:hanging="284"/>
        <w:jc w:val="both"/>
        <w:rPr>
          <w:rFonts w:ascii="Times New Roman" w:hAnsi="Times New Roman" w:cs="Times New Roman"/>
          <w:sz w:val="24"/>
          <w:szCs w:val="24"/>
        </w:rPr>
      </w:pPr>
      <w:r>
        <w:rPr>
          <w:rFonts w:ascii="Times New Roman" w:hAnsi="Times New Roman" w:cs="Times New Roman"/>
          <w:sz w:val="24"/>
          <w:szCs w:val="24"/>
        </w:rPr>
        <w:t>Tiếp tục ổn định bộ máy tổ chức.</w:t>
      </w:r>
    </w:p>
    <w:p w:rsidR="00D26A78" w:rsidRDefault="00D26A78" w:rsidP="007E6BB1">
      <w:pPr>
        <w:widowControl w:val="0"/>
        <w:numPr>
          <w:ilvl w:val="1"/>
          <w:numId w:val="7"/>
        </w:numPr>
        <w:spacing w:line="288" w:lineRule="auto"/>
        <w:ind w:left="851" w:right="74" w:hanging="284"/>
        <w:jc w:val="both"/>
        <w:rPr>
          <w:rFonts w:ascii="Times New Roman" w:hAnsi="Times New Roman" w:cs="Times New Roman"/>
          <w:sz w:val="24"/>
          <w:szCs w:val="24"/>
        </w:rPr>
      </w:pPr>
      <w:r>
        <w:rPr>
          <w:rFonts w:ascii="Times New Roman" w:hAnsi="Times New Roman" w:cs="Times New Roman"/>
          <w:sz w:val="24"/>
          <w:szCs w:val="24"/>
        </w:rPr>
        <w:t>Nâng cao năng lực hoạt động: Đầu tư hệ thống Core, xây dựng đội ngũ tư vấn kinh nghiệm, đội ngũ môi giới chuyên nghiệp; Tăng vốn điều lệ nhằm nâng cao năng lực tài chính</w:t>
      </w:r>
    </w:p>
    <w:p w:rsidR="00D26A78" w:rsidRDefault="00D26A78" w:rsidP="007E6BB1">
      <w:pPr>
        <w:widowControl w:val="0"/>
        <w:numPr>
          <w:ilvl w:val="1"/>
          <w:numId w:val="7"/>
        </w:numPr>
        <w:spacing w:line="288" w:lineRule="auto"/>
        <w:ind w:left="851" w:right="74" w:hanging="284"/>
        <w:jc w:val="both"/>
        <w:rPr>
          <w:rFonts w:ascii="Times New Roman" w:hAnsi="Times New Roman" w:cs="Times New Roman"/>
          <w:sz w:val="24"/>
          <w:szCs w:val="24"/>
        </w:rPr>
      </w:pPr>
      <w:r>
        <w:rPr>
          <w:rFonts w:ascii="Times New Roman" w:hAnsi="Times New Roman" w:cs="Times New Roman"/>
          <w:sz w:val="24"/>
          <w:szCs w:val="24"/>
        </w:rPr>
        <w:t>Xây dựng, phát triển thương hiệu và hình ảnh Công ty Chứng khoán IB trong lĩnh vực chứng khoán.</w:t>
      </w:r>
    </w:p>
    <w:p w:rsidR="00D26A78" w:rsidRPr="00D26A78" w:rsidRDefault="00D26A78" w:rsidP="007E6BB1">
      <w:pPr>
        <w:pStyle w:val="ListParagraph"/>
        <w:widowControl w:val="0"/>
        <w:numPr>
          <w:ilvl w:val="0"/>
          <w:numId w:val="12"/>
        </w:numPr>
        <w:spacing w:line="288" w:lineRule="auto"/>
        <w:ind w:left="567" w:right="73" w:hanging="567"/>
        <w:jc w:val="both"/>
        <w:rPr>
          <w:rFonts w:ascii="Times New Roman" w:hAnsi="Times New Roman" w:cs="Times New Roman"/>
          <w:b/>
          <w:sz w:val="24"/>
          <w:szCs w:val="24"/>
        </w:rPr>
      </w:pPr>
      <w:r w:rsidRPr="00D26A78">
        <w:rPr>
          <w:rFonts w:ascii="Times New Roman" w:hAnsi="Times New Roman" w:cs="Times New Roman"/>
          <w:b/>
          <w:sz w:val="24"/>
          <w:szCs w:val="24"/>
        </w:rPr>
        <w:t>Các giải pháp cụ thể để thực hiện kế hoạch</w:t>
      </w:r>
    </w:p>
    <w:p w:rsidR="003F7EE0" w:rsidRPr="009A162C" w:rsidRDefault="003F7EE0" w:rsidP="007E6BB1">
      <w:pPr>
        <w:widowControl w:val="0"/>
        <w:numPr>
          <w:ilvl w:val="1"/>
          <w:numId w:val="7"/>
        </w:numPr>
        <w:spacing w:line="288" w:lineRule="auto"/>
        <w:ind w:left="851" w:right="73" w:hanging="284"/>
        <w:jc w:val="both"/>
        <w:rPr>
          <w:rFonts w:ascii="Times New Roman" w:hAnsi="Times New Roman" w:cs="Times New Roman"/>
          <w:sz w:val="24"/>
          <w:szCs w:val="24"/>
        </w:rPr>
      </w:pPr>
      <w:r w:rsidRPr="009A162C">
        <w:rPr>
          <w:rFonts w:ascii="Times New Roman" w:hAnsi="Times New Roman" w:cs="Times New Roman"/>
          <w:sz w:val="24"/>
          <w:szCs w:val="24"/>
        </w:rPr>
        <w:t xml:space="preserve">Tiếp tục củng cố và nâng cao công tác quản trị Công ty đồng thời nâng cao vai trò quản trị và kiểm soát rủi ro trong quản trị tài chính, kế toán kiểm toán, quản lý rủi ro </w:t>
      </w:r>
      <w:r w:rsidR="0079614D">
        <w:rPr>
          <w:rFonts w:ascii="Times New Roman" w:hAnsi="Times New Roman" w:cs="Times New Roman"/>
          <w:sz w:val="24"/>
          <w:szCs w:val="24"/>
        </w:rPr>
        <w:t>Công ty</w:t>
      </w:r>
      <w:r w:rsidRPr="009A162C">
        <w:rPr>
          <w:rFonts w:ascii="Times New Roman" w:hAnsi="Times New Roman" w:cs="Times New Roman"/>
          <w:sz w:val="24"/>
          <w:szCs w:val="24"/>
        </w:rPr>
        <w:t xml:space="preserve"> thông qua việc nâng cao năng lực của các Tiểu ban trực thuộc HĐQT;  </w:t>
      </w:r>
    </w:p>
    <w:p w:rsidR="003F7EE0" w:rsidRPr="009A162C" w:rsidRDefault="003F7EE0" w:rsidP="007E6BB1">
      <w:pPr>
        <w:widowControl w:val="0"/>
        <w:numPr>
          <w:ilvl w:val="1"/>
          <w:numId w:val="7"/>
        </w:numPr>
        <w:spacing w:line="288" w:lineRule="auto"/>
        <w:ind w:left="851" w:right="73" w:hanging="284"/>
        <w:jc w:val="both"/>
        <w:rPr>
          <w:rFonts w:ascii="Times New Roman" w:hAnsi="Times New Roman" w:cs="Times New Roman"/>
          <w:sz w:val="24"/>
          <w:szCs w:val="24"/>
        </w:rPr>
      </w:pPr>
      <w:r w:rsidRPr="009A162C">
        <w:rPr>
          <w:rFonts w:ascii="Times New Roman" w:hAnsi="Times New Roman" w:cs="Times New Roman"/>
          <w:sz w:val="24"/>
          <w:szCs w:val="24"/>
        </w:rPr>
        <w:t xml:space="preserve">Tiếp tục nâng cao tính minh bạch trong hoạt động của </w:t>
      </w:r>
      <w:r w:rsidR="0079614D">
        <w:rPr>
          <w:rFonts w:ascii="Times New Roman" w:hAnsi="Times New Roman" w:cs="Times New Roman"/>
          <w:sz w:val="24"/>
          <w:szCs w:val="24"/>
        </w:rPr>
        <w:t>Công ty</w:t>
      </w:r>
      <w:r w:rsidRPr="009A162C">
        <w:rPr>
          <w:rFonts w:ascii="Times New Roman" w:hAnsi="Times New Roman" w:cs="Times New Roman"/>
          <w:sz w:val="24"/>
          <w:szCs w:val="24"/>
        </w:rPr>
        <w:t xml:space="preserve">, nâng cao vai trò của thành viên HĐQT độc lập; </w:t>
      </w:r>
    </w:p>
    <w:p w:rsidR="003F7EE0" w:rsidRPr="009A162C" w:rsidRDefault="003F7EE0" w:rsidP="007E6BB1">
      <w:pPr>
        <w:widowControl w:val="0"/>
        <w:numPr>
          <w:ilvl w:val="1"/>
          <w:numId w:val="7"/>
        </w:numPr>
        <w:spacing w:line="288" w:lineRule="auto"/>
        <w:ind w:left="851" w:right="73" w:hanging="284"/>
        <w:jc w:val="both"/>
        <w:rPr>
          <w:rFonts w:ascii="Times New Roman" w:hAnsi="Times New Roman" w:cs="Times New Roman"/>
          <w:sz w:val="24"/>
          <w:szCs w:val="24"/>
        </w:rPr>
      </w:pPr>
      <w:r w:rsidRPr="009A162C">
        <w:rPr>
          <w:rFonts w:ascii="Times New Roman" w:hAnsi="Times New Roman" w:cs="Times New Roman"/>
          <w:sz w:val="24"/>
          <w:szCs w:val="24"/>
        </w:rPr>
        <w:t>Tập trung chuẩn hoá hệ thống quy trình nghiệp vụ của Công ty phù hợp với tình hình hoạt động kinh doanh và quy định của pháp luật, đặc biệt là an toàn thông tin, quản trị rủi ro, kiểm soát nội bộ</w:t>
      </w:r>
      <w:r w:rsidR="007266D8">
        <w:rPr>
          <w:rFonts w:ascii="Times New Roman" w:hAnsi="Times New Roman" w:cs="Times New Roman"/>
          <w:sz w:val="24"/>
          <w:szCs w:val="24"/>
        </w:rPr>
        <w:t>,</w:t>
      </w:r>
      <w:r w:rsidRPr="009A162C">
        <w:rPr>
          <w:rFonts w:ascii="Times New Roman" w:hAnsi="Times New Roman" w:cs="Times New Roman"/>
          <w:sz w:val="24"/>
          <w:szCs w:val="24"/>
        </w:rPr>
        <w:t xml:space="preserve">…; </w:t>
      </w:r>
    </w:p>
    <w:p w:rsidR="003F7EE0" w:rsidRPr="009A162C" w:rsidRDefault="003F7EE0" w:rsidP="007E6BB1">
      <w:pPr>
        <w:widowControl w:val="0"/>
        <w:numPr>
          <w:ilvl w:val="1"/>
          <w:numId w:val="7"/>
        </w:numPr>
        <w:spacing w:line="288" w:lineRule="auto"/>
        <w:ind w:left="851" w:right="73" w:hanging="284"/>
        <w:jc w:val="both"/>
        <w:rPr>
          <w:rFonts w:ascii="Times New Roman" w:hAnsi="Times New Roman" w:cs="Times New Roman"/>
          <w:sz w:val="24"/>
          <w:szCs w:val="24"/>
        </w:rPr>
      </w:pPr>
      <w:r w:rsidRPr="009A162C">
        <w:rPr>
          <w:rFonts w:ascii="Times New Roman" w:hAnsi="Times New Roman" w:cs="Times New Roman"/>
          <w:sz w:val="24"/>
          <w:szCs w:val="24"/>
        </w:rPr>
        <w:t>Nâng cao hiệu quả sử dụng vốn thông qua việc tiếp tục phát huy thế mạnh của những sản phẩm và dịch vụ hiện có đồng thời nghiên cứu và phát triển các sản phẩm dịch vụ mới phù hợp với thông lệ và chuẩn mực quốc tế để đáp ứng kịp thời nhu cầu của khách hàng</w:t>
      </w:r>
      <w:r>
        <w:rPr>
          <w:rFonts w:ascii="Times New Roman" w:hAnsi="Times New Roman" w:cs="Times New Roman"/>
          <w:sz w:val="24"/>
          <w:szCs w:val="24"/>
        </w:rPr>
        <w:t>;</w:t>
      </w:r>
    </w:p>
    <w:p w:rsidR="003F7EE0" w:rsidRPr="009A162C" w:rsidRDefault="003F7EE0" w:rsidP="007E6BB1">
      <w:pPr>
        <w:widowControl w:val="0"/>
        <w:numPr>
          <w:ilvl w:val="1"/>
          <w:numId w:val="7"/>
        </w:numPr>
        <w:spacing w:line="288" w:lineRule="auto"/>
        <w:ind w:left="851" w:right="73" w:hanging="284"/>
        <w:jc w:val="both"/>
        <w:rPr>
          <w:rFonts w:ascii="Times New Roman" w:hAnsi="Times New Roman" w:cs="Times New Roman"/>
          <w:sz w:val="24"/>
          <w:szCs w:val="24"/>
        </w:rPr>
      </w:pPr>
      <w:r w:rsidRPr="009A162C">
        <w:rPr>
          <w:rFonts w:ascii="Times New Roman" w:hAnsi="Times New Roman" w:cs="Times New Roman"/>
          <w:sz w:val="24"/>
          <w:szCs w:val="24"/>
        </w:rPr>
        <w:t xml:space="preserve">Đầu tư chiều sâu tối ưu hoá nghiệp vụ môi giới nhằm </w:t>
      </w:r>
      <w:r>
        <w:rPr>
          <w:rFonts w:ascii="Times New Roman" w:hAnsi="Times New Roman" w:cs="Times New Roman"/>
          <w:sz w:val="24"/>
          <w:szCs w:val="24"/>
        </w:rPr>
        <w:t>gia tăng thị phần đối với các công ty cùng ngành</w:t>
      </w:r>
      <w:r w:rsidRPr="009A162C">
        <w:rPr>
          <w:rFonts w:ascii="Times New Roman" w:hAnsi="Times New Roman" w:cs="Times New Roman"/>
          <w:sz w:val="24"/>
          <w:szCs w:val="24"/>
        </w:rPr>
        <w:t xml:space="preserve">; </w:t>
      </w:r>
    </w:p>
    <w:p w:rsidR="003F7EE0" w:rsidRPr="009A162C" w:rsidRDefault="003F7EE0" w:rsidP="007E6BB1">
      <w:pPr>
        <w:widowControl w:val="0"/>
        <w:numPr>
          <w:ilvl w:val="1"/>
          <w:numId w:val="7"/>
        </w:numPr>
        <w:spacing w:line="288" w:lineRule="auto"/>
        <w:ind w:left="851" w:right="74" w:hanging="284"/>
        <w:jc w:val="both"/>
        <w:rPr>
          <w:rFonts w:ascii="Times New Roman" w:hAnsi="Times New Roman" w:cs="Times New Roman"/>
          <w:sz w:val="24"/>
          <w:szCs w:val="24"/>
        </w:rPr>
      </w:pPr>
      <w:r w:rsidRPr="009A162C">
        <w:rPr>
          <w:rFonts w:ascii="Times New Roman" w:hAnsi="Times New Roman" w:cs="Times New Roman"/>
          <w:sz w:val="24"/>
          <w:szCs w:val="24"/>
        </w:rPr>
        <w:t>Tiếp tục triển khai thận trọng hoạt động của Khối Tự doanh</w:t>
      </w:r>
      <w:r>
        <w:rPr>
          <w:rFonts w:ascii="Times New Roman" w:hAnsi="Times New Roman" w:cs="Times New Roman"/>
          <w:sz w:val="24"/>
          <w:szCs w:val="24"/>
        </w:rPr>
        <w:t>;</w:t>
      </w:r>
    </w:p>
    <w:p w:rsidR="003F7EE0" w:rsidRPr="003626C7" w:rsidRDefault="003F7EE0" w:rsidP="007E6BB1">
      <w:pPr>
        <w:widowControl w:val="0"/>
        <w:numPr>
          <w:ilvl w:val="1"/>
          <w:numId w:val="7"/>
        </w:numPr>
        <w:spacing w:line="288" w:lineRule="auto"/>
        <w:ind w:left="851" w:right="74" w:hanging="284"/>
        <w:jc w:val="both"/>
        <w:rPr>
          <w:rFonts w:ascii="Times New Roman" w:hAnsi="Times New Roman" w:cs="Times New Roman"/>
          <w:sz w:val="24"/>
          <w:szCs w:val="24"/>
        </w:rPr>
      </w:pPr>
      <w:r w:rsidRPr="003626C7">
        <w:rPr>
          <w:rFonts w:ascii="Times New Roman" w:hAnsi="Times New Roman" w:cs="Times New Roman"/>
          <w:sz w:val="24"/>
          <w:szCs w:val="24"/>
        </w:rPr>
        <w:lastRenderedPageBreak/>
        <w:t xml:space="preserve">Đầu tư phát triển công nghệ và dịch vụ hỗ trợ giao dịch hiện đại, mở rộng có chọn lọc mạng lưới hoạt động;  </w:t>
      </w:r>
    </w:p>
    <w:p w:rsidR="003F7EE0" w:rsidRPr="009A162C" w:rsidRDefault="003F7EE0" w:rsidP="007E6BB1">
      <w:pPr>
        <w:widowControl w:val="0"/>
        <w:numPr>
          <w:ilvl w:val="1"/>
          <w:numId w:val="7"/>
        </w:numPr>
        <w:spacing w:line="288" w:lineRule="auto"/>
        <w:ind w:left="851" w:right="74" w:hanging="284"/>
        <w:jc w:val="both"/>
        <w:rPr>
          <w:rFonts w:ascii="Times New Roman" w:hAnsi="Times New Roman" w:cs="Times New Roman"/>
          <w:sz w:val="24"/>
          <w:szCs w:val="24"/>
        </w:rPr>
      </w:pPr>
      <w:r w:rsidRPr="009A162C">
        <w:rPr>
          <w:rFonts w:ascii="Times New Roman" w:hAnsi="Times New Roman" w:cs="Times New Roman"/>
          <w:sz w:val="24"/>
          <w:szCs w:val="24"/>
        </w:rPr>
        <w:t xml:space="preserve">Tiếp tục hướng dẫn đôn đốc triển khai chiến lược phát triển kinh doanh năm 2015 trong đó nhấn mạnh đến các hoạt động </w:t>
      </w:r>
      <w:r>
        <w:rPr>
          <w:rFonts w:ascii="Times New Roman" w:hAnsi="Times New Roman" w:cs="Times New Roman"/>
          <w:sz w:val="24"/>
          <w:szCs w:val="24"/>
        </w:rPr>
        <w:t>tư vấ</w:t>
      </w:r>
      <w:r w:rsidR="00035179">
        <w:rPr>
          <w:rFonts w:ascii="Times New Roman" w:hAnsi="Times New Roman" w:cs="Times New Roman"/>
          <w:sz w:val="24"/>
          <w:szCs w:val="24"/>
        </w:rPr>
        <w:t>n,</w:t>
      </w:r>
      <w:r>
        <w:rPr>
          <w:rFonts w:ascii="Times New Roman" w:hAnsi="Times New Roman" w:cs="Times New Roman"/>
          <w:sz w:val="24"/>
          <w:szCs w:val="24"/>
        </w:rPr>
        <w:t xml:space="preserve"> bảo lãnh phát hành</w:t>
      </w:r>
      <w:r w:rsidR="00035179">
        <w:rPr>
          <w:rFonts w:ascii="Times New Roman" w:hAnsi="Times New Roman" w:cs="Times New Roman"/>
          <w:sz w:val="24"/>
          <w:szCs w:val="24"/>
        </w:rPr>
        <w:t>, dịch vụ ngân hàng đầu tư</w:t>
      </w:r>
      <w:r w:rsidRPr="009A162C">
        <w:rPr>
          <w:rFonts w:ascii="Times New Roman" w:hAnsi="Times New Roman" w:cs="Times New Roman"/>
          <w:sz w:val="24"/>
          <w:szCs w:val="24"/>
        </w:rPr>
        <w:t xml:space="preserve"> nhằm nhanh chóng khẳng định và </w:t>
      </w:r>
      <w:r>
        <w:rPr>
          <w:rFonts w:ascii="Times New Roman" w:hAnsi="Times New Roman" w:cs="Times New Roman"/>
          <w:sz w:val="24"/>
          <w:szCs w:val="24"/>
        </w:rPr>
        <w:t>cải thiện</w:t>
      </w:r>
      <w:r w:rsidRPr="009A162C">
        <w:rPr>
          <w:rFonts w:ascii="Times New Roman" w:hAnsi="Times New Roman" w:cs="Times New Roman"/>
          <w:sz w:val="24"/>
          <w:szCs w:val="24"/>
        </w:rPr>
        <w:t xml:space="preserve"> vị thế cạnh tranh của </w:t>
      </w:r>
      <w:r>
        <w:rPr>
          <w:rFonts w:ascii="Times New Roman" w:hAnsi="Times New Roman" w:cs="Times New Roman"/>
          <w:sz w:val="24"/>
          <w:szCs w:val="24"/>
        </w:rPr>
        <w:t>IB</w:t>
      </w:r>
      <w:r w:rsidRPr="009A162C">
        <w:rPr>
          <w:rFonts w:ascii="Times New Roman" w:hAnsi="Times New Roman" w:cs="Times New Roman"/>
          <w:sz w:val="24"/>
          <w:szCs w:val="24"/>
        </w:rPr>
        <w:t xml:space="preserve">SC; </w:t>
      </w:r>
    </w:p>
    <w:p w:rsidR="003F7EE0" w:rsidRPr="009A162C" w:rsidRDefault="003F7EE0" w:rsidP="007E6BB1">
      <w:pPr>
        <w:widowControl w:val="0"/>
        <w:numPr>
          <w:ilvl w:val="1"/>
          <w:numId w:val="7"/>
        </w:numPr>
        <w:spacing w:line="288" w:lineRule="auto"/>
        <w:ind w:left="851" w:right="74" w:hanging="284"/>
        <w:jc w:val="both"/>
        <w:rPr>
          <w:rFonts w:ascii="Times New Roman" w:hAnsi="Times New Roman" w:cs="Times New Roman"/>
          <w:sz w:val="24"/>
          <w:szCs w:val="24"/>
        </w:rPr>
      </w:pPr>
      <w:r>
        <w:rPr>
          <w:rFonts w:ascii="Times New Roman" w:hAnsi="Times New Roman" w:cs="Times New Roman"/>
          <w:sz w:val="24"/>
          <w:szCs w:val="24"/>
        </w:rPr>
        <w:t>Tăng cường chế độ đãi ngộ và thu hút nhân tài;</w:t>
      </w:r>
    </w:p>
    <w:p w:rsidR="003F7EE0" w:rsidRPr="0023568F" w:rsidRDefault="003F7EE0" w:rsidP="007E6BB1">
      <w:pPr>
        <w:pStyle w:val="ListParagraph"/>
        <w:widowControl w:val="0"/>
        <w:numPr>
          <w:ilvl w:val="0"/>
          <w:numId w:val="10"/>
        </w:numPr>
        <w:tabs>
          <w:tab w:val="left" w:pos="851"/>
        </w:tabs>
        <w:spacing w:line="288" w:lineRule="auto"/>
        <w:ind w:left="924" w:right="74" w:hanging="357"/>
        <w:rPr>
          <w:rFonts w:ascii="Times New Roman" w:hAnsi="Times New Roman" w:cs="Times New Roman"/>
          <w:sz w:val="24"/>
          <w:szCs w:val="24"/>
        </w:rPr>
      </w:pPr>
      <w:r w:rsidRPr="0023568F">
        <w:rPr>
          <w:rFonts w:ascii="Times New Roman" w:hAnsi="Times New Roman" w:cs="Times New Roman"/>
          <w:sz w:val="24"/>
          <w:szCs w:val="24"/>
        </w:rPr>
        <w:t>Tối đa hóa quyền lợi của cổ đông, cân đối thích hợp với việc điều hành công ty;</w:t>
      </w:r>
    </w:p>
    <w:p w:rsidR="0023568F" w:rsidRPr="0023568F" w:rsidRDefault="0023568F" w:rsidP="007E6BB1">
      <w:pPr>
        <w:widowControl w:val="0"/>
        <w:spacing w:line="288" w:lineRule="auto"/>
        <w:ind w:left="567" w:right="74"/>
        <w:jc w:val="both"/>
        <w:rPr>
          <w:rFonts w:ascii="Times New Roman" w:hAnsi="Times New Roman" w:cs="Times New Roman"/>
          <w:sz w:val="24"/>
          <w:szCs w:val="24"/>
        </w:rPr>
      </w:pPr>
      <w:r w:rsidRPr="0023568F">
        <w:rPr>
          <w:rFonts w:ascii="Times New Roman" w:hAnsi="Times New Roman" w:cs="Times New Roman"/>
          <w:sz w:val="24"/>
          <w:szCs w:val="24"/>
        </w:rPr>
        <w:t>Trên đây là báo cáo của Hội đồng quản trị, kính trình Đại hội đồng cổ đông xem xét</w:t>
      </w:r>
      <w:r w:rsidR="00035179">
        <w:rPr>
          <w:rFonts w:ascii="Times New Roman" w:hAnsi="Times New Roman" w:cs="Times New Roman"/>
          <w:sz w:val="24"/>
          <w:szCs w:val="24"/>
        </w:rPr>
        <w:t xml:space="preserve"> và thông qua</w:t>
      </w:r>
      <w:r w:rsidRPr="0023568F">
        <w:rPr>
          <w:rFonts w:ascii="Times New Roman" w:hAnsi="Times New Roman" w:cs="Times New Roman"/>
          <w:sz w:val="24"/>
          <w:szCs w:val="24"/>
        </w:rPr>
        <w:t>.</w:t>
      </w:r>
    </w:p>
    <w:p w:rsidR="005877CB" w:rsidRDefault="001F1CBB" w:rsidP="007E6BB1">
      <w:pPr>
        <w:widowControl w:val="0"/>
        <w:tabs>
          <w:tab w:val="left" w:pos="851"/>
        </w:tabs>
        <w:spacing w:line="288" w:lineRule="auto"/>
        <w:ind w:left="567" w:right="74"/>
        <w:jc w:val="both"/>
        <w:rPr>
          <w:rFonts w:ascii="Times New Roman" w:hAnsi="Times New Roman" w:cs="Times New Roman"/>
          <w:sz w:val="24"/>
          <w:szCs w:val="24"/>
        </w:rPr>
      </w:pPr>
      <w:r w:rsidRPr="00B03B40">
        <w:rPr>
          <w:rFonts w:ascii="Times New Roman" w:hAnsi="Times New Roman" w:cs="Times New Roman"/>
          <w:sz w:val="24"/>
          <w:szCs w:val="24"/>
        </w:rPr>
        <w:tab/>
      </w:r>
      <w:r w:rsidR="005877CB" w:rsidRPr="00B03B40">
        <w:rPr>
          <w:rFonts w:ascii="Times New Roman" w:hAnsi="Times New Roman" w:cs="Times New Roman"/>
          <w:sz w:val="24"/>
          <w:szCs w:val="24"/>
        </w:rPr>
        <w:t>Trân trọ</w:t>
      </w:r>
      <w:r w:rsidR="0023568F" w:rsidRPr="00B03B40">
        <w:rPr>
          <w:rFonts w:ascii="Times New Roman" w:hAnsi="Times New Roman" w:cs="Times New Roman"/>
          <w:sz w:val="24"/>
          <w:szCs w:val="24"/>
        </w:rPr>
        <w:t>ng!</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4520"/>
      </w:tblGrid>
      <w:tr w:rsidR="005541FA" w:rsidTr="005541FA">
        <w:tc>
          <w:tcPr>
            <w:tcW w:w="4672" w:type="dxa"/>
          </w:tcPr>
          <w:p w:rsidR="005541FA" w:rsidRDefault="005541FA" w:rsidP="007E6BB1">
            <w:pPr>
              <w:widowControl w:val="0"/>
              <w:tabs>
                <w:tab w:val="left" w:pos="851"/>
              </w:tabs>
              <w:spacing w:line="288" w:lineRule="auto"/>
              <w:ind w:right="74"/>
              <w:jc w:val="both"/>
              <w:rPr>
                <w:rFonts w:ascii="Times New Roman" w:hAnsi="Times New Roman" w:cs="Times New Roman"/>
                <w:sz w:val="24"/>
                <w:szCs w:val="24"/>
              </w:rPr>
            </w:pPr>
          </w:p>
        </w:tc>
        <w:tc>
          <w:tcPr>
            <w:tcW w:w="4672" w:type="dxa"/>
          </w:tcPr>
          <w:p w:rsidR="005541FA" w:rsidRPr="005877CB" w:rsidRDefault="005541FA" w:rsidP="007E6BB1">
            <w:pPr>
              <w:widowControl w:val="0"/>
              <w:tabs>
                <w:tab w:val="left" w:pos="851"/>
              </w:tabs>
              <w:spacing w:line="288" w:lineRule="auto"/>
              <w:ind w:right="74"/>
              <w:jc w:val="center"/>
              <w:rPr>
                <w:rFonts w:ascii="Times New Roman" w:hAnsi="Times New Roman" w:cs="Times New Roman"/>
                <w:b/>
                <w:sz w:val="24"/>
                <w:szCs w:val="24"/>
              </w:rPr>
            </w:pPr>
            <w:r w:rsidRPr="005877CB">
              <w:rPr>
                <w:rFonts w:ascii="Times New Roman" w:hAnsi="Times New Roman" w:cs="Times New Roman"/>
                <w:b/>
                <w:sz w:val="24"/>
                <w:szCs w:val="24"/>
              </w:rPr>
              <w:t>TM. HỘI ĐỒNG QUẢN TRỊ</w:t>
            </w:r>
          </w:p>
          <w:p w:rsidR="005541FA" w:rsidRDefault="005541FA" w:rsidP="007E6BB1">
            <w:pPr>
              <w:widowControl w:val="0"/>
              <w:tabs>
                <w:tab w:val="left" w:pos="851"/>
              </w:tabs>
              <w:spacing w:line="288" w:lineRule="auto"/>
              <w:ind w:right="74"/>
              <w:jc w:val="center"/>
              <w:rPr>
                <w:rFonts w:ascii="Times New Roman" w:hAnsi="Times New Roman" w:cs="Times New Roman"/>
                <w:b/>
                <w:sz w:val="24"/>
                <w:szCs w:val="24"/>
              </w:rPr>
            </w:pPr>
            <w:r w:rsidRPr="005877CB">
              <w:rPr>
                <w:rFonts w:ascii="Times New Roman" w:hAnsi="Times New Roman" w:cs="Times New Roman"/>
                <w:b/>
                <w:sz w:val="24"/>
                <w:szCs w:val="24"/>
              </w:rPr>
              <w:t>CHỦ TỊCH HỘI ĐỒNG QUẢN TRỊ</w:t>
            </w:r>
          </w:p>
          <w:p w:rsidR="005541FA" w:rsidRDefault="005541FA" w:rsidP="007E6BB1">
            <w:pPr>
              <w:widowControl w:val="0"/>
              <w:tabs>
                <w:tab w:val="left" w:pos="851"/>
              </w:tabs>
              <w:spacing w:line="288" w:lineRule="auto"/>
              <w:ind w:right="74"/>
              <w:jc w:val="center"/>
              <w:rPr>
                <w:rFonts w:ascii="Times New Roman" w:hAnsi="Times New Roman" w:cs="Times New Roman"/>
                <w:sz w:val="24"/>
                <w:szCs w:val="24"/>
              </w:rPr>
            </w:pPr>
          </w:p>
          <w:p w:rsidR="005541FA" w:rsidRDefault="005541FA" w:rsidP="007E6BB1">
            <w:pPr>
              <w:widowControl w:val="0"/>
              <w:tabs>
                <w:tab w:val="left" w:pos="851"/>
              </w:tabs>
              <w:spacing w:line="288" w:lineRule="auto"/>
              <w:ind w:right="74"/>
              <w:jc w:val="center"/>
              <w:rPr>
                <w:rFonts w:ascii="Times New Roman" w:hAnsi="Times New Roman" w:cs="Times New Roman"/>
                <w:sz w:val="24"/>
                <w:szCs w:val="24"/>
              </w:rPr>
            </w:pPr>
          </w:p>
          <w:p w:rsidR="005541FA" w:rsidRDefault="005541FA" w:rsidP="007E6BB1">
            <w:pPr>
              <w:widowControl w:val="0"/>
              <w:tabs>
                <w:tab w:val="left" w:pos="851"/>
              </w:tabs>
              <w:spacing w:line="288" w:lineRule="auto"/>
              <w:ind w:right="74"/>
              <w:jc w:val="center"/>
              <w:rPr>
                <w:rFonts w:ascii="Times New Roman" w:hAnsi="Times New Roman" w:cs="Times New Roman"/>
                <w:sz w:val="24"/>
                <w:szCs w:val="24"/>
              </w:rPr>
            </w:pPr>
          </w:p>
          <w:p w:rsidR="005541FA" w:rsidRDefault="005541FA" w:rsidP="007E6BB1">
            <w:pPr>
              <w:widowControl w:val="0"/>
              <w:tabs>
                <w:tab w:val="left" w:pos="851"/>
              </w:tabs>
              <w:spacing w:line="288" w:lineRule="auto"/>
              <w:ind w:right="74"/>
              <w:jc w:val="center"/>
              <w:rPr>
                <w:rFonts w:ascii="Times New Roman" w:hAnsi="Times New Roman" w:cs="Times New Roman"/>
                <w:sz w:val="24"/>
                <w:szCs w:val="24"/>
              </w:rPr>
            </w:pPr>
          </w:p>
        </w:tc>
      </w:tr>
      <w:tr w:rsidR="005541FA" w:rsidTr="005541FA">
        <w:tc>
          <w:tcPr>
            <w:tcW w:w="4672" w:type="dxa"/>
          </w:tcPr>
          <w:p w:rsidR="005541FA" w:rsidRDefault="005541FA" w:rsidP="007E6BB1">
            <w:pPr>
              <w:widowControl w:val="0"/>
              <w:tabs>
                <w:tab w:val="left" w:pos="851"/>
              </w:tabs>
              <w:spacing w:line="288" w:lineRule="auto"/>
              <w:ind w:right="74"/>
              <w:jc w:val="both"/>
              <w:rPr>
                <w:rFonts w:ascii="Times New Roman" w:hAnsi="Times New Roman" w:cs="Times New Roman"/>
                <w:sz w:val="24"/>
                <w:szCs w:val="24"/>
              </w:rPr>
            </w:pPr>
          </w:p>
        </w:tc>
        <w:tc>
          <w:tcPr>
            <w:tcW w:w="4672" w:type="dxa"/>
          </w:tcPr>
          <w:p w:rsidR="005541FA" w:rsidRDefault="005541FA" w:rsidP="007E6BB1">
            <w:pPr>
              <w:widowControl w:val="0"/>
              <w:tabs>
                <w:tab w:val="left" w:pos="851"/>
              </w:tabs>
              <w:spacing w:line="288" w:lineRule="auto"/>
              <w:ind w:right="74"/>
              <w:jc w:val="center"/>
              <w:rPr>
                <w:rFonts w:ascii="Times New Roman" w:hAnsi="Times New Roman" w:cs="Times New Roman"/>
                <w:sz w:val="24"/>
                <w:szCs w:val="24"/>
              </w:rPr>
            </w:pPr>
            <w:r>
              <w:rPr>
                <w:rFonts w:ascii="Times New Roman" w:hAnsi="Times New Roman" w:cs="Times New Roman"/>
                <w:b/>
                <w:sz w:val="24"/>
                <w:szCs w:val="24"/>
              </w:rPr>
              <w:t>Ngô Phương Chí</w:t>
            </w:r>
          </w:p>
        </w:tc>
      </w:tr>
    </w:tbl>
    <w:p w:rsidR="00A32E97" w:rsidRDefault="00A32E97" w:rsidP="007E6BB1">
      <w:pPr>
        <w:widowControl w:val="0"/>
        <w:tabs>
          <w:tab w:val="left" w:pos="567"/>
        </w:tabs>
        <w:spacing w:line="288" w:lineRule="auto"/>
        <w:ind w:right="73"/>
        <w:jc w:val="center"/>
        <w:rPr>
          <w:rFonts w:ascii="Times New Roman" w:hAnsi="Times New Roman" w:cs="Times New Roman"/>
          <w:b/>
          <w:sz w:val="24"/>
          <w:szCs w:val="24"/>
        </w:rPr>
      </w:pPr>
    </w:p>
    <w:p w:rsidR="00A32E97" w:rsidRDefault="00A32E97" w:rsidP="007E6BB1">
      <w:pPr>
        <w:widowControl w:val="0"/>
        <w:spacing w:line="312" w:lineRule="auto"/>
        <w:rPr>
          <w:rFonts w:ascii="Times New Roman" w:hAnsi="Times New Roman" w:cs="Times New Roman"/>
          <w:b/>
          <w:sz w:val="24"/>
          <w:szCs w:val="24"/>
        </w:rPr>
      </w:pPr>
      <w:r>
        <w:rPr>
          <w:rFonts w:ascii="Times New Roman" w:hAnsi="Times New Roman" w:cs="Times New Roman"/>
          <w:b/>
          <w:sz w:val="24"/>
          <w:szCs w:val="24"/>
        </w:rPr>
        <w:br w:type="page"/>
      </w:r>
    </w:p>
    <w:p w:rsidR="00B442DA" w:rsidRDefault="00B442DA" w:rsidP="007E6BB1">
      <w:pPr>
        <w:widowControl w:val="0"/>
        <w:tabs>
          <w:tab w:val="left" w:pos="567"/>
        </w:tabs>
        <w:spacing w:line="288" w:lineRule="auto"/>
        <w:ind w:right="73"/>
        <w:jc w:val="center"/>
        <w:rPr>
          <w:rFonts w:ascii="Times New Roman" w:hAnsi="Times New Roman" w:cs="Times New Roman"/>
          <w:b/>
          <w:sz w:val="24"/>
          <w:szCs w:val="24"/>
        </w:rPr>
      </w:pPr>
      <w:r w:rsidRPr="00B442DA">
        <w:rPr>
          <w:rFonts w:ascii="Times New Roman" w:hAnsi="Times New Roman" w:cs="Times New Roman"/>
          <w:b/>
          <w:sz w:val="24"/>
          <w:szCs w:val="24"/>
        </w:rPr>
        <w:lastRenderedPageBreak/>
        <w:t>Phụ lục 01: Các Nghị quyết/Quyết định của HĐQT IBSC năm 2014</w:t>
      </w:r>
    </w:p>
    <w:p w:rsidR="00B442DA" w:rsidRPr="00B442DA" w:rsidRDefault="00B442DA" w:rsidP="007E6BB1">
      <w:pPr>
        <w:widowControl w:val="0"/>
        <w:tabs>
          <w:tab w:val="left" w:pos="567"/>
        </w:tabs>
        <w:spacing w:line="288" w:lineRule="auto"/>
        <w:ind w:right="73"/>
        <w:jc w:val="center"/>
        <w:rPr>
          <w:rFonts w:ascii="Times New Roman" w:hAnsi="Times New Roman" w:cs="Times New Roman"/>
          <w:b/>
          <w:sz w:val="24"/>
          <w:szCs w:val="24"/>
        </w:rPr>
      </w:pPr>
      <w:r>
        <w:rPr>
          <w:rFonts w:ascii="Times New Roman" w:hAnsi="Times New Roman" w:cs="Times New Roman"/>
          <w:b/>
          <w:sz w:val="24"/>
          <w:szCs w:val="24"/>
        </w:rPr>
        <w:t>(Kèm theo Báo cáo HĐQT tại ĐHĐCĐ thường niên IBSC năm 2015)</w:t>
      </w:r>
    </w:p>
    <w:tbl>
      <w:tblPr>
        <w:tblStyle w:val="TableGrid"/>
        <w:tblW w:w="8930" w:type="dxa"/>
        <w:tblInd w:w="421" w:type="dxa"/>
        <w:tblLook w:val="04A0"/>
      </w:tblPr>
      <w:tblGrid>
        <w:gridCol w:w="708"/>
        <w:gridCol w:w="2819"/>
        <w:gridCol w:w="1292"/>
        <w:gridCol w:w="4111"/>
      </w:tblGrid>
      <w:tr w:rsidR="00B442DA" w:rsidRPr="001D4718" w:rsidTr="007C2436">
        <w:trPr>
          <w:tblHeader/>
        </w:trPr>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b/>
              </w:rPr>
            </w:pPr>
            <w:r w:rsidRPr="001D4718">
              <w:rPr>
                <w:rFonts w:ascii="Times New Roman" w:hAnsi="Times New Roman" w:cs="Times New Roman"/>
                <w:b/>
              </w:rPr>
              <w:t>STT</w:t>
            </w:r>
          </w:p>
        </w:tc>
        <w:tc>
          <w:tcPr>
            <w:tcW w:w="2819" w:type="dxa"/>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b/>
              </w:rPr>
            </w:pPr>
            <w:r w:rsidRPr="001D4718">
              <w:rPr>
                <w:rFonts w:ascii="Times New Roman" w:hAnsi="Times New Roman" w:cs="Times New Roman"/>
                <w:b/>
              </w:rPr>
              <w:t>Số Nghị quyết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b/>
              </w:rPr>
            </w:pPr>
            <w:r w:rsidRPr="001D4718">
              <w:rPr>
                <w:rFonts w:ascii="Times New Roman" w:hAnsi="Times New Roman" w:cs="Times New Roman"/>
                <w:b/>
              </w:rPr>
              <w:t>Ngày</w:t>
            </w:r>
          </w:p>
        </w:tc>
        <w:tc>
          <w:tcPr>
            <w:tcW w:w="4111"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b/>
              </w:rPr>
            </w:pPr>
            <w:r w:rsidRPr="001D4718">
              <w:rPr>
                <w:rFonts w:ascii="Times New Roman" w:hAnsi="Times New Roman" w:cs="Times New Roman"/>
                <w:b/>
              </w:rPr>
              <w:t>Nội dung</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01</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01/2014/XTS/QĐ-HĐQT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11/01/2014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Bổ nhiệm quyền Trưởng phòng Phân tích đầu tư</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02</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02/2014/XTS/QĐ-HĐQT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11/01/2014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Chấm dứt Hợp đồng lao động</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03</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03/2014/XTS/QĐ-HĐQT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24/01/2014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Chấm dứt Hợp đồng lao động</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04</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04/2014/XTS/QĐ-HĐQT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06/03/2014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Tổ chức ĐHĐCĐ thường niên năm 2014</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05</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05/2014/XTS/QĐ-HĐQT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01/04/2014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Bổ nhiệm thành viên HĐQT thay thế</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06</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06/2014/XTS/QĐ-HĐQT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02/04/2014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Thực hiện đầu tư</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07</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06A/2014/XTS/QĐ-HĐQT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02/04/2014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Đầu tư cổ phiếu niêm yết</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08</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06B/2014/XTS/QĐ-HĐQT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02/04/2014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Phân quyền cho Chủ tịch HĐQT</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09</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07/2014/XTS/QĐ-HĐQT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07/04/2014</w:t>
            </w:r>
          </w:p>
        </w:tc>
        <w:tc>
          <w:tcPr>
            <w:tcW w:w="4111" w:type="dxa"/>
            <w:vAlign w:val="center"/>
          </w:tcPr>
          <w:p w:rsidR="00B442DA" w:rsidRPr="001D4718" w:rsidRDefault="00B442DA" w:rsidP="007E6BB1">
            <w:pPr>
              <w:widowControl w:val="0"/>
              <w:tabs>
                <w:tab w:val="left" w:pos="567"/>
              </w:tabs>
              <w:spacing w:before="120" w:after="120" w:line="288" w:lineRule="auto"/>
              <w:ind w:right="74"/>
              <w:rPr>
                <w:rFonts w:ascii="Times New Roman" w:hAnsi="Times New Roman" w:cs="Times New Roman"/>
              </w:rPr>
            </w:pPr>
            <w:r w:rsidRPr="001D4718">
              <w:rPr>
                <w:rFonts w:ascii="Times New Roman" w:hAnsi="Times New Roman" w:cs="Times New Roman"/>
              </w:rPr>
              <w:t>Lựa chọn thời gian và địa điểm tổ chức ĐHĐCĐ thường niên năm 2014</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10</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08/2014/XTS/QĐ-HĐQT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02/04/2014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Thực hiện đầu tư</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11</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09/2014/XTS/QĐ-HĐQT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03/4/2014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Vay vốn</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12</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09A/2014/XTS/QĐ-HĐQT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11/04/2014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Bán cổ phiếu</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13</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10/2014/XTS/QĐ-HĐQT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15/4/2014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Chỉ định đầu tư</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14</w:t>
            </w:r>
          </w:p>
        </w:tc>
        <w:tc>
          <w:tcPr>
            <w:tcW w:w="2819" w:type="dxa"/>
          </w:tcPr>
          <w:p w:rsidR="00B442DA" w:rsidRPr="001D4718" w:rsidRDefault="00B442DA" w:rsidP="007E6BB1">
            <w:pPr>
              <w:widowControl w:val="0"/>
              <w:tabs>
                <w:tab w:val="left" w:pos="469"/>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11/2014/XTS/QĐ-HĐQT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15/4/2014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Chỉ định người đại diện phần vốn</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15</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12/2014/XTS/QĐ-HĐQT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21/4/2014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Đăng ký mở thẻ tín dụng cho Công ty</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16</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13/2014/XTS/QĐ-HĐQT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21/4/2014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Thành lập Ban kiểm tra tư cách cổ đông</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17</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14/2014/XTS/QĐ-HĐQT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24/4/2014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Bán cổ phiếu</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18</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16/2014/XTS/QĐ-HĐQT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29/4/2014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Bổ nhiệm Quyền TGĐ</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19</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16A/2014/XTS/QĐ-HĐQT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29/4/2014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Trả tạm ứng thù lao hàng tháng cho Chủ tịch HĐQT</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20</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16B/2014/XTS/QĐ-HĐQT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05/5/2014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Phân quyền cho Chủ tịch HĐQT</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21</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17/2014/XTS/QĐ-HĐQT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09/5/2014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 xml:space="preserve">Thông qua một số chủ trương về kế hoạch </w:t>
            </w:r>
            <w:r w:rsidRPr="001D4718">
              <w:rPr>
                <w:rFonts w:ascii="Times New Roman" w:hAnsi="Times New Roman" w:cs="Times New Roman"/>
              </w:rPr>
              <w:lastRenderedPageBreak/>
              <w:t>2014</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lastRenderedPageBreak/>
              <w:t>22</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18/2014/XTS/QĐ-HĐQT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20/5/2014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Thành lập Hội đồng tư vấn chiến lược và phát triển kinh doanh</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23</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18A/2014/XTS/QĐ-HĐQT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20/5/2014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Thành lập Hội đồng huỷ hoá đơn</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24</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19/2014/XTS/QĐ-HĐQT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22/5/2014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Phê duyệt mô hình tổ chức Công ty</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25</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20/2014/XTS/QĐ-HĐQT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02/6/2014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Ban hành quy chế bảo mật thông Công ty Cổ phần Chứng khoán IB</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26</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20A/2014/XTS/QĐ-HĐQT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06/6/2014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Thoái một phần danh mục đầu tư chứng khoán chưa niêm yết</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27</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21/2014/XTS/QĐ-HĐQT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07/6/2014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Cung cấp dịch vụ Cam kết bảo lãnh phát hành</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28</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22/2014/XTS/QĐ-HĐQT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12/6/2014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Mua cổ phiếu</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29</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23/2014/XTS/QĐ-HĐQT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13/6/2014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Xây dựng quy định về hoạt động đầu tư</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30</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24/2014/XTS/QĐ-HĐQT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19/6/2014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Miễn nhiệm vị trí kế toán trưởng</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31</w:t>
            </w:r>
          </w:p>
        </w:tc>
        <w:tc>
          <w:tcPr>
            <w:tcW w:w="2819" w:type="dxa"/>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25/2014/XTS/QĐ-HĐQT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19/6/2014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Bổ nhiệm chức danh Giám đốc tài chính</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32</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26/2014/XTS/QĐ-HĐQT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19/6/2014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Giao nhiệm vụ kiêm nhiệm công việc kế toán trưởng</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33</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28/2014/XTS/QĐ-HĐQT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24/6/2014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Mô hình tổ chức và chức năng nhiệm vụ của Ban pháp chế</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34</w:t>
            </w:r>
          </w:p>
        </w:tc>
        <w:tc>
          <w:tcPr>
            <w:tcW w:w="2819"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29/2014/XTS/QĐ-HĐQT</w:t>
            </w:r>
          </w:p>
        </w:tc>
        <w:tc>
          <w:tcPr>
            <w:tcW w:w="1292"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27/6/2014</w:t>
            </w:r>
          </w:p>
        </w:tc>
        <w:tc>
          <w:tcPr>
            <w:tcW w:w="4111" w:type="dxa"/>
            <w:vAlign w:val="center"/>
          </w:tcPr>
          <w:p w:rsidR="00B442DA" w:rsidRPr="001D4718" w:rsidRDefault="00B442DA" w:rsidP="007E6BB1">
            <w:pPr>
              <w:widowControl w:val="0"/>
              <w:tabs>
                <w:tab w:val="left" w:pos="567"/>
              </w:tabs>
              <w:spacing w:before="120" w:after="120" w:line="288" w:lineRule="auto"/>
              <w:ind w:right="73"/>
              <w:rPr>
                <w:rFonts w:ascii="Times New Roman" w:hAnsi="Times New Roman" w:cs="Times New Roman"/>
              </w:rPr>
            </w:pPr>
            <w:r w:rsidRPr="001D4718">
              <w:rPr>
                <w:rFonts w:ascii="Times New Roman" w:hAnsi="Times New Roman" w:cs="Times New Roman"/>
              </w:rPr>
              <w:t>Ban hành quy chế làm việc của Ban Điều hành Công ty Cổ phần Chứng khoán IB</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35</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30/2014/IBSC/QĐ-HĐQT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14/7/2014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Mô hình tổ chức và chức năng nhiệm vụ của Phòng Kiểm soát nội bộ</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36</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31/2014/IBSC/QĐ-HĐQT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15/7/2014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Tổ chức đại hội cổ đông bất thường năm 2014</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37</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32/2014/IBSC/HĐQT-QĐ</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16/07/2014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Mô hình tổ chức và chức năng nhiệm vụ của Khối Nghiệp vụ</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38</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33A/2014/IBSC/HĐQT-QĐ</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18/07/2014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Ban hành phân quyền quản trị điều hành công ty</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lastRenderedPageBreak/>
              <w:t>39</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33B/2014/IBSC/HĐQT-QĐ</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18/07/2014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Ban hành quy chế hoạt động của Hội đồng quản trị Công ty Cổ phần chứng khoán IB</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40</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33C/2014/IBSC/NQ-HĐQT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08/04/2014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Thay thế thành viên Hội đồng quản trị</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41</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34/2014/IBSC/HĐQT-QĐ</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28/07/2014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Phương án sử dụng tiền gửi tại các ngân hàng làm tài sản đảm bảo để vay thấu chi</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42</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35/2014/IBSC/HĐQT-QĐ</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31/07/2014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Mô hình tổ chức và chức năng nhiệm vụ của Khối Nghiên cứu</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43</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36/2014/IBSC/QĐ-HĐQT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08/05/2014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Thành lập ban quy trình, quy chế</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44</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37/2014/IBSC/NQ-HĐQT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08/07/2014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Bầu chức danh Phó Chủ tịch và thành lập Thường trưc HĐQT</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45</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38/2014/IBSC/QĐ-HĐQT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08/11/2014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Ban hành quy chế chi tiêu nội bộ Công ty cổ phần Chứng khoán IB</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46</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39/2014/IBSC/QĐ-HĐQT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08/11/2014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Ban hành quy chế quản lý tài chính Công ty cổ phần Chứng khoán IB</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47</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40A/2014/IBSC/NQ-HĐQT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08/11/2014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Lựa chọn địa điểm, thời gian và thống nhất nội dung họp Đại hội cổ đông bất thường năm 2014</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48</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40B/2014/IBSC/NQ-HĐQT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22/08/2014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Thành lập Ban kiểm tra tư cách cổ đông tại Đại hội đồng cổ đông bất thường năm 2014</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49</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41A/2014/IBSC/NQ-HĐQT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25/08/2014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Giao nhiệm vụ Phó Tổng Giám đốc</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50</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41B/2014/IBSC/NQ-HĐQT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25/08/2014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Bổ nhiệm Tổng Giám đốc (Bà Cao Thị Hồng)</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51</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43/2014/IBSC/NQ-HĐQT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08/09/2014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V/v thành lập ban điều hành ESOP và ban hành Quy chế chào bán cổ phiếu chương trình lựa chọn cho người lao động trong Công ty</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52</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44/2014/IBSC/NQ-HĐQT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09/09/2014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V/v thông qua danh sách người lao động được tham gia chương trình ESOP năm 2014</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53</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45/2014/IBSC/NQ-HĐQT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09/09/2014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V/v thông qua hồ sơ đăng ký chào bán cổ phiếu ra công chúng</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lastRenderedPageBreak/>
              <w:t>54</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48A/2014/IBSC/HĐQT-QĐ</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30/10/2014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V/v Thay đổi địa điểm trụ sở chính</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55</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52/2014/IBSC/QĐ-HĐQT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22/12/2014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V/v chi lương tháng thứ 13 và lương bổ sung</w:t>
            </w:r>
          </w:p>
        </w:tc>
      </w:tr>
      <w:tr w:rsidR="00B442DA" w:rsidRPr="001D4718" w:rsidTr="00027BB4">
        <w:tc>
          <w:tcPr>
            <w:tcW w:w="708" w:type="dxa"/>
            <w:vAlign w:val="center"/>
          </w:tcPr>
          <w:p w:rsidR="00B442DA" w:rsidRPr="001D4718" w:rsidRDefault="00B442DA" w:rsidP="007E6BB1">
            <w:pPr>
              <w:widowControl w:val="0"/>
              <w:tabs>
                <w:tab w:val="left" w:pos="567"/>
              </w:tabs>
              <w:spacing w:before="120" w:after="120" w:line="288" w:lineRule="auto"/>
              <w:ind w:right="73"/>
              <w:jc w:val="center"/>
              <w:rPr>
                <w:rFonts w:ascii="Times New Roman" w:hAnsi="Times New Roman" w:cs="Times New Roman"/>
              </w:rPr>
            </w:pPr>
            <w:r w:rsidRPr="001D4718">
              <w:rPr>
                <w:rFonts w:ascii="Times New Roman" w:hAnsi="Times New Roman" w:cs="Times New Roman"/>
              </w:rPr>
              <w:t>56</w:t>
            </w:r>
          </w:p>
        </w:tc>
        <w:tc>
          <w:tcPr>
            <w:tcW w:w="2819"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53/2014/IBSC/QĐ-HĐQT</w:t>
            </w:r>
          </w:p>
        </w:tc>
        <w:tc>
          <w:tcPr>
            <w:tcW w:w="1292" w:type="dxa"/>
            <w:vAlign w:val="center"/>
          </w:tcPr>
          <w:p w:rsidR="00B442DA" w:rsidRPr="001D4718" w:rsidRDefault="00B442DA" w:rsidP="007E6BB1">
            <w:pPr>
              <w:widowControl w:val="0"/>
              <w:spacing w:before="120" w:after="120" w:line="288" w:lineRule="auto"/>
              <w:jc w:val="center"/>
              <w:rPr>
                <w:rFonts w:ascii="Times New Roman" w:hAnsi="Times New Roman" w:cs="Times New Roman"/>
                <w:color w:val="000000"/>
              </w:rPr>
            </w:pPr>
            <w:r w:rsidRPr="001D4718">
              <w:rPr>
                <w:rFonts w:ascii="Times New Roman" w:hAnsi="Times New Roman" w:cs="Times New Roman"/>
                <w:color w:val="000000"/>
              </w:rPr>
              <w:t>24/12/2014</w:t>
            </w:r>
          </w:p>
        </w:tc>
        <w:tc>
          <w:tcPr>
            <w:tcW w:w="4111" w:type="dxa"/>
            <w:vAlign w:val="center"/>
          </w:tcPr>
          <w:p w:rsidR="00B442DA" w:rsidRPr="001D4718" w:rsidRDefault="00B442DA" w:rsidP="007E6BB1">
            <w:pPr>
              <w:widowControl w:val="0"/>
              <w:spacing w:before="120" w:after="120" w:line="288" w:lineRule="auto"/>
              <w:rPr>
                <w:rFonts w:ascii="Times New Roman" w:hAnsi="Times New Roman" w:cs="Times New Roman"/>
                <w:color w:val="000000"/>
              </w:rPr>
            </w:pPr>
            <w:r w:rsidRPr="001D4718">
              <w:rPr>
                <w:rFonts w:ascii="Times New Roman" w:hAnsi="Times New Roman" w:cs="Times New Roman"/>
                <w:color w:val="000000"/>
              </w:rPr>
              <w:t>V/v chi trả thù lao cho HĐQT và BKS</w:t>
            </w:r>
          </w:p>
        </w:tc>
      </w:tr>
    </w:tbl>
    <w:p w:rsidR="005877CB" w:rsidRPr="005877CB" w:rsidRDefault="005877CB" w:rsidP="007E6BB1">
      <w:pPr>
        <w:widowControl w:val="0"/>
        <w:tabs>
          <w:tab w:val="left" w:pos="851"/>
        </w:tabs>
        <w:spacing w:line="288" w:lineRule="auto"/>
        <w:ind w:left="567" w:right="74"/>
        <w:jc w:val="center"/>
        <w:rPr>
          <w:rFonts w:ascii="Times New Roman" w:hAnsi="Times New Roman" w:cs="Times New Roman"/>
          <w:b/>
          <w:sz w:val="24"/>
          <w:szCs w:val="24"/>
        </w:rPr>
      </w:pPr>
    </w:p>
    <w:sectPr w:rsidR="005877CB" w:rsidRPr="005877CB" w:rsidSect="00B63DD9">
      <w:footerReference w:type="default" r:id="rId8"/>
      <w:type w:val="continuous"/>
      <w:pgSz w:w="11906" w:h="16841" w:code="9"/>
      <w:pgMar w:top="1418" w:right="1418" w:bottom="1418" w:left="1134" w:header="720" w:footer="720" w:gutter="0"/>
      <w:cols w:space="708"/>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2A5" w:rsidRDefault="004972A5" w:rsidP="00C34701">
      <w:pPr>
        <w:spacing w:before="0" w:after="0" w:line="240" w:lineRule="auto"/>
      </w:pPr>
      <w:r>
        <w:separator/>
      </w:r>
    </w:p>
  </w:endnote>
  <w:endnote w:type="continuationSeparator" w:id="1">
    <w:p w:rsidR="004972A5" w:rsidRDefault="004972A5" w:rsidP="00C3470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B1" w:rsidRPr="00F866DB" w:rsidRDefault="007E6BB1" w:rsidP="00F866DB">
    <w:pPr>
      <w:pStyle w:val="Footer"/>
      <w:jc w:val="right"/>
      <w:rPr>
        <w:rFonts w:ascii="Times New Roman" w:hAnsi="Times New Roman" w:cs="Times New Roman"/>
        <w:sz w:val="20"/>
        <w:szCs w:val="20"/>
      </w:rPr>
    </w:pPr>
    <w:r w:rsidRPr="00F866DB">
      <w:rPr>
        <w:rFonts w:ascii="Times New Roman" w:hAnsi="Times New Roman" w:cs="Times New Roman"/>
        <w:sz w:val="20"/>
        <w:szCs w:val="20"/>
      </w:rPr>
      <w:t xml:space="preserve">Trang </w:t>
    </w:r>
    <w:r w:rsidR="003821F0" w:rsidRPr="00F866DB">
      <w:rPr>
        <w:rFonts w:ascii="Times New Roman" w:hAnsi="Times New Roman" w:cs="Times New Roman"/>
        <w:bCs/>
        <w:sz w:val="20"/>
        <w:szCs w:val="20"/>
      </w:rPr>
      <w:fldChar w:fldCharType="begin"/>
    </w:r>
    <w:r w:rsidRPr="00F866DB">
      <w:rPr>
        <w:rFonts w:ascii="Times New Roman" w:hAnsi="Times New Roman" w:cs="Times New Roman"/>
        <w:bCs/>
        <w:sz w:val="20"/>
        <w:szCs w:val="20"/>
      </w:rPr>
      <w:instrText xml:space="preserve"> PAGE  \* Arabic  \* MERGEFORMAT </w:instrText>
    </w:r>
    <w:r w:rsidR="003821F0" w:rsidRPr="00F866DB">
      <w:rPr>
        <w:rFonts w:ascii="Times New Roman" w:hAnsi="Times New Roman" w:cs="Times New Roman"/>
        <w:bCs/>
        <w:sz w:val="20"/>
        <w:szCs w:val="20"/>
      </w:rPr>
      <w:fldChar w:fldCharType="separate"/>
    </w:r>
    <w:r w:rsidR="00BC1F52">
      <w:rPr>
        <w:rFonts w:ascii="Times New Roman" w:hAnsi="Times New Roman" w:cs="Times New Roman"/>
        <w:bCs/>
        <w:noProof/>
        <w:sz w:val="20"/>
        <w:szCs w:val="20"/>
      </w:rPr>
      <w:t>1</w:t>
    </w:r>
    <w:r w:rsidR="003821F0" w:rsidRPr="00F866DB">
      <w:rPr>
        <w:rFonts w:ascii="Times New Roman" w:hAnsi="Times New Roman" w:cs="Times New Roman"/>
        <w:bCs/>
        <w:sz w:val="20"/>
        <w:szCs w:val="20"/>
      </w:rPr>
      <w:fldChar w:fldCharType="end"/>
    </w:r>
    <w:r w:rsidRPr="00F866DB">
      <w:rPr>
        <w:rFonts w:ascii="Times New Roman" w:hAnsi="Times New Roman" w:cs="Times New Roman"/>
        <w:bCs/>
        <w:sz w:val="20"/>
        <w:szCs w:val="20"/>
      </w:rPr>
      <w:t>/</w:t>
    </w:r>
    <w:fldSimple w:instr=" NUMPAGES  \* Arabic  \* MERGEFORMAT ">
      <w:r w:rsidR="00BC1F52" w:rsidRPr="00BC1F52">
        <w:rPr>
          <w:rFonts w:ascii="Times New Roman" w:hAnsi="Times New Roman" w:cs="Times New Roman"/>
          <w:bCs/>
          <w:noProof/>
          <w:sz w:val="20"/>
          <w:szCs w:val="20"/>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2A5" w:rsidRDefault="004972A5" w:rsidP="00C34701">
      <w:pPr>
        <w:spacing w:before="0" w:after="0" w:line="240" w:lineRule="auto"/>
      </w:pPr>
      <w:r>
        <w:separator/>
      </w:r>
    </w:p>
  </w:footnote>
  <w:footnote w:type="continuationSeparator" w:id="1">
    <w:p w:rsidR="004972A5" w:rsidRDefault="004972A5" w:rsidP="00C3470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2C3"/>
    <w:multiLevelType w:val="hybridMultilevel"/>
    <w:tmpl w:val="CF348428"/>
    <w:lvl w:ilvl="0" w:tplc="EAA4379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E7331"/>
    <w:multiLevelType w:val="hybridMultilevel"/>
    <w:tmpl w:val="CDEC6F42"/>
    <w:lvl w:ilvl="0" w:tplc="23B8D470">
      <w:start w:val="1"/>
      <w:numFmt w:val="bullet"/>
      <w:lvlText w:val="▪"/>
      <w:lvlJc w:val="left"/>
      <w:pPr>
        <w:ind w:left="927"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6E4633B"/>
    <w:multiLevelType w:val="hybridMultilevel"/>
    <w:tmpl w:val="480A0550"/>
    <w:lvl w:ilvl="0" w:tplc="122ECD7C">
      <w:start w:val="2"/>
      <w:numFmt w:val="upperLetter"/>
      <w:lvlText w:val="%1."/>
      <w:lvlJc w:val="left"/>
      <w:pPr>
        <w:ind w:left="662"/>
      </w:pPr>
      <w:rPr>
        <w:rFonts w:ascii="Arial" w:eastAsia="Arial" w:hAnsi="Arial" w:cs="Arial"/>
        <w:b/>
        <w:i/>
        <w:strike w:val="0"/>
        <w:dstrike w:val="0"/>
        <w:color w:val="000000"/>
        <w:sz w:val="21"/>
        <w:u w:val="none" w:color="000000"/>
        <w:bdr w:val="none" w:sz="0" w:space="0" w:color="auto"/>
        <w:shd w:val="clear" w:color="auto" w:fill="auto"/>
        <w:vertAlign w:val="baseline"/>
      </w:rPr>
    </w:lvl>
    <w:lvl w:ilvl="1" w:tplc="B8287AD2">
      <w:start w:val="1"/>
      <w:numFmt w:val="bullet"/>
      <w:lvlText w:val=""/>
      <w:lvlJc w:val="left"/>
      <w:pPr>
        <w:ind w:left="998"/>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2" w:tplc="546878EA">
      <w:start w:val="1"/>
      <w:numFmt w:val="bullet"/>
      <w:lvlText w:val="▪"/>
      <w:lvlJc w:val="left"/>
      <w:pPr>
        <w:ind w:left="174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3" w:tplc="3C0615F2">
      <w:start w:val="1"/>
      <w:numFmt w:val="bullet"/>
      <w:lvlText w:val="•"/>
      <w:lvlJc w:val="left"/>
      <w:pPr>
        <w:ind w:left="246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4" w:tplc="63C2A210">
      <w:start w:val="1"/>
      <w:numFmt w:val="bullet"/>
      <w:lvlText w:val="o"/>
      <w:lvlJc w:val="left"/>
      <w:pPr>
        <w:ind w:left="318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5" w:tplc="C4EC3632">
      <w:start w:val="1"/>
      <w:numFmt w:val="bullet"/>
      <w:lvlText w:val="▪"/>
      <w:lvlJc w:val="left"/>
      <w:pPr>
        <w:ind w:left="390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6" w:tplc="669024DA">
      <w:start w:val="1"/>
      <w:numFmt w:val="bullet"/>
      <w:lvlText w:val="•"/>
      <w:lvlJc w:val="left"/>
      <w:pPr>
        <w:ind w:left="462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7" w:tplc="25D23CC8">
      <w:start w:val="1"/>
      <w:numFmt w:val="bullet"/>
      <w:lvlText w:val="o"/>
      <w:lvlJc w:val="left"/>
      <w:pPr>
        <w:ind w:left="534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lvl w:ilvl="8" w:tplc="1AF6A788">
      <w:start w:val="1"/>
      <w:numFmt w:val="bullet"/>
      <w:lvlText w:val="▪"/>
      <w:lvlJc w:val="left"/>
      <w:pPr>
        <w:ind w:left="6062"/>
      </w:pPr>
      <w:rPr>
        <w:rFonts w:ascii="Wingdings" w:eastAsia="Wingdings" w:hAnsi="Wingdings" w:cs="Wingdings"/>
        <w:b w:val="0"/>
        <w:i w:val="0"/>
        <w:strike w:val="0"/>
        <w:dstrike w:val="0"/>
        <w:color w:val="000000"/>
        <w:sz w:val="21"/>
        <w:u w:val="none" w:color="000000"/>
        <w:bdr w:val="none" w:sz="0" w:space="0" w:color="auto"/>
        <w:shd w:val="clear" w:color="auto" w:fill="auto"/>
        <w:vertAlign w:val="baseline"/>
      </w:rPr>
    </w:lvl>
  </w:abstractNum>
  <w:abstractNum w:abstractNumId="3">
    <w:nsid w:val="2DDF73C4"/>
    <w:multiLevelType w:val="multilevel"/>
    <w:tmpl w:val="EDEE49D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5007844"/>
    <w:multiLevelType w:val="hybridMultilevel"/>
    <w:tmpl w:val="1FDC8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709EF"/>
    <w:multiLevelType w:val="hybridMultilevel"/>
    <w:tmpl w:val="2878E522"/>
    <w:lvl w:ilvl="0" w:tplc="40A6A442">
      <w:start w:val="2"/>
      <w:numFmt w:val="bullet"/>
      <w:lvlText w:val="-"/>
      <w:lvlJc w:val="left"/>
      <w:pPr>
        <w:ind w:left="930" w:hanging="360"/>
      </w:pPr>
      <w:rPr>
        <w:rFonts w:ascii="Times New Roman" w:eastAsiaTheme="minorHAns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45593149"/>
    <w:multiLevelType w:val="multilevel"/>
    <w:tmpl w:val="E77E56CE"/>
    <w:lvl w:ilvl="0">
      <w:start w:val="1"/>
      <w:numFmt w:val="decimal"/>
      <w:lvlText w:val="%1."/>
      <w:lvlJc w:val="left"/>
      <w:pPr>
        <w:ind w:left="1287"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953"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3132" w:hanging="144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798" w:hanging="1800"/>
      </w:pPr>
      <w:rPr>
        <w:rFonts w:hint="default"/>
      </w:rPr>
    </w:lvl>
    <w:lvl w:ilvl="8">
      <w:start w:val="1"/>
      <w:numFmt w:val="decimal"/>
      <w:isLgl/>
      <w:lvlText w:val="%1.%2.%3.%4.%5.%6.%7.%8.%9."/>
      <w:lvlJc w:val="left"/>
      <w:pPr>
        <w:ind w:left="3951" w:hanging="1800"/>
      </w:pPr>
      <w:rPr>
        <w:rFonts w:hint="default"/>
      </w:rPr>
    </w:lvl>
  </w:abstractNum>
  <w:abstractNum w:abstractNumId="7">
    <w:nsid w:val="75C67793"/>
    <w:multiLevelType w:val="hybridMultilevel"/>
    <w:tmpl w:val="ED1C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3"/>
  </w:num>
  <w:num w:numId="7">
    <w:abstractNumId w:val="2"/>
  </w:num>
  <w:num w:numId="8">
    <w:abstractNumId w:val="4"/>
  </w:num>
  <w:num w:numId="9">
    <w:abstractNumId w:val="5"/>
  </w:num>
  <w:num w:numId="10">
    <w:abstractNumId w:val="1"/>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564D5F"/>
    <w:rsid w:val="0000184D"/>
    <w:rsid w:val="00023CB5"/>
    <w:rsid w:val="00024125"/>
    <w:rsid w:val="00027BB4"/>
    <w:rsid w:val="00035179"/>
    <w:rsid w:val="0003699F"/>
    <w:rsid w:val="00066943"/>
    <w:rsid w:val="00077174"/>
    <w:rsid w:val="000A3711"/>
    <w:rsid w:val="000A5E6C"/>
    <w:rsid w:val="000C4F68"/>
    <w:rsid w:val="000F0939"/>
    <w:rsid w:val="000F0F40"/>
    <w:rsid w:val="00113DB6"/>
    <w:rsid w:val="00120253"/>
    <w:rsid w:val="001553BC"/>
    <w:rsid w:val="00172DB0"/>
    <w:rsid w:val="0017547C"/>
    <w:rsid w:val="001800AD"/>
    <w:rsid w:val="00184037"/>
    <w:rsid w:val="0019533D"/>
    <w:rsid w:val="00195616"/>
    <w:rsid w:val="001A13E8"/>
    <w:rsid w:val="001A2B1F"/>
    <w:rsid w:val="001A3FC5"/>
    <w:rsid w:val="001B3A6B"/>
    <w:rsid w:val="001C2050"/>
    <w:rsid w:val="001D4718"/>
    <w:rsid w:val="001E1ABC"/>
    <w:rsid w:val="001E3D84"/>
    <w:rsid w:val="001E6AAE"/>
    <w:rsid w:val="001F1CBB"/>
    <w:rsid w:val="00220EB0"/>
    <w:rsid w:val="0023568F"/>
    <w:rsid w:val="0025685A"/>
    <w:rsid w:val="00265E46"/>
    <w:rsid w:val="00270A3E"/>
    <w:rsid w:val="00271842"/>
    <w:rsid w:val="00271C89"/>
    <w:rsid w:val="00295234"/>
    <w:rsid w:val="002C4E2D"/>
    <w:rsid w:val="002F14E9"/>
    <w:rsid w:val="002F4233"/>
    <w:rsid w:val="003263C3"/>
    <w:rsid w:val="003327C7"/>
    <w:rsid w:val="00355C5B"/>
    <w:rsid w:val="00361CBC"/>
    <w:rsid w:val="003626C7"/>
    <w:rsid w:val="00363E94"/>
    <w:rsid w:val="003821F0"/>
    <w:rsid w:val="003A20FF"/>
    <w:rsid w:val="003A5716"/>
    <w:rsid w:val="003A5A99"/>
    <w:rsid w:val="003F6CC6"/>
    <w:rsid w:val="003F7EE0"/>
    <w:rsid w:val="004430F7"/>
    <w:rsid w:val="004634DA"/>
    <w:rsid w:val="00466E74"/>
    <w:rsid w:val="004676F7"/>
    <w:rsid w:val="004703FB"/>
    <w:rsid w:val="0047566C"/>
    <w:rsid w:val="00492858"/>
    <w:rsid w:val="004972A5"/>
    <w:rsid w:val="004D4E58"/>
    <w:rsid w:val="004F1A98"/>
    <w:rsid w:val="00502672"/>
    <w:rsid w:val="0050674A"/>
    <w:rsid w:val="00536581"/>
    <w:rsid w:val="005541FA"/>
    <w:rsid w:val="00555C37"/>
    <w:rsid w:val="00564D5F"/>
    <w:rsid w:val="00566C31"/>
    <w:rsid w:val="00584419"/>
    <w:rsid w:val="005844FC"/>
    <w:rsid w:val="005877CB"/>
    <w:rsid w:val="00595284"/>
    <w:rsid w:val="005A73F6"/>
    <w:rsid w:val="005C3308"/>
    <w:rsid w:val="005D1E45"/>
    <w:rsid w:val="005E210B"/>
    <w:rsid w:val="005E3290"/>
    <w:rsid w:val="006149CF"/>
    <w:rsid w:val="00650AA5"/>
    <w:rsid w:val="00652C24"/>
    <w:rsid w:val="00655FFF"/>
    <w:rsid w:val="00661D9D"/>
    <w:rsid w:val="00674019"/>
    <w:rsid w:val="00686DDC"/>
    <w:rsid w:val="006A3603"/>
    <w:rsid w:val="007036F7"/>
    <w:rsid w:val="00717751"/>
    <w:rsid w:val="00725DCE"/>
    <w:rsid w:val="007266D8"/>
    <w:rsid w:val="0075179C"/>
    <w:rsid w:val="0079614D"/>
    <w:rsid w:val="007A4098"/>
    <w:rsid w:val="007B2123"/>
    <w:rsid w:val="007C1903"/>
    <w:rsid w:val="007C2436"/>
    <w:rsid w:val="007E6BB1"/>
    <w:rsid w:val="0080716E"/>
    <w:rsid w:val="00826F00"/>
    <w:rsid w:val="00865166"/>
    <w:rsid w:val="0087226D"/>
    <w:rsid w:val="008776F2"/>
    <w:rsid w:val="0088751D"/>
    <w:rsid w:val="008A312F"/>
    <w:rsid w:val="008B55C0"/>
    <w:rsid w:val="008C64B4"/>
    <w:rsid w:val="008D1239"/>
    <w:rsid w:val="008D2FB0"/>
    <w:rsid w:val="008E379C"/>
    <w:rsid w:val="008E792C"/>
    <w:rsid w:val="008F3A60"/>
    <w:rsid w:val="008F7C26"/>
    <w:rsid w:val="009014EB"/>
    <w:rsid w:val="00903A63"/>
    <w:rsid w:val="00974D7F"/>
    <w:rsid w:val="009A162C"/>
    <w:rsid w:val="009B2CF7"/>
    <w:rsid w:val="009C15F2"/>
    <w:rsid w:val="009C56AB"/>
    <w:rsid w:val="009C7D08"/>
    <w:rsid w:val="009E43B5"/>
    <w:rsid w:val="00A00EED"/>
    <w:rsid w:val="00A07553"/>
    <w:rsid w:val="00A20EAD"/>
    <w:rsid w:val="00A30539"/>
    <w:rsid w:val="00A32E97"/>
    <w:rsid w:val="00A35C45"/>
    <w:rsid w:val="00A46244"/>
    <w:rsid w:val="00A73270"/>
    <w:rsid w:val="00A73B82"/>
    <w:rsid w:val="00A818C5"/>
    <w:rsid w:val="00A8528A"/>
    <w:rsid w:val="00AB6629"/>
    <w:rsid w:val="00AB7293"/>
    <w:rsid w:val="00AD1998"/>
    <w:rsid w:val="00AE1A84"/>
    <w:rsid w:val="00AF0BFA"/>
    <w:rsid w:val="00B03B40"/>
    <w:rsid w:val="00B04034"/>
    <w:rsid w:val="00B2106A"/>
    <w:rsid w:val="00B31ABD"/>
    <w:rsid w:val="00B41434"/>
    <w:rsid w:val="00B442DA"/>
    <w:rsid w:val="00B5093F"/>
    <w:rsid w:val="00B63DD9"/>
    <w:rsid w:val="00B6743D"/>
    <w:rsid w:val="00B765D9"/>
    <w:rsid w:val="00B83B15"/>
    <w:rsid w:val="00BA29F3"/>
    <w:rsid w:val="00BB14BF"/>
    <w:rsid w:val="00BC1F52"/>
    <w:rsid w:val="00BC482D"/>
    <w:rsid w:val="00C0753F"/>
    <w:rsid w:val="00C3345D"/>
    <w:rsid w:val="00C34701"/>
    <w:rsid w:val="00C34BF2"/>
    <w:rsid w:val="00C43233"/>
    <w:rsid w:val="00C77EEC"/>
    <w:rsid w:val="00C82ECC"/>
    <w:rsid w:val="00C9373C"/>
    <w:rsid w:val="00CC035F"/>
    <w:rsid w:val="00CC16F8"/>
    <w:rsid w:val="00CC1DF5"/>
    <w:rsid w:val="00CF45B8"/>
    <w:rsid w:val="00CF4A63"/>
    <w:rsid w:val="00D15739"/>
    <w:rsid w:val="00D22934"/>
    <w:rsid w:val="00D26A78"/>
    <w:rsid w:val="00D33874"/>
    <w:rsid w:val="00D36BFD"/>
    <w:rsid w:val="00D53CF5"/>
    <w:rsid w:val="00D6405B"/>
    <w:rsid w:val="00D8125D"/>
    <w:rsid w:val="00D872A5"/>
    <w:rsid w:val="00D9202C"/>
    <w:rsid w:val="00D9209D"/>
    <w:rsid w:val="00DA6F05"/>
    <w:rsid w:val="00DD18EA"/>
    <w:rsid w:val="00DF02E1"/>
    <w:rsid w:val="00E01F4C"/>
    <w:rsid w:val="00E221CD"/>
    <w:rsid w:val="00E24480"/>
    <w:rsid w:val="00E46D36"/>
    <w:rsid w:val="00E515F1"/>
    <w:rsid w:val="00E6257D"/>
    <w:rsid w:val="00E72E53"/>
    <w:rsid w:val="00E97359"/>
    <w:rsid w:val="00EA4628"/>
    <w:rsid w:val="00EA5CE7"/>
    <w:rsid w:val="00EB047A"/>
    <w:rsid w:val="00EB1878"/>
    <w:rsid w:val="00EB3B05"/>
    <w:rsid w:val="00EF3C23"/>
    <w:rsid w:val="00F0665C"/>
    <w:rsid w:val="00F147B8"/>
    <w:rsid w:val="00F329AC"/>
    <w:rsid w:val="00F46513"/>
    <w:rsid w:val="00F5300B"/>
    <w:rsid w:val="00F61A50"/>
    <w:rsid w:val="00F66F9F"/>
    <w:rsid w:val="00F71690"/>
    <w:rsid w:val="00F77329"/>
    <w:rsid w:val="00F866DB"/>
    <w:rsid w:val="00F929E8"/>
    <w:rsid w:val="00FB3AC9"/>
    <w:rsid w:val="00FE2F9C"/>
    <w:rsid w:val="00FF1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74"/>
    <w:pPr>
      <w:spacing w:line="276" w:lineRule="auto"/>
    </w:pPr>
  </w:style>
  <w:style w:type="paragraph" w:styleId="Heading2">
    <w:name w:val="heading 2"/>
    <w:basedOn w:val="Normal"/>
    <w:next w:val="Normal"/>
    <w:link w:val="Heading2Char"/>
    <w:autoRedefine/>
    <w:uiPriority w:val="9"/>
    <w:unhideWhenUsed/>
    <w:qFormat/>
    <w:rsid w:val="00584419"/>
    <w:pPr>
      <w:keepNext/>
      <w:numPr>
        <w:numId w:val="6"/>
      </w:numPr>
      <w:spacing w:line="288" w:lineRule="auto"/>
      <w:ind w:left="567" w:hanging="567"/>
      <w:outlineLvl w:val="1"/>
    </w:pPr>
    <w:rPr>
      <w:rFonts w:eastAsia="Times New Roman"/>
      <w:b/>
      <w:iCs/>
      <w:noProo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84419"/>
    <w:rPr>
      <w:rFonts w:eastAsia="Times New Roman"/>
      <w:b/>
      <w:iCs/>
      <w:noProof/>
      <w:sz w:val="26"/>
      <w:szCs w:val="26"/>
      <w:lang w:val="pt-BR"/>
    </w:rPr>
  </w:style>
  <w:style w:type="paragraph" w:styleId="ListParagraph">
    <w:name w:val="List Paragraph"/>
    <w:basedOn w:val="Normal"/>
    <w:uiPriority w:val="34"/>
    <w:qFormat/>
    <w:rsid w:val="009A162C"/>
    <w:pPr>
      <w:ind w:left="720"/>
      <w:contextualSpacing/>
    </w:pPr>
  </w:style>
  <w:style w:type="table" w:styleId="TableGrid">
    <w:name w:val="Table Grid"/>
    <w:basedOn w:val="TableNormal"/>
    <w:uiPriority w:val="39"/>
    <w:rsid w:val="00D9202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75179C"/>
    <w:pPr>
      <w:snapToGrid w:val="0"/>
      <w:spacing w:before="0" w:after="0" w:line="240" w:lineRule="auto"/>
      <w:jc w:val="both"/>
    </w:pPr>
    <w:rPr>
      <w:rFonts w:ascii=".VnTimeH" w:eastAsia="Times New Roman" w:hAnsi=".VnTimeH" w:cs="Times New Roman"/>
      <w:sz w:val="28"/>
      <w:szCs w:val="20"/>
    </w:rPr>
  </w:style>
  <w:style w:type="character" w:customStyle="1" w:styleId="BodyTextChar">
    <w:name w:val="Body Text Char"/>
    <w:basedOn w:val="DefaultParagraphFont"/>
    <w:link w:val="BodyText"/>
    <w:rsid w:val="0075179C"/>
    <w:rPr>
      <w:rFonts w:ascii=".VnTimeH" w:eastAsia="Times New Roman" w:hAnsi=".VnTimeH" w:cs="Times New Roman"/>
      <w:sz w:val="28"/>
      <w:szCs w:val="20"/>
    </w:rPr>
  </w:style>
  <w:style w:type="paragraph" w:styleId="Header">
    <w:name w:val="header"/>
    <w:basedOn w:val="Normal"/>
    <w:link w:val="HeaderChar"/>
    <w:uiPriority w:val="99"/>
    <w:unhideWhenUsed/>
    <w:rsid w:val="00C347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4701"/>
  </w:style>
  <w:style w:type="paragraph" w:styleId="Footer">
    <w:name w:val="footer"/>
    <w:basedOn w:val="Normal"/>
    <w:link w:val="FooterChar"/>
    <w:uiPriority w:val="99"/>
    <w:unhideWhenUsed/>
    <w:rsid w:val="00C347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34701"/>
  </w:style>
  <w:style w:type="paragraph" w:styleId="BalloonText">
    <w:name w:val="Balloon Text"/>
    <w:basedOn w:val="Normal"/>
    <w:link w:val="BalloonTextChar"/>
    <w:uiPriority w:val="99"/>
    <w:semiHidden/>
    <w:unhideWhenUsed/>
    <w:rsid w:val="00027BB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BB4"/>
    <w:rPr>
      <w:rFonts w:ascii="Segoe UI" w:hAnsi="Segoe UI" w:cs="Segoe UI"/>
      <w:sz w:val="18"/>
      <w:szCs w:val="18"/>
    </w:rPr>
  </w:style>
  <w:style w:type="paragraph" w:styleId="FootnoteText">
    <w:name w:val="footnote text"/>
    <w:basedOn w:val="Normal"/>
    <w:link w:val="FootnoteTextChar"/>
    <w:uiPriority w:val="99"/>
    <w:semiHidden/>
    <w:unhideWhenUsed/>
    <w:rsid w:val="004D4E5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D4E58"/>
    <w:rPr>
      <w:sz w:val="20"/>
      <w:szCs w:val="20"/>
    </w:rPr>
  </w:style>
  <w:style w:type="character" w:styleId="FootnoteReference">
    <w:name w:val="footnote reference"/>
    <w:basedOn w:val="DefaultParagraphFont"/>
    <w:uiPriority w:val="99"/>
    <w:semiHidden/>
    <w:unhideWhenUsed/>
    <w:rsid w:val="004D4E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ojVIV2nMepT1XqDtdYhDP2Sa0xw=</DigestValue>
    </Reference>
    <Reference URI="#idOfficeObject" Type="http://www.w3.org/2000/09/xmldsig#Object">
      <DigestMethod Algorithm="http://www.w3.org/2000/09/xmldsig#sha1"/>
      <DigestValue>7KESuwTtE83fAKqH80lK4KPNPjo=</DigestValue>
    </Reference>
  </SignedInfo>
  <SignatureValue>
    po8IWoDO6lwaD1f5qpL8QGW02+3QiG8q2AL4RZU42iLutOkK58ZeIL2HtyX8ZSLUX1WcmKYf
    etob53pxrOsdLM2Ub8c8ZZKRHNf46Hbm7J7iU9dXqGCbbHEGfAtn0y7hpPvR6Ls/vhCjz67C
    BhkcIxzQCP4/eL4K9FfJIBs/5fo=
  </SignatureValue>
  <KeyInfo>
    <KeyValue>
      <RSAKeyValue>
        <Modulus>
            y8H3iF6mQl1s7Fs+hRo00s2NpH+Qasdo0uXw157szsT6N8tr2xw400lzBGzIwvS6BmJ2enpR
            A65iA6cqiMzd6RncZB/YX5vop7v9Vr1Zhe14pkWRFhAGDEWi95uDrer9IkCKOfIBU6Q1aM+L
            pbI+bgePv8gX4GzOKFfzRDLJNsE=
          </Modulus>
        <Exponent>AQAB</Exponent>
      </RSAKeyValue>
    </KeyValue>
    <X509Data>
      <X509Certificate>
          MIIF+jCCA+KgAwIBAgIQVAEQkP0oTO9m71NICslyTjANBgkqhkiG9w0BAQUFADBpMQswCQYD
          VQQGEwJWTjETMBEGA1UEChMKVk5QVCBHcm91cDEeMBwGA1UECxMVVk5QVC1DQSBUcnVzdCBO
          ZXR3b3JrMSUwIwYDVQQDExxWTlBUIENlcnRpZmljYXRpb24gQXV0aG9yaXR5MB4XDTE0MTAz
          MTA3MjgwMFoXDTE3MTEyODE3MDAwMFowgckxCzAJBgNVBAYTAlZOMRIwEAYDVQQIDAlIw6Ag
          TuG7mWkxFzAVBgNVBAcMDkhhaSBCw6AgVHLGsG5nMS8wLQYDVQQKDCZDw5RORyBUWSBD4buU
          IFBI4bqmTiBDSOG7qE5HIEtIT8OBTiBJQjEjMCEGA1UEDAwaVHLGsOG7n25nIGJhbiBLaeG7
          g20gdG/DoW4xFzAVBgNVBAMMDkTGryBWxIJOIFRPw4BOMR4wHAYKCZImiZPyLGQBAQwOQ01O
          RDowMTI5NjQ4NzIwgZ8wDQYJKoZIhvcNAQEBBQADgY0AMIGJAoGBAMvB94hepkJdbOxbPoUa
          NNLNjaR/kGrHaNLl8Nee7M7E+jfLa9scONNJcwRsyML0ugZidnp6UQOuYgOnKojM3ekZ3GQf
          2F+b6Ke7/Va9WYXteKZFkRYQBgxFovebg63q/SJAijnyAVOkNWjPi6WyPm4Hj7/IF+BszihX
          80QyyTbBAgMBAAGjggG/MIIBuzBwBggrBgEFBQcBAQRkMGIwMgYIKwYBBQUHMAKGJmh0dHA6
          Ly9wdWIudm5wdC1jYS52bi9jZXJ0cy92bnB0Y2EuY2VyMCwGCCsGAQUFBzABhiBodHRwOi8v
          b2NzcC52bnB0LWNhLnZuL3Jlc3BvbmRlcjAdBgNVHQ4EFgQUv9DG3Ab5G6xmaBR1/VThH7l7
          oM4wDAYDVR0TAQH/BAIwADAfBgNVHSMEGDAWgBQGacDV1QKKFY1Gfel84mgKVaxqrzBoBgNV
          HSAEYTBfMF0GDisGAQQBge0DAQEDAQMCMEswIgYIKwYBBQUHAgIwFh4UAFMASQBEAC0AUABS
          AC0AMQAuADAwJQYIKwYBBQUHAgEWGWh0dHA6Ly9wdWIudm5wdC1jYS52bi9ycGEwMQYDVR0f
          BCowKDAmoCSgIoYgaHR0cDovL2NybC52bnB0LWNhLnZuL3ZucHRjYS5jcmwwDgYDVR0PAQH/
          BAQDAgTwMDQGA1UdJQQtMCsGCCsGAQUFBwMCBggrBgEFBQcDBAYKKwYBBAGCNwoDDAYJKoZI
          hvcvAQEFMBYGA1UdEQQPMA2BC2luZm9AaWJ4LnZuMA0GCSqGSIb3DQEBBQUAA4ICAQBrG381
          cMhtX5UZPri/HJ0MjoZDk6TlL+FLEWAEHEKI3wEdQav6qIu1mnGFmmMGDTU5VFQHVGRi3Vk5
          Lj+2H1pzYGbnYrv8bJ8lSMAShNzlIOtobrGmBOvoxKkQk0MK+DcZNT1xpaZeDTvXoJwbqKFC
          Q1YSqGwC6jhDc7U/odETFxIGPwPKMogR4fRZKyxepgq88jGEUdw0EqEmY61sIbgwXmyM2wNQ
          tQhbl/hrcuRl6ULxsx9fETDh3ZQSHrnrx4It4nd3l2GHJMRQfte202tWapnbItKHgbnDwSQq
          MuCf+2js3fi4Pfg9JTn4iEP6C11B+I3Vtwfj3CWZ1Nm81xhUyl7Purgs6FBBpKugsNnt1zfG
          +h3IKkBnPZJReAXWQ/Lw7aGyZsW4fIAt0cyEc6VYK0GQwIKVNyisY6E2Lieanly8MFD9b9L1
          kLmrFsajjZaHdX3e7o7IH0plf8MVgEft9H2QCqzGNZE/iGlBEavd3oAT+RkRqB0DCvTiExKn
          w7zVXNE16PrZJ/rQnyZInCWQTwPeOmtwuuZb8qvIsaBhx8FElre/yTpz9594CEaMxYC7J69N
          Umb8cQhMuU+4+t8ByzONkF7ha6JN+ahzSCl/Wz+omTqakmQbwbnX6DFlhqev1XzKJUOmCxhX
          niYoQ3Q3Wc1yvD5iPBCyydfJ841wEg==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nDtEqRehuCYjsdxfzuiC/eb/+44=</DigestValue>
      </Reference>
      <Reference URI="/word/endnotes.xml?ContentType=application/vnd.openxmlformats-officedocument.wordprocessingml.endnotes+xml">
        <DigestMethod Algorithm="http://www.w3.org/2000/09/xmldsig#sha1"/>
        <DigestValue>52x6bKnLmD3XGQBx/pl0hvCBivU=</DigestValue>
      </Reference>
      <Reference URI="/word/fontTable.xml?ContentType=application/vnd.openxmlformats-officedocument.wordprocessingml.fontTable+xml">
        <DigestMethod Algorithm="http://www.w3.org/2000/09/xmldsig#sha1"/>
        <DigestValue>HVnssViMNYnELcIYlrAtXGThF00=</DigestValue>
      </Reference>
      <Reference URI="/word/footer1.xml?ContentType=application/vnd.openxmlformats-officedocument.wordprocessingml.footer+xml">
        <DigestMethod Algorithm="http://www.w3.org/2000/09/xmldsig#sha1"/>
        <DigestValue>m6gBt4FNZFy+RjRZXlSMld30EDg=</DigestValue>
      </Reference>
      <Reference URI="/word/footnotes.xml?ContentType=application/vnd.openxmlformats-officedocument.wordprocessingml.footnotes+xml">
        <DigestMethod Algorithm="http://www.w3.org/2000/09/xmldsig#sha1"/>
        <DigestValue>Gi3d7rjZjoEK3ebKYTXiFCg3eLQ=</DigestValue>
      </Reference>
      <Reference URI="/word/numbering.xml?ContentType=application/vnd.openxmlformats-officedocument.wordprocessingml.numbering+xml">
        <DigestMethod Algorithm="http://www.w3.org/2000/09/xmldsig#sha1"/>
        <DigestValue>pM8hmCLZv73VvGzN+0KanN/ByVI=</DigestValue>
      </Reference>
      <Reference URI="/word/settings.xml?ContentType=application/vnd.openxmlformats-officedocument.wordprocessingml.settings+xml">
        <DigestMethod Algorithm="http://www.w3.org/2000/09/xmldsig#sha1"/>
        <DigestValue>/03ZCrvUShf8V8Wdc9rqqdrldow=</DigestValue>
      </Reference>
      <Reference URI="/word/styles.xml?ContentType=application/vnd.openxmlformats-officedocument.wordprocessingml.styles+xml">
        <DigestMethod Algorithm="http://www.w3.org/2000/09/xmldsig#sha1"/>
        <DigestValue>lEdpM28AiCAuKeC6HM3pa9mDEcc=</DigestValue>
      </Reference>
      <Reference URI="/word/theme/theme1.xml?ContentType=application/vnd.openxmlformats-officedocument.theme+xml">
        <DigestMethod Algorithm="http://www.w3.org/2000/09/xmldsig#sha1"/>
        <DigestValue>m1p8mEzkV+ECGxW44ao1Y2DGkmk=</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2015-04-02T06:13:28Z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1A66-3675-476B-9219-80E6BF85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IB Securities</Company>
  <LinksUpToDate>false</LinksUpToDate>
  <CharactersWithSpaces>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Duyen</dc:creator>
  <cp:lastModifiedBy>Du Van Toan</cp:lastModifiedBy>
  <cp:revision>3</cp:revision>
  <cp:lastPrinted>2015-03-18T05:32:00Z</cp:lastPrinted>
  <dcterms:created xsi:type="dcterms:W3CDTF">2015-04-02T04:40:00Z</dcterms:created>
  <dcterms:modified xsi:type="dcterms:W3CDTF">2015-04-02T06:12:00Z</dcterms:modified>
</cp:coreProperties>
</file>