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89068b1407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3" w:rsidRPr="00584A95" w:rsidRDefault="009344B3" w:rsidP="009344B3">
      <w:pPr>
        <w:ind w:hanging="90"/>
        <w:rPr>
          <w:color w:val="333333"/>
          <w:sz w:val="20"/>
        </w:rPr>
      </w:pPr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</w:t>
      </w:r>
      <w:smartTag w:uri="urn:schemas-microsoft-com:office:smarttags" w:element="place">
        <w:smartTag w:uri="urn:schemas-microsoft-com:office:smarttags" w:element="country-region">
          <w:r w:rsidRPr="00584A95">
            <w:rPr>
              <w:b/>
              <w:color w:val="333333"/>
              <w:sz w:val="20"/>
            </w:rPr>
            <w:t>NAM</w:t>
          </w:r>
        </w:smartTag>
      </w:smartTag>
    </w:p>
    <w:p w:rsidR="009344B3" w:rsidRPr="009344B3" w:rsidRDefault="00442971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TP,HCM </w:t>
      </w:r>
      <w:r w:rsidR="00117207">
        <w:rPr>
          <w:color w:val="333333"/>
        </w:rPr>
        <w:t xml:space="preserve"> </w:t>
      </w:r>
      <w:r w:rsidR="00B8209B">
        <w:rPr>
          <w:color w:val="333333"/>
        </w:rPr>
        <w:t>15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6B5CA9">
        <w:rPr>
          <w:color w:val="333333"/>
        </w:rPr>
        <w:t xml:space="preserve"> </w:t>
      </w:r>
      <w:r w:rsidR="00117207">
        <w:rPr>
          <w:color w:val="333333"/>
        </w:rPr>
        <w:t>0</w:t>
      </w:r>
      <w:r w:rsidR="00B8209B">
        <w:rPr>
          <w:color w:val="333333"/>
        </w:rPr>
        <w:t>7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117207">
        <w:rPr>
          <w:color w:val="333333"/>
        </w:rPr>
        <w:t>5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577A6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Taxi Gas Sài Gòn Petrolimex </w:t>
      </w:r>
      <w:r w:rsidR="00DD37D4">
        <w:rPr>
          <w:rFonts w:ascii="Times New Roman" w:hAnsi="Times New Roman"/>
          <w:sz w:val="28"/>
          <w:szCs w:val="28"/>
        </w:rPr>
        <w:t>( Mã CK : PGT)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Địa chỉ : 178/6 Điện Biên Phủ, P21, Quận Bình Thạnh, Tp HCM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</w:p>
    <w:p w:rsidR="00020A87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Công ty 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B37834">
        <w:rPr>
          <w:rFonts w:ascii="Times New Roman" w:hAnsi="Times New Roman"/>
          <w:sz w:val="28"/>
          <w:szCs w:val="28"/>
        </w:rPr>
        <w:t xml:space="preserve">iải trình Chênh lệch </w:t>
      </w:r>
      <w:r w:rsidR="00020A87"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B8209B">
        <w:rPr>
          <w:rFonts w:ascii="Times New Roman" w:hAnsi="Times New Roman"/>
          <w:sz w:val="28"/>
          <w:szCs w:val="28"/>
        </w:rPr>
        <w:t>2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5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6C67AA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4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B820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:          </w:t>
      </w:r>
      <w:r w:rsidR="00C91359">
        <w:rPr>
          <w:rFonts w:ascii="Times New Roman" w:hAnsi="Times New Roman"/>
          <w:sz w:val="28"/>
          <w:szCs w:val="28"/>
        </w:rPr>
        <w:t>87.451.398</w:t>
      </w:r>
      <w:r>
        <w:rPr>
          <w:rFonts w:ascii="Times New Roman" w:hAnsi="Times New Roman"/>
          <w:sz w:val="28"/>
          <w:szCs w:val="28"/>
        </w:rPr>
        <w:t xml:space="preserve"> đồng</w:t>
      </w:r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B820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C10DF0">
        <w:rPr>
          <w:rFonts w:ascii="Times New Roman" w:hAnsi="Times New Roman"/>
          <w:sz w:val="28"/>
          <w:szCs w:val="28"/>
        </w:rPr>
        <w:t>201</w:t>
      </w:r>
      <w:r w:rsidR="00C32AA1">
        <w:rPr>
          <w:rFonts w:ascii="Times New Roman" w:hAnsi="Times New Roman"/>
          <w:sz w:val="28"/>
          <w:szCs w:val="28"/>
        </w:rPr>
        <w:t>4</w:t>
      </w:r>
      <w:r w:rsidR="00C10DF0">
        <w:rPr>
          <w:rFonts w:ascii="Times New Roman" w:hAnsi="Times New Roman"/>
          <w:sz w:val="28"/>
          <w:szCs w:val="28"/>
        </w:rPr>
        <w:t xml:space="preserve">  : </w:t>
      </w:r>
      <w:r w:rsidR="002A40A5">
        <w:rPr>
          <w:rFonts w:ascii="Times New Roman" w:hAnsi="Times New Roman"/>
          <w:sz w:val="28"/>
          <w:szCs w:val="28"/>
        </w:rPr>
        <w:tab/>
      </w:r>
      <w:r w:rsidR="00117207">
        <w:rPr>
          <w:rFonts w:ascii="Times New Roman" w:hAnsi="Times New Roman"/>
          <w:sz w:val="28"/>
          <w:szCs w:val="28"/>
        </w:rPr>
        <w:t xml:space="preserve">  </w:t>
      </w:r>
      <w:r w:rsidR="005F7592">
        <w:rPr>
          <w:rFonts w:ascii="Times New Roman" w:hAnsi="Times New Roman"/>
          <w:sz w:val="28"/>
          <w:szCs w:val="28"/>
        </w:rPr>
        <w:t xml:space="preserve"> </w:t>
      </w:r>
      <w:r w:rsidR="00B8209B">
        <w:rPr>
          <w:rFonts w:ascii="Times New Roman" w:hAnsi="Times New Roman"/>
          <w:sz w:val="28"/>
          <w:szCs w:val="28"/>
        </w:rPr>
        <w:t>2.274.562.272</w:t>
      </w:r>
      <w:r w:rsidR="002A40A5">
        <w:rPr>
          <w:rFonts w:ascii="Times New Roman" w:hAnsi="Times New Roman"/>
          <w:sz w:val="28"/>
          <w:szCs w:val="28"/>
        </w:rPr>
        <w:t xml:space="preserve"> 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nhân chênh lệch như sau :</w:t>
      </w:r>
    </w:p>
    <w:p w:rsidR="00A43649" w:rsidRPr="00A43649" w:rsidRDefault="00765E16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65F16">
        <w:rPr>
          <w:rFonts w:ascii="Times New Roman" w:hAnsi="Times New Roman"/>
          <w:sz w:val="28"/>
          <w:szCs w:val="28"/>
        </w:rPr>
        <w:t xml:space="preserve">rong </w:t>
      </w:r>
      <w:r w:rsidR="00711098">
        <w:rPr>
          <w:rFonts w:ascii="Times New Roman" w:hAnsi="Times New Roman"/>
          <w:sz w:val="28"/>
          <w:szCs w:val="28"/>
        </w:rPr>
        <w:t xml:space="preserve">Quý </w:t>
      </w:r>
      <w:r w:rsidR="00B8209B">
        <w:rPr>
          <w:rFonts w:ascii="Times New Roman" w:hAnsi="Times New Roman"/>
          <w:sz w:val="28"/>
          <w:szCs w:val="28"/>
        </w:rPr>
        <w:t>2</w:t>
      </w:r>
      <w:r w:rsidR="00711098"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4</w:t>
      </w:r>
      <w:r w:rsidR="00711098">
        <w:rPr>
          <w:rFonts w:ascii="Times New Roman" w:hAnsi="Times New Roman"/>
          <w:sz w:val="28"/>
          <w:szCs w:val="28"/>
        </w:rPr>
        <w:t xml:space="preserve"> công ty </w:t>
      </w:r>
      <w:r w:rsidR="00C32AA1">
        <w:rPr>
          <w:rFonts w:ascii="Times New Roman" w:hAnsi="Times New Roman"/>
          <w:sz w:val="28"/>
          <w:szCs w:val="28"/>
        </w:rPr>
        <w:t xml:space="preserve">thanh lý một số xe Taxi cũ đã thu lại lợi nhuận </w:t>
      </w:r>
      <w:r w:rsidR="00B8209B">
        <w:rPr>
          <w:rFonts w:ascii="Times New Roman" w:hAnsi="Times New Roman"/>
          <w:sz w:val="28"/>
          <w:szCs w:val="28"/>
        </w:rPr>
        <w:t>1,393</w:t>
      </w:r>
      <w:r w:rsidR="00C32AA1">
        <w:rPr>
          <w:rFonts w:ascii="Times New Roman" w:hAnsi="Times New Roman"/>
          <w:sz w:val="28"/>
          <w:szCs w:val="28"/>
        </w:rPr>
        <w:t xml:space="preserve"> tỷ đồng </w:t>
      </w:r>
      <w:r w:rsidR="00EF5CB9">
        <w:rPr>
          <w:rFonts w:ascii="Times New Roman" w:hAnsi="Times New Roman"/>
          <w:sz w:val="28"/>
          <w:szCs w:val="28"/>
        </w:rPr>
        <w:t xml:space="preserve">cùng với </w:t>
      </w:r>
      <w:r w:rsidR="00EC40FD">
        <w:rPr>
          <w:rFonts w:ascii="Times New Roman" w:hAnsi="Times New Roman"/>
          <w:sz w:val="28"/>
          <w:szCs w:val="28"/>
        </w:rPr>
        <w:t xml:space="preserve"> hoạt động kinh doanh</w:t>
      </w:r>
      <w:r w:rsidR="00EF5CB9">
        <w:rPr>
          <w:rFonts w:ascii="Times New Roman" w:hAnsi="Times New Roman"/>
          <w:sz w:val="28"/>
          <w:szCs w:val="28"/>
        </w:rPr>
        <w:t xml:space="preserve"> thuần công ty đạt </w:t>
      </w:r>
      <w:r w:rsidR="000543F0">
        <w:rPr>
          <w:rFonts w:ascii="Times New Roman" w:hAnsi="Times New Roman"/>
          <w:sz w:val="28"/>
          <w:szCs w:val="28"/>
        </w:rPr>
        <w:t xml:space="preserve">tổng lợi nhuận </w:t>
      </w:r>
      <w:r w:rsidR="00C91359">
        <w:rPr>
          <w:rFonts w:ascii="Times New Roman" w:hAnsi="Times New Roman"/>
          <w:sz w:val="28"/>
          <w:szCs w:val="28"/>
        </w:rPr>
        <w:t>2,</w:t>
      </w:r>
      <w:r w:rsidR="00EF5CB9">
        <w:rPr>
          <w:rFonts w:ascii="Times New Roman" w:hAnsi="Times New Roman"/>
          <w:sz w:val="28"/>
          <w:szCs w:val="28"/>
        </w:rPr>
        <w:t>274 tỷ đồng</w:t>
      </w:r>
      <w:r w:rsidR="00C32AA1">
        <w:rPr>
          <w:rFonts w:ascii="Times New Roman" w:hAnsi="Times New Roman"/>
          <w:sz w:val="28"/>
          <w:szCs w:val="28"/>
        </w:rPr>
        <w:t xml:space="preserve">. </w:t>
      </w:r>
      <w:r w:rsidR="00B8209B">
        <w:rPr>
          <w:rFonts w:ascii="Times New Roman" w:hAnsi="Times New Roman"/>
          <w:sz w:val="28"/>
          <w:szCs w:val="28"/>
        </w:rPr>
        <w:t xml:space="preserve">Trong Quý 2 /2015, công ty hoạt động cầm chừng </w:t>
      </w:r>
      <w:r w:rsidR="000543F0">
        <w:rPr>
          <w:rFonts w:ascii="Times New Roman" w:hAnsi="Times New Roman"/>
          <w:sz w:val="28"/>
          <w:szCs w:val="28"/>
        </w:rPr>
        <w:t xml:space="preserve">chờ </w:t>
      </w:r>
      <w:r w:rsidR="00EF5CB9">
        <w:rPr>
          <w:rFonts w:ascii="Times New Roman" w:hAnsi="Times New Roman"/>
          <w:sz w:val="28"/>
          <w:szCs w:val="28"/>
        </w:rPr>
        <w:t xml:space="preserve">phương án giao dịch thoái vốn của các Cổ đông sáng lập nên lợi nhuận chỉ đạt </w:t>
      </w:r>
      <w:r w:rsidR="00C91359">
        <w:rPr>
          <w:rFonts w:ascii="Times New Roman" w:hAnsi="Times New Roman"/>
          <w:sz w:val="28"/>
          <w:szCs w:val="28"/>
        </w:rPr>
        <w:t>87,451</w:t>
      </w:r>
      <w:r w:rsidR="00EF5CB9">
        <w:rPr>
          <w:rFonts w:ascii="Times New Roman" w:hAnsi="Times New Roman"/>
          <w:sz w:val="28"/>
          <w:szCs w:val="28"/>
        </w:rPr>
        <w:t xml:space="preserve"> triệu đồng</w:t>
      </w:r>
      <w:r w:rsidR="00EC40FD">
        <w:rPr>
          <w:rFonts w:ascii="Times New Roman" w:hAnsi="Times New Roman"/>
          <w:sz w:val="28"/>
          <w:szCs w:val="28"/>
        </w:rPr>
        <w:t xml:space="preserve"> </w:t>
      </w:r>
      <w:r w:rsidR="00EF5CB9">
        <w:rPr>
          <w:rFonts w:ascii="Times New Roman" w:hAnsi="Times New Roman"/>
          <w:sz w:val="28"/>
          <w:szCs w:val="28"/>
        </w:rPr>
        <w:t xml:space="preserve">. </w:t>
      </w:r>
      <w:r w:rsidR="000543F0">
        <w:rPr>
          <w:rFonts w:ascii="Times New Roman" w:hAnsi="Times New Roman"/>
          <w:sz w:val="28"/>
          <w:szCs w:val="28"/>
        </w:rPr>
        <w:t>Đây chính là nguyên nhân dẫn đến</w:t>
      </w:r>
      <w:r w:rsidR="00C32AA1">
        <w:rPr>
          <w:rFonts w:ascii="Times New Roman" w:hAnsi="Times New Roman"/>
          <w:sz w:val="28"/>
          <w:szCs w:val="28"/>
        </w:rPr>
        <w:t xml:space="preserve"> chênh lệch Lợi nhuận của Quý </w:t>
      </w:r>
      <w:r w:rsidR="00B8209B">
        <w:rPr>
          <w:rFonts w:ascii="Times New Roman" w:hAnsi="Times New Roman"/>
          <w:sz w:val="28"/>
          <w:szCs w:val="28"/>
        </w:rPr>
        <w:t>2</w:t>
      </w:r>
      <w:r w:rsidR="00C32AA1">
        <w:rPr>
          <w:rFonts w:ascii="Times New Roman" w:hAnsi="Times New Roman"/>
          <w:sz w:val="28"/>
          <w:szCs w:val="28"/>
        </w:rPr>
        <w:t xml:space="preserve">/2015 với Quý 2/2014 </w:t>
      </w:r>
      <w:r w:rsidR="000543F0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6F0FF1"/>
    <w:rsid w:val="0000235E"/>
    <w:rsid w:val="000128C7"/>
    <w:rsid w:val="00020A87"/>
    <w:rsid w:val="00030675"/>
    <w:rsid w:val="00037CA1"/>
    <w:rsid w:val="000543F0"/>
    <w:rsid w:val="0005717E"/>
    <w:rsid w:val="00061F03"/>
    <w:rsid w:val="000620F8"/>
    <w:rsid w:val="00095FCA"/>
    <w:rsid w:val="000D5792"/>
    <w:rsid w:val="000E548E"/>
    <w:rsid w:val="000F477C"/>
    <w:rsid w:val="00100079"/>
    <w:rsid w:val="00101C1C"/>
    <w:rsid w:val="00107DA7"/>
    <w:rsid w:val="0011720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F20CE"/>
    <w:rsid w:val="003F4966"/>
    <w:rsid w:val="003F534E"/>
    <w:rsid w:val="00407069"/>
    <w:rsid w:val="00431AD0"/>
    <w:rsid w:val="00442971"/>
    <w:rsid w:val="00451F84"/>
    <w:rsid w:val="00452249"/>
    <w:rsid w:val="00491999"/>
    <w:rsid w:val="004A69B9"/>
    <w:rsid w:val="004D51D8"/>
    <w:rsid w:val="004D542D"/>
    <w:rsid w:val="004E4A30"/>
    <w:rsid w:val="004E5ABC"/>
    <w:rsid w:val="00501855"/>
    <w:rsid w:val="00516DDA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C67AA"/>
    <w:rsid w:val="006E517F"/>
    <w:rsid w:val="006F0FF1"/>
    <w:rsid w:val="006F57F4"/>
    <w:rsid w:val="00704DB5"/>
    <w:rsid w:val="00711098"/>
    <w:rsid w:val="007313B6"/>
    <w:rsid w:val="00742CB0"/>
    <w:rsid w:val="007437DD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0"/>
    <w:rsid w:val="00955246"/>
    <w:rsid w:val="009563CD"/>
    <w:rsid w:val="00965F16"/>
    <w:rsid w:val="00966595"/>
    <w:rsid w:val="00973E7A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B260E"/>
    <w:rsid w:val="00AC5ED4"/>
    <w:rsid w:val="00AD05CD"/>
    <w:rsid w:val="00AE7483"/>
    <w:rsid w:val="00AF2F87"/>
    <w:rsid w:val="00AF5AF4"/>
    <w:rsid w:val="00B21CFF"/>
    <w:rsid w:val="00B24A21"/>
    <w:rsid w:val="00B37834"/>
    <w:rsid w:val="00B50557"/>
    <w:rsid w:val="00B73199"/>
    <w:rsid w:val="00B8209B"/>
    <w:rsid w:val="00B84802"/>
    <w:rsid w:val="00B850AC"/>
    <w:rsid w:val="00B86EF0"/>
    <w:rsid w:val="00BB5D6B"/>
    <w:rsid w:val="00C10DF0"/>
    <w:rsid w:val="00C32AA1"/>
    <w:rsid w:val="00C4406F"/>
    <w:rsid w:val="00C577A6"/>
    <w:rsid w:val="00C64021"/>
    <w:rsid w:val="00C65EF8"/>
    <w:rsid w:val="00C73089"/>
    <w:rsid w:val="00C74E05"/>
    <w:rsid w:val="00C8655A"/>
    <w:rsid w:val="00C91359"/>
    <w:rsid w:val="00CD30A7"/>
    <w:rsid w:val="00CE063B"/>
    <w:rsid w:val="00CF16A5"/>
    <w:rsid w:val="00D134BC"/>
    <w:rsid w:val="00D36209"/>
    <w:rsid w:val="00D4592A"/>
    <w:rsid w:val="00D53AD0"/>
    <w:rsid w:val="00D62ED3"/>
    <w:rsid w:val="00D6587A"/>
    <w:rsid w:val="00D6781B"/>
    <w:rsid w:val="00D71057"/>
    <w:rsid w:val="00D73F0C"/>
    <w:rsid w:val="00D73FA2"/>
    <w:rsid w:val="00D76540"/>
    <w:rsid w:val="00DB4DBB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C40FD"/>
    <w:rsid w:val="00ED09C6"/>
    <w:rsid w:val="00EE3A9E"/>
    <w:rsid w:val="00EE4C96"/>
    <w:rsid w:val="00EF5CB9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2E93"/>
    <w:rsid w:val="00FD636C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Admin</cp:lastModifiedBy>
  <cp:revision>2</cp:revision>
  <cp:lastPrinted>2015-07-17T04:06:00Z</cp:lastPrinted>
  <dcterms:created xsi:type="dcterms:W3CDTF">2015-07-17T07:08:00Z</dcterms:created>
  <dcterms:modified xsi:type="dcterms:W3CDTF">2015-07-17T07:08:00Z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b9238a0ef5a4da188ae6fc76991df54.psdsxs" Id="Rfeaca77adb554e06" /></Relationships>
</file>