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f16d5a7d614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8" w:type="dxa"/>
        <w:tblInd w:w="-162" w:type="dxa"/>
        <w:tblLook w:val="01E0"/>
      </w:tblPr>
      <w:tblGrid>
        <w:gridCol w:w="4902"/>
        <w:gridCol w:w="5356"/>
      </w:tblGrid>
      <w:tr w:rsidR="004C12A6" w:rsidRPr="00B729BE" w:rsidTr="00081A5B">
        <w:trPr>
          <w:trHeight w:val="1356"/>
        </w:trPr>
        <w:tc>
          <w:tcPr>
            <w:tcW w:w="4902" w:type="dxa"/>
          </w:tcPr>
          <w:p w:rsidR="004C12A6" w:rsidRPr="00B729BE" w:rsidRDefault="004C12A6" w:rsidP="00081A5B">
            <w:pPr>
              <w:spacing w:after="0" w:line="240" w:lineRule="exact"/>
              <w:ind w:right="-108" w:hanging="108"/>
              <w:jc w:val="center"/>
              <w:rPr>
                <w:rFonts w:ascii="Times New Roman" w:eastAsia=".VnTime" w:hAnsi="Times New Roman" w:cs="Times New Roman"/>
                <w:b/>
                <w:sz w:val="24"/>
              </w:rPr>
            </w:pPr>
            <w:r w:rsidRPr="00B729BE">
              <w:rPr>
                <w:rFonts w:ascii="Times New Roman" w:eastAsia=".VnTime" w:hAnsi="Times New Roman" w:cs="Times New Roman"/>
                <w:b/>
                <w:bCs/>
                <w:sz w:val="24"/>
              </w:rPr>
              <w:t>CÔNG TY CỔ PHẦN PIV</w:t>
            </w:r>
          </w:p>
          <w:p w:rsidR="004C12A6" w:rsidRPr="00B729BE" w:rsidRDefault="004C12A6" w:rsidP="00081A5B">
            <w:pPr>
              <w:spacing w:after="0" w:line="240" w:lineRule="exact"/>
              <w:jc w:val="center"/>
              <w:rPr>
                <w:rFonts w:ascii="Times New Roman" w:eastAsia=".VnTime" w:hAnsi="Times New Roman" w:cs="Times New Roman"/>
              </w:rPr>
            </w:pPr>
            <w:r w:rsidRPr="00B729BE">
              <w:rPr>
                <w:rFonts w:ascii="Times New Roman" w:eastAsia=".VnTime" w:hAnsi="Times New Roman" w:cs="Times New Roman"/>
              </w:rPr>
              <w:t>--------------------</w:t>
            </w:r>
          </w:p>
          <w:p w:rsidR="004C12A6" w:rsidRDefault="00B729BE" w:rsidP="00081A5B">
            <w:pPr>
              <w:spacing w:after="0" w:line="240" w:lineRule="exact"/>
              <w:jc w:val="center"/>
              <w:rPr>
                <w:rFonts w:ascii="Times New Roman" w:eastAsia=".VnTime" w:hAnsi="Times New Roman" w:cs="Times New Roman"/>
                <w:sz w:val="26"/>
                <w:szCs w:val="26"/>
              </w:rPr>
            </w:pPr>
            <w:proofErr w:type="spellStart"/>
            <w:r w:rsidRPr="00B729BE">
              <w:rPr>
                <w:rFonts w:ascii="Times New Roman" w:eastAsia=".VnTime" w:hAnsi="Times New Roman" w:cs="Times New Roman"/>
                <w:sz w:val="26"/>
                <w:szCs w:val="26"/>
              </w:rPr>
              <w:t>Số</w:t>
            </w:r>
            <w:proofErr w:type="spellEnd"/>
            <w:r w:rsidRPr="00B729BE">
              <w:rPr>
                <w:rFonts w:ascii="Times New Roman" w:eastAsia=".VnTime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.VnTime" w:hAnsi="Times New Roman" w:cs="Times New Roman"/>
                <w:sz w:val="26"/>
                <w:szCs w:val="26"/>
              </w:rPr>
              <w:t>…/2015/PIV/CV/CBTT</w:t>
            </w:r>
          </w:p>
          <w:p w:rsidR="00081A5B" w:rsidRDefault="00081A5B" w:rsidP="00081A5B">
            <w:pPr>
              <w:spacing w:after="0" w:line="240" w:lineRule="exact"/>
              <w:jc w:val="center"/>
              <w:rPr>
                <w:rFonts w:ascii="Times New Roman" w:eastAsia=".VnTime" w:hAnsi="Times New Roman" w:cs="Times New Roman"/>
                <w:i/>
                <w:sz w:val="26"/>
                <w:szCs w:val="26"/>
              </w:rPr>
            </w:pPr>
          </w:p>
          <w:p w:rsidR="00B729BE" w:rsidRPr="00B729BE" w:rsidRDefault="00B729BE" w:rsidP="00081A5B">
            <w:pPr>
              <w:spacing w:after="0" w:line="240" w:lineRule="exact"/>
              <w:jc w:val="center"/>
              <w:rPr>
                <w:rFonts w:ascii="Times New Roman" w:eastAsia=".VnTime" w:hAnsi="Times New Roman" w:cs="Times New Roman"/>
                <w:i/>
                <w:sz w:val="26"/>
                <w:szCs w:val="26"/>
              </w:rPr>
            </w:pPr>
            <w:r w:rsidRPr="00B729BE">
              <w:rPr>
                <w:rFonts w:ascii="Times New Roman" w:eastAsia=".VnTime" w:hAnsi="Times New Roman" w:cs="Times New Roman"/>
                <w:i/>
                <w:sz w:val="26"/>
                <w:szCs w:val="26"/>
              </w:rPr>
              <w:t xml:space="preserve">Vv: </w:t>
            </w:r>
            <w:proofErr w:type="spellStart"/>
            <w:r w:rsidRPr="00B729BE">
              <w:rPr>
                <w:rFonts w:ascii="Times New Roman" w:eastAsia=".VnTime" w:hAnsi="Times New Roman" w:cs="Times New Roman"/>
                <w:i/>
                <w:sz w:val="26"/>
                <w:szCs w:val="26"/>
              </w:rPr>
              <w:t>Giải</w:t>
            </w:r>
            <w:proofErr w:type="spellEnd"/>
            <w:r w:rsidRPr="00B729BE">
              <w:rPr>
                <w:rFonts w:ascii="Times New Roman" w:eastAsia=".VnTim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29BE">
              <w:rPr>
                <w:rFonts w:ascii="Times New Roman" w:eastAsia=".VnTime" w:hAnsi="Times New Roman" w:cs="Times New Roman"/>
                <w:i/>
                <w:sz w:val="26"/>
                <w:szCs w:val="26"/>
              </w:rPr>
              <w:t>trình</w:t>
            </w:r>
            <w:proofErr w:type="spellEnd"/>
            <w:r w:rsidRPr="00B729BE">
              <w:rPr>
                <w:rFonts w:ascii="Times New Roman" w:eastAsia=".VnTime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729BE">
              <w:rPr>
                <w:rFonts w:ascii="Times New Roman" w:eastAsia=".VnTime" w:hAnsi="Times New Roman" w:cs="Times New Roman"/>
                <w:i/>
                <w:sz w:val="26"/>
                <w:szCs w:val="26"/>
              </w:rPr>
              <w:t>về</w:t>
            </w:r>
            <w:proofErr w:type="spellEnd"/>
            <w:r w:rsidRPr="00B729BE">
              <w:rPr>
                <w:rFonts w:ascii="Times New Roman" w:eastAsia=".VnTime" w:hAnsi="Times New Roman" w:cs="Times New Roman"/>
                <w:i/>
                <w:sz w:val="26"/>
                <w:szCs w:val="26"/>
              </w:rPr>
              <w:t xml:space="preserve"> BCTC </w:t>
            </w:r>
            <w:proofErr w:type="spellStart"/>
            <w:r w:rsidRPr="00B729BE">
              <w:rPr>
                <w:rFonts w:ascii="Times New Roman" w:eastAsia=".VnTime" w:hAnsi="Times New Roman" w:cs="Times New Roman"/>
                <w:i/>
                <w:sz w:val="26"/>
                <w:szCs w:val="26"/>
              </w:rPr>
              <w:t>quý</w:t>
            </w:r>
            <w:proofErr w:type="spellEnd"/>
            <w:r w:rsidRPr="00B729BE">
              <w:rPr>
                <w:rFonts w:ascii="Times New Roman" w:eastAsia=".VnTime" w:hAnsi="Times New Roman" w:cs="Times New Roman"/>
                <w:i/>
                <w:sz w:val="26"/>
                <w:szCs w:val="26"/>
              </w:rPr>
              <w:t xml:space="preserve"> II/2015</w:t>
            </w:r>
          </w:p>
        </w:tc>
        <w:tc>
          <w:tcPr>
            <w:tcW w:w="5356" w:type="dxa"/>
          </w:tcPr>
          <w:p w:rsidR="004C12A6" w:rsidRPr="00B729BE" w:rsidRDefault="004C12A6" w:rsidP="00081A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</w:pPr>
            <w:r w:rsidRPr="00B729BE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>CỘNG HOÀ XÃ HỘI CHỦ NGHĨA VIỆT NAM</w:t>
            </w:r>
          </w:p>
          <w:p w:rsidR="004C12A6" w:rsidRPr="00B729BE" w:rsidRDefault="004C12A6" w:rsidP="00081A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</w:pPr>
            <w:proofErr w:type="spellStart"/>
            <w:r w:rsidRPr="00B729BE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>Độc</w:t>
            </w:r>
            <w:proofErr w:type="spellEnd"/>
            <w:r w:rsidRPr="00B729BE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 xml:space="preserve"> </w:t>
            </w:r>
            <w:proofErr w:type="spellStart"/>
            <w:r w:rsidRPr="00B729BE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>lập</w:t>
            </w:r>
            <w:proofErr w:type="spellEnd"/>
            <w:r w:rsidRPr="00B729BE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 xml:space="preserve">- </w:t>
            </w:r>
            <w:proofErr w:type="spellStart"/>
            <w:r w:rsidRPr="00B729BE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>Tự</w:t>
            </w:r>
            <w:proofErr w:type="spellEnd"/>
            <w:r w:rsidRPr="00B729BE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 xml:space="preserve"> do- </w:t>
            </w:r>
            <w:proofErr w:type="spellStart"/>
            <w:r w:rsidRPr="00B729BE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>Hạnh</w:t>
            </w:r>
            <w:proofErr w:type="spellEnd"/>
            <w:r w:rsidRPr="00B729BE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 xml:space="preserve"> </w:t>
            </w:r>
            <w:proofErr w:type="spellStart"/>
            <w:r w:rsidRPr="00B729BE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</w:rPr>
              <w:t>phúc</w:t>
            </w:r>
            <w:proofErr w:type="spellEnd"/>
          </w:p>
          <w:p w:rsidR="004C12A6" w:rsidRPr="00B729BE" w:rsidRDefault="004C12A6" w:rsidP="00081A5B">
            <w:pPr>
              <w:spacing w:after="0" w:line="240" w:lineRule="exact"/>
              <w:jc w:val="center"/>
              <w:rPr>
                <w:rFonts w:ascii="Times New Roman" w:eastAsia=".VnTime" w:hAnsi="Times New Roman" w:cs="Times New Roman"/>
              </w:rPr>
            </w:pPr>
            <w:r w:rsidRPr="00B729BE">
              <w:rPr>
                <w:rFonts w:ascii="Times New Roman" w:eastAsia=".VnTime" w:hAnsi="Times New Roman" w:cs="Times New Roman"/>
              </w:rPr>
              <w:t>--------------------</w:t>
            </w:r>
          </w:p>
          <w:p w:rsidR="004C12A6" w:rsidRPr="00B729BE" w:rsidRDefault="00B729BE" w:rsidP="00081A5B">
            <w:pPr>
              <w:spacing w:after="0" w:line="240" w:lineRule="exact"/>
              <w:jc w:val="right"/>
              <w:rPr>
                <w:rFonts w:ascii="Times New Roman" w:eastAsia=".VnTime" w:hAnsi="Times New Roman" w:cs="Times New Roman"/>
                <w:i/>
                <w:iCs/>
              </w:rPr>
            </w:pPr>
            <w:proofErr w:type="spellStart"/>
            <w:r w:rsidRPr="00B729BE">
              <w:rPr>
                <w:rFonts w:ascii="Times New Roman" w:eastAsia=".VnTime" w:hAnsi="Times New Roman" w:cs="Times New Roman"/>
                <w:i/>
                <w:iCs/>
              </w:rPr>
              <w:t>Hà</w:t>
            </w:r>
            <w:proofErr w:type="spellEnd"/>
            <w:r w:rsidRPr="00B729BE">
              <w:rPr>
                <w:rFonts w:ascii="Times New Roman" w:eastAsia=".VnTime" w:hAnsi="Times New Roman" w:cs="Times New Roman"/>
                <w:i/>
                <w:iCs/>
              </w:rPr>
              <w:t xml:space="preserve"> </w:t>
            </w:r>
            <w:proofErr w:type="spellStart"/>
            <w:r w:rsidRPr="00B729BE">
              <w:rPr>
                <w:rFonts w:ascii="Times New Roman" w:eastAsia=".VnTime" w:hAnsi="Times New Roman" w:cs="Times New Roman"/>
                <w:i/>
                <w:iCs/>
              </w:rPr>
              <w:t>Nội</w:t>
            </w:r>
            <w:proofErr w:type="spellEnd"/>
            <w:r w:rsidRPr="00B729BE">
              <w:rPr>
                <w:rFonts w:ascii="Times New Roman" w:eastAsia=".VnTime" w:hAnsi="Times New Roman" w:cs="Times New Roman"/>
                <w:i/>
                <w:iCs/>
              </w:rPr>
              <w:t xml:space="preserve">, </w:t>
            </w:r>
            <w:proofErr w:type="spellStart"/>
            <w:r w:rsidRPr="00B729BE">
              <w:rPr>
                <w:rFonts w:ascii="Times New Roman" w:eastAsia=".VnTime" w:hAnsi="Times New Roman" w:cs="Times New Roman"/>
                <w:i/>
                <w:iCs/>
              </w:rPr>
              <w:t>ngày</w:t>
            </w:r>
            <w:proofErr w:type="spellEnd"/>
            <w:r w:rsidRPr="00B729BE">
              <w:rPr>
                <w:rFonts w:ascii="Times New Roman" w:eastAsia=".VnTime" w:hAnsi="Times New Roman" w:cs="Times New Roman"/>
                <w:i/>
                <w:iCs/>
              </w:rPr>
              <w:t xml:space="preserve"> 20 </w:t>
            </w:r>
            <w:proofErr w:type="spellStart"/>
            <w:r w:rsidRPr="00B729BE">
              <w:rPr>
                <w:rFonts w:ascii="Times New Roman" w:eastAsia=".VnTime" w:hAnsi="Times New Roman" w:cs="Times New Roman"/>
                <w:i/>
                <w:iCs/>
              </w:rPr>
              <w:t>tháng</w:t>
            </w:r>
            <w:proofErr w:type="spellEnd"/>
            <w:r w:rsidRPr="00B729BE">
              <w:rPr>
                <w:rFonts w:ascii="Times New Roman" w:eastAsia=".VnTime" w:hAnsi="Times New Roman" w:cs="Times New Roman"/>
                <w:i/>
                <w:iCs/>
              </w:rPr>
              <w:t xml:space="preserve"> 07 </w:t>
            </w:r>
            <w:proofErr w:type="spellStart"/>
            <w:r w:rsidRPr="00B729BE">
              <w:rPr>
                <w:rFonts w:ascii="Times New Roman" w:eastAsia=".VnTime" w:hAnsi="Times New Roman" w:cs="Times New Roman"/>
                <w:i/>
                <w:iCs/>
              </w:rPr>
              <w:t>năm</w:t>
            </w:r>
            <w:proofErr w:type="spellEnd"/>
            <w:r w:rsidRPr="00B729BE">
              <w:rPr>
                <w:rFonts w:ascii="Times New Roman" w:eastAsia=".VnTime" w:hAnsi="Times New Roman" w:cs="Times New Roman"/>
                <w:i/>
                <w:iCs/>
              </w:rPr>
              <w:t xml:space="preserve"> 2015</w:t>
            </w:r>
          </w:p>
        </w:tc>
      </w:tr>
    </w:tbl>
    <w:p w:rsidR="00081A5B" w:rsidRDefault="00081A5B" w:rsidP="00081A5B">
      <w:pPr>
        <w:spacing w:line="240" w:lineRule="exact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8C" w:rsidRDefault="00081A5B" w:rsidP="00081A5B">
      <w:pPr>
        <w:spacing w:line="240" w:lineRule="exact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AA3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</w:p>
    <w:p w:rsidR="00081A5B" w:rsidRDefault="00081A5B" w:rsidP="00081A5B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Sở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Giao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dịch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chứng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khoán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Nội</w:t>
      </w:r>
      <w:proofErr w:type="spellEnd"/>
    </w:p>
    <w:p w:rsidR="00081A5B" w:rsidRPr="00081A5B" w:rsidRDefault="00081A5B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1A5B">
        <w:rPr>
          <w:rFonts w:ascii="Times New Roman" w:hAnsi="Times New Roman"/>
          <w:sz w:val="24"/>
          <w:szCs w:val="24"/>
        </w:rPr>
        <w:t>Tên</w:t>
      </w:r>
      <w:proofErr w:type="spellEnd"/>
      <w:r w:rsidRPr="00081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A5B">
        <w:rPr>
          <w:rFonts w:ascii="Times New Roman" w:hAnsi="Times New Roman"/>
          <w:sz w:val="24"/>
          <w:szCs w:val="24"/>
        </w:rPr>
        <w:t>tổ</w:t>
      </w:r>
      <w:proofErr w:type="spellEnd"/>
      <w:r w:rsidRPr="00081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A5B">
        <w:rPr>
          <w:rFonts w:ascii="Times New Roman" w:hAnsi="Times New Roman"/>
          <w:sz w:val="24"/>
          <w:szCs w:val="24"/>
        </w:rPr>
        <w:t>chức</w:t>
      </w:r>
      <w:proofErr w:type="spellEnd"/>
      <w:r w:rsidR="008048E1">
        <w:rPr>
          <w:rFonts w:ascii="Times New Roman" w:hAnsi="Times New Roman"/>
          <w:sz w:val="24"/>
          <w:szCs w:val="24"/>
        </w:rPr>
        <w:tab/>
      </w:r>
      <w:r w:rsidR="008048E1">
        <w:rPr>
          <w:rFonts w:ascii="Times New Roman" w:hAnsi="Times New Roman"/>
          <w:sz w:val="24"/>
          <w:szCs w:val="24"/>
        </w:rPr>
        <w:tab/>
      </w:r>
      <w:r w:rsidRPr="00081A5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81A5B">
        <w:rPr>
          <w:rFonts w:ascii="Times New Roman" w:hAnsi="Times New Roman"/>
          <w:sz w:val="24"/>
          <w:szCs w:val="24"/>
        </w:rPr>
        <w:t>Công</w:t>
      </w:r>
      <w:proofErr w:type="spellEnd"/>
      <w:r w:rsidRPr="00081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A5B">
        <w:rPr>
          <w:rFonts w:ascii="Times New Roman" w:hAnsi="Times New Roman"/>
          <w:sz w:val="24"/>
          <w:szCs w:val="24"/>
        </w:rPr>
        <w:t>ty</w:t>
      </w:r>
      <w:proofErr w:type="spellEnd"/>
      <w:r w:rsidRPr="00081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A5B">
        <w:rPr>
          <w:rFonts w:ascii="Times New Roman" w:hAnsi="Times New Roman"/>
          <w:sz w:val="24"/>
          <w:szCs w:val="24"/>
        </w:rPr>
        <w:t>Cổ</w:t>
      </w:r>
      <w:proofErr w:type="spellEnd"/>
      <w:r w:rsidRPr="00081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A5B">
        <w:rPr>
          <w:rFonts w:ascii="Times New Roman" w:hAnsi="Times New Roman"/>
          <w:sz w:val="24"/>
          <w:szCs w:val="24"/>
        </w:rPr>
        <w:t>phần</w:t>
      </w:r>
      <w:proofErr w:type="spellEnd"/>
      <w:r w:rsidRPr="00081A5B">
        <w:rPr>
          <w:rFonts w:ascii="Times New Roman" w:hAnsi="Times New Roman"/>
          <w:sz w:val="24"/>
          <w:szCs w:val="24"/>
        </w:rPr>
        <w:t xml:space="preserve"> PIV</w:t>
      </w:r>
    </w:p>
    <w:p w:rsidR="00081A5B" w:rsidRDefault="00081A5B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1A5B">
        <w:rPr>
          <w:rFonts w:ascii="Times New Roman" w:hAnsi="Times New Roman"/>
          <w:sz w:val="24"/>
          <w:szCs w:val="24"/>
        </w:rPr>
        <w:t>Mã</w:t>
      </w:r>
      <w:proofErr w:type="spellEnd"/>
      <w:r w:rsidRPr="00081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A5B">
        <w:rPr>
          <w:rFonts w:ascii="Times New Roman" w:hAnsi="Times New Roman"/>
          <w:sz w:val="24"/>
          <w:szCs w:val="24"/>
        </w:rPr>
        <w:t>Chứng</w:t>
      </w:r>
      <w:proofErr w:type="spellEnd"/>
      <w:r w:rsidRPr="00081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A5B">
        <w:rPr>
          <w:rFonts w:ascii="Times New Roman" w:hAnsi="Times New Roman"/>
          <w:sz w:val="24"/>
          <w:szCs w:val="24"/>
        </w:rPr>
        <w:t>khoán</w:t>
      </w:r>
      <w:proofErr w:type="spellEnd"/>
      <w:r w:rsidR="008048E1">
        <w:rPr>
          <w:rFonts w:ascii="Times New Roman" w:hAnsi="Times New Roman"/>
          <w:sz w:val="24"/>
          <w:szCs w:val="24"/>
        </w:rPr>
        <w:tab/>
      </w:r>
      <w:r w:rsidRPr="00081A5B">
        <w:rPr>
          <w:rFonts w:ascii="Times New Roman" w:hAnsi="Times New Roman"/>
          <w:sz w:val="24"/>
          <w:szCs w:val="24"/>
        </w:rPr>
        <w:t xml:space="preserve">: </w:t>
      </w:r>
      <w:r w:rsidR="00EB38D4">
        <w:rPr>
          <w:rFonts w:ascii="Times New Roman" w:hAnsi="Times New Roman"/>
          <w:sz w:val="24"/>
          <w:szCs w:val="24"/>
        </w:rPr>
        <w:t>PIV</w:t>
      </w:r>
    </w:p>
    <w:p w:rsidR="00EB38D4" w:rsidRDefault="00EB38D4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 w:rsidR="008048E1">
        <w:rPr>
          <w:rFonts w:ascii="Times New Roman" w:hAnsi="Times New Roman"/>
          <w:sz w:val="24"/>
          <w:szCs w:val="24"/>
        </w:rPr>
        <w:tab/>
      </w:r>
      <w:r w:rsidR="008048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Tầng</w:t>
      </w:r>
      <w:proofErr w:type="spellEnd"/>
      <w:r>
        <w:rPr>
          <w:rFonts w:ascii="Times New Roman" w:hAnsi="Times New Roman"/>
          <w:sz w:val="24"/>
          <w:szCs w:val="24"/>
        </w:rPr>
        <w:t xml:space="preserve"> 13, </w:t>
      </w:r>
      <w:proofErr w:type="spellStart"/>
      <w:r>
        <w:rPr>
          <w:rFonts w:ascii="Times New Roman" w:hAnsi="Times New Roman"/>
          <w:sz w:val="24"/>
          <w:szCs w:val="24"/>
        </w:rPr>
        <w:t>tòa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TTC, </w:t>
      </w:r>
      <w:proofErr w:type="spellStart"/>
      <w:r>
        <w:rPr>
          <w:rFonts w:ascii="Times New Roman" w:hAnsi="Times New Roman"/>
          <w:sz w:val="24"/>
          <w:szCs w:val="24"/>
        </w:rPr>
        <w:t>phố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quận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</w:p>
    <w:p w:rsidR="00EB38D4" w:rsidRDefault="00EB38D4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 w:rsidR="008048E1">
        <w:rPr>
          <w:rFonts w:ascii="Times New Roman" w:hAnsi="Times New Roman"/>
          <w:sz w:val="24"/>
          <w:szCs w:val="24"/>
        </w:rPr>
        <w:tab/>
      </w:r>
      <w:r w:rsidR="008048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04 3795 7604</w:t>
      </w:r>
    </w:p>
    <w:p w:rsidR="00EB38D4" w:rsidRDefault="00EB38D4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 w:rsidR="008048E1">
        <w:rPr>
          <w:rFonts w:ascii="Times New Roman" w:hAnsi="Times New Roman"/>
          <w:sz w:val="24"/>
          <w:szCs w:val="24"/>
        </w:rPr>
        <w:tab/>
      </w:r>
      <w:r w:rsidR="008048E1">
        <w:rPr>
          <w:rFonts w:ascii="Times New Roman" w:hAnsi="Times New Roman"/>
          <w:sz w:val="24"/>
          <w:szCs w:val="24"/>
        </w:rPr>
        <w:tab/>
      </w:r>
      <w:r w:rsidR="008048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04 3795 7605</w:t>
      </w:r>
    </w:p>
    <w:p w:rsidR="00EB38D4" w:rsidRDefault="00EB38D4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Căn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cứ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vào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Mục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3.2, </w:t>
      </w:r>
      <w:proofErr w:type="spellStart"/>
      <w:r w:rsidR="00DC6374">
        <w:rPr>
          <w:rFonts w:ascii="Times New Roman" w:hAnsi="Times New Roman"/>
          <w:sz w:val="24"/>
          <w:szCs w:val="24"/>
        </w:rPr>
        <w:t>Điều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="00DC6374">
        <w:rPr>
          <w:rFonts w:ascii="Times New Roman" w:hAnsi="Times New Roman"/>
          <w:sz w:val="24"/>
          <w:szCs w:val="24"/>
        </w:rPr>
        <w:t>Chương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DC6374">
        <w:rPr>
          <w:rFonts w:ascii="Times New Roman" w:hAnsi="Times New Roman"/>
          <w:sz w:val="24"/>
          <w:szCs w:val="24"/>
        </w:rPr>
        <w:t>của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Thông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tư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số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52/2012/TT-BTC </w:t>
      </w:r>
      <w:proofErr w:type="spellStart"/>
      <w:r w:rsidR="00DC6374">
        <w:rPr>
          <w:rFonts w:ascii="Times New Roman" w:hAnsi="Times New Roman"/>
          <w:sz w:val="24"/>
          <w:szCs w:val="24"/>
        </w:rPr>
        <w:t>ngày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05/04/2012 </w:t>
      </w:r>
      <w:proofErr w:type="spellStart"/>
      <w:r w:rsidR="00DC6374">
        <w:rPr>
          <w:rFonts w:ascii="Times New Roman" w:hAnsi="Times New Roman"/>
          <w:sz w:val="24"/>
          <w:szCs w:val="24"/>
        </w:rPr>
        <w:t>của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C6374">
        <w:rPr>
          <w:rFonts w:ascii="Times New Roman" w:hAnsi="Times New Roman"/>
          <w:sz w:val="24"/>
          <w:szCs w:val="24"/>
        </w:rPr>
        <w:t>Bộ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Tài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chính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về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việc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giải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trình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Báo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cáo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tài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chính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Quý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II/2015 do </w:t>
      </w:r>
      <w:proofErr w:type="spellStart"/>
      <w:r w:rsidR="00DC6374">
        <w:rPr>
          <w:rFonts w:ascii="Times New Roman" w:hAnsi="Times New Roman"/>
          <w:sz w:val="24"/>
          <w:szCs w:val="24"/>
        </w:rPr>
        <w:t>Lợi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nhuận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sau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thuế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thu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nhập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doanh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nghiệp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tại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Báo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cáo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kết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quả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hoạt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động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kinh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doanh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giữa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Báo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cáo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tài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chính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quý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II/2015 so </w:t>
      </w:r>
      <w:proofErr w:type="spellStart"/>
      <w:r w:rsidR="00DC6374">
        <w:rPr>
          <w:rFonts w:ascii="Times New Roman" w:hAnsi="Times New Roman"/>
          <w:sz w:val="24"/>
          <w:szCs w:val="24"/>
        </w:rPr>
        <w:t>với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Báo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cáo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tài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chính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quý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II/2014 </w:t>
      </w:r>
      <w:proofErr w:type="spellStart"/>
      <w:r w:rsidR="00DC6374">
        <w:rPr>
          <w:rFonts w:ascii="Times New Roman" w:hAnsi="Times New Roman"/>
          <w:sz w:val="24"/>
          <w:szCs w:val="24"/>
        </w:rPr>
        <w:t>có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biến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động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trên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10%, </w:t>
      </w:r>
      <w:proofErr w:type="spellStart"/>
      <w:r w:rsidR="00DC6374">
        <w:rPr>
          <w:rFonts w:ascii="Times New Roman" w:hAnsi="Times New Roman"/>
          <w:sz w:val="24"/>
          <w:szCs w:val="24"/>
        </w:rPr>
        <w:t>Công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ty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Cổ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phần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PIV </w:t>
      </w:r>
      <w:proofErr w:type="spellStart"/>
      <w:r w:rsidR="00DC6374">
        <w:rPr>
          <w:rFonts w:ascii="Times New Roman" w:hAnsi="Times New Roman"/>
          <w:sz w:val="24"/>
          <w:szCs w:val="24"/>
        </w:rPr>
        <w:t>xin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giải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trình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như</w:t>
      </w:r>
      <w:proofErr w:type="spellEnd"/>
      <w:r w:rsidR="00DC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74">
        <w:rPr>
          <w:rFonts w:ascii="Times New Roman" w:hAnsi="Times New Roman"/>
          <w:sz w:val="24"/>
          <w:szCs w:val="24"/>
        </w:rPr>
        <w:t>sau</w:t>
      </w:r>
      <w:proofErr w:type="spellEnd"/>
      <w:r w:rsidR="00DC6374">
        <w:rPr>
          <w:rFonts w:ascii="Times New Roman" w:hAnsi="Times New Roman"/>
          <w:sz w:val="24"/>
          <w:szCs w:val="24"/>
        </w:rPr>
        <w:t>:</w:t>
      </w:r>
    </w:p>
    <w:p w:rsidR="00DC6374" w:rsidRDefault="00632984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nhuận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Thu </w:t>
      </w:r>
      <w:proofErr w:type="spellStart"/>
      <w:r>
        <w:rPr>
          <w:rFonts w:ascii="Times New Roman" w:hAnsi="Times New Roman"/>
          <w:sz w:val="24"/>
          <w:szCs w:val="24"/>
        </w:rPr>
        <w:t>nhập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quý</w:t>
      </w:r>
      <w:proofErr w:type="spellEnd"/>
      <w:r>
        <w:rPr>
          <w:rFonts w:ascii="Times New Roman" w:hAnsi="Times New Roman"/>
          <w:sz w:val="24"/>
          <w:szCs w:val="24"/>
        </w:rPr>
        <w:t xml:space="preserve"> II/2015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PIV </w:t>
      </w:r>
      <w:proofErr w:type="spellStart"/>
      <w:r>
        <w:rPr>
          <w:rFonts w:ascii="Times New Roman" w:hAnsi="Times New Roman"/>
          <w:sz w:val="24"/>
          <w:szCs w:val="24"/>
        </w:rPr>
        <w:t>lãi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1688">
        <w:rPr>
          <w:rFonts w:ascii="Times New Roman" w:hAnsi="Times New Roman"/>
          <w:sz w:val="24"/>
          <w:szCs w:val="24"/>
        </w:rPr>
        <w:t xml:space="preserve">4,863,284,118 </w:t>
      </w:r>
      <w:r>
        <w:rPr>
          <w:rFonts w:ascii="Times New Roman" w:hAnsi="Times New Roman"/>
          <w:sz w:val="24"/>
          <w:szCs w:val="24"/>
        </w:rPr>
        <w:t xml:space="preserve">VND, </w:t>
      </w:r>
      <w:proofErr w:type="spellStart"/>
      <w:r>
        <w:rPr>
          <w:rFonts w:ascii="Times New Roman" w:hAnsi="Times New Roman"/>
          <w:sz w:val="24"/>
          <w:szCs w:val="24"/>
        </w:rPr>
        <w:t>tăng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nhuận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quý</w:t>
      </w:r>
      <w:proofErr w:type="spellEnd"/>
      <w:r>
        <w:rPr>
          <w:rFonts w:ascii="Times New Roman" w:hAnsi="Times New Roman"/>
          <w:sz w:val="24"/>
          <w:szCs w:val="24"/>
        </w:rPr>
        <w:t xml:space="preserve"> II/2014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1688">
        <w:rPr>
          <w:rFonts w:ascii="Times New Roman" w:hAnsi="Times New Roman"/>
          <w:sz w:val="24"/>
          <w:szCs w:val="24"/>
        </w:rPr>
        <w:t xml:space="preserve">1,937,908,437 </w:t>
      </w:r>
      <w:r>
        <w:rPr>
          <w:rFonts w:ascii="Times New Roman" w:hAnsi="Times New Roman"/>
          <w:sz w:val="24"/>
          <w:szCs w:val="24"/>
        </w:rPr>
        <w:t>VND</w:t>
      </w:r>
      <w:r w:rsidR="000B16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B1688">
        <w:rPr>
          <w:rFonts w:ascii="Times New Roman" w:hAnsi="Times New Roman"/>
          <w:sz w:val="24"/>
          <w:szCs w:val="24"/>
        </w:rPr>
        <w:t>Tương</w:t>
      </w:r>
      <w:proofErr w:type="spellEnd"/>
      <w:r w:rsidR="000B1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88">
        <w:rPr>
          <w:rFonts w:ascii="Times New Roman" w:hAnsi="Times New Roman"/>
          <w:sz w:val="24"/>
          <w:szCs w:val="24"/>
        </w:rPr>
        <w:t>đương</w:t>
      </w:r>
      <w:proofErr w:type="spellEnd"/>
      <w:r w:rsidR="000B1688">
        <w:rPr>
          <w:rFonts w:ascii="Times New Roman" w:hAnsi="Times New Roman"/>
          <w:sz w:val="24"/>
          <w:szCs w:val="24"/>
        </w:rPr>
        <w:t xml:space="preserve"> 66,24%)</w:t>
      </w:r>
      <w:r>
        <w:rPr>
          <w:rFonts w:ascii="Times New Roman" w:hAnsi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103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77"/>
        <w:gridCol w:w="1577"/>
        <w:gridCol w:w="1534"/>
        <w:gridCol w:w="1317"/>
        <w:gridCol w:w="2849"/>
      </w:tblGrid>
      <w:tr w:rsidR="002156C8" w:rsidRPr="000B1688" w:rsidTr="007043D3">
        <w:trPr>
          <w:trHeight w:val="300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4" w:type="dxa"/>
            <w:gridSpan w:val="2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Quý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2851" w:type="dxa"/>
            <w:gridSpan w:val="2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sánh</w:t>
            </w:r>
            <w:proofErr w:type="spellEnd"/>
          </w:p>
        </w:tc>
        <w:tc>
          <w:tcPr>
            <w:tcW w:w="2849" w:type="dxa"/>
            <w:vMerge w:val="restart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Nguyên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nhân</w:t>
            </w:r>
            <w:proofErr w:type="spellEnd"/>
          </w:p>
        </w:tc>
      </w:tr>
      <w:tr w:rsidR="002156C8" w:rsidRPr="000B1688" w:rsidTr="007043D3">
        <w:trPr>
          <w:trHeight w:val="559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Năm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Năm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Chênh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lệch</w:t>
            </w:r>
            <w:proofErr w:type="spellEnd"/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Chênh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lệch</w:t>
            </w:r>
            <w:proofErr w:type="spellEnd"/>
          </w:p>
        </w:tc>
        <w:tc>
          <w:tcPr>
            <w:tcW w:w="2849" w:type="dxa"/>
            <w:vMerge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56C8" w:rsidRPr="000B1688" w:rsidTr="007043D3">
        <w:trPr>
          <w:trHeight w:val="510"/>
        </w:trPr>
        <w:tc>
          <w:tcPr>
            <w:tcW w:w="1535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Doanh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bán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hàng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và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dịch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56,871,335,405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58,102,629,286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(1,231,293,881)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-2.12%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56C8" w:rsidRPr="000B1688" w:rsidTr="007043D3">
        <w:trPr>
          <w:trHeight w:val="300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khoản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giảm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trừ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doanh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56C8" w:rsidRPr="000B1688" w:rsidTr="007043D3">
        <w:trPr>
          <w:trHeight w:val="510"/>
        </w:trPr>
        <w:tc>
          <w:tcPr>
            <w:tcW w:w="1535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Doanh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thuần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về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bán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hàng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và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dịch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vụ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56,871,335,405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58,102,629,286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(1,231,293,881)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-2.12%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56C8" w:rsidRPr="000B1688" w:rsidTr="007043D3">
        <w:trPr>
          <w:trHeight w:val="1620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Giá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vốn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hàng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bán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48,282,887,501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54,461,524,477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(6,178,636,976)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-11.34%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Giảm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Công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ty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có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nguồn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cung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là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các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nhà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cung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cấp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quen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thuộc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đồng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thời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Công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ty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phải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chịu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thêm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chi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phí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bảo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hành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sản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phẩm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nên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giá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mua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đã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được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giảm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với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giá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thị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1"/>
                <w:szCs w:val="21"/>
              </w:rPr>
              <w:t>trường</w:t>
            </w:r>
            <w:proofErr w:type="spellEnd"/>
          </w:p>
        </w:tc>
      </w:tr>
      <w:tr w:rsidR="002156C8" w:rsidRPr="000B1688" w:rsidTr="007043D3">
        <w:trPr>
          <w:trHeight w:val="540"/>
        </w:trPr>
        <w:tc>
          <w:tcPr>
            <w:tcW w:w="1535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Lợi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nhuận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gộp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về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bán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hàng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và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dịch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vụ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8,588,447,904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3,641,104,809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4,947,343,095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135.87%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Tăng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các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nguyên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nhân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nêu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trên</w:t>
            </w:r>
            <w:proofErr w:type="spellEnd"/>
          </w:p>
        </w:tc>
      </w:tr>
      <w:tr w:rsidR="002156C8" w:rsidRPr="000B1688" w:rsidTr="007043D3">
        <w:trPr>
          <w:trHeight w:val="255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Doanh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thu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động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tài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</w:t>
            </w: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334,382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</w:t>
            </w: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341,445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(7,063)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-2.07%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56C8" w:rsidRPr="000B1688" w:rsidTr="007043D3">
        <w:trPr>
          <w:trHeight w:val="765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Chi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phí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tài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150,884,245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(150,884,245)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-100.00%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Giảm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quý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II/2015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hết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khoản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vay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lỗ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khoản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đầu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tư</w:t>
            </w:r>
            <w:proofErr w:type="spellEnd"/>
          </w:p>
        </w:tc>
      </w:tr>
      <w:tr w:rsidR="002156C8" w:rsidRPr="000B1688" w:rsidTr="007043D3">
        <w:trPr>
          <w:trHeight w:val="300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Trong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đó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: chi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phí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lãi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vay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5,686,029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-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- 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156C8" w:rsidRPr="000B1688" w:rsidTr="007043D3">
        <w:trPr>
          <w:trHeight w:val="765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phí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bán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hàng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1,545,750,656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1,545,750,656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#DIV/0!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Tăng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quý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năm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2015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Công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trích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lập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dự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phòng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bảo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hành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sản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phẩm</w:t>
            </w:r>
            <w:proofErr w:type="spellEnd"/>
          </w:p>
        </w:tc>
      </w:tr>
      <w:tr w:rsidR="002156C8" w:rsidRPr="000B1688" w:rsidTr="007043D3">
        <w:trPr>
          <w:trHeight w:val="510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phí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quản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lý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doanh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808,051,992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446,484,322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361,567,670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80.98%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Tăng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chủ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yếu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Công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tuyển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thêm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bộ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công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nhân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viên</w:t>
            </w:r>
            <w:proofErr w:type="spellEnd"/>
          </w:p>
        </w:tc>
      </w:tr>
      <w:tr w:rsidR="002156C8" w:rsidRPr="000B1688" w:rsidTr="007043D3">
        <w:trPr>
          <w:trHeight w:val="510"/>
        </w:trPr>
        <w:tc>
          <w:tcPr>
            <w:tcW w:w="1535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Lợi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nhuận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thuần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từ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hoạt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động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6,234,979,638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3,044,077,687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3,190,901,951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104.82%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Tăng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nguyên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nhân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nêu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trên</w:t>
            </w:r>
            <w:proofErr w:type="spellEnd"/>
          </w:p>
        </w:tc>
      </w:tr>
      <w:tr w:rsidR="002156C8" w:rsidRPr="000B1688" w:rsidTr="007043D3">
        <w:trPr>
          <w:trHeight w:val="765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Thu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70,688,726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(70,688,726)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-100.00%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Giảm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quý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TSCĐ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xử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nợ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phải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trả</w:t>
            </w:r>
            <w:proofErr w:type="spellEnd"/>
          </w:p>
        </w:tc>
      </w:tr>
      <w:tr w:rsidR="002156C8" w:rsidRPr="000B1688" w:rsidTr="007043D3">
        <w:trPr>
          <w:trHeight w:val="300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phí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30,381,435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(30,381,435)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-100.00%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Giảm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quý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TSCĐ</w:t>
            </w:r>
          </w:p>
        </w:tc>
      </w:tr>
      <w:tr w:rsidR="002156C8" w:rsidRPr="000B1688" w:rsidTr="007043D3">
        <w:trPr>
          <w:trHeight w:val="300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Lợi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nhuận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40,307,291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(40,307,291)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-100.00%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Giảm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nguyên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nhân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nêu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trên</w:t>
            </w:r>
            <w:proofErr w:type="spellEnd"/>
          </w:p>
        </w:tc>
      </w:tr>
      <w:tr w:rsidR="002156C8" w:rsidRPr="000B1688" w:rsidTr="007043D3">
        <w:trPr>
          <w:trHeight w:val="510"/>
        </w:trPr>
        <w:tc>
          <w:tcPr>
            <w:tcW w:w="1535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Tổng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lợi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nhuận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kế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toán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trước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thuế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6,234,979,638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3,084,384,978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3,150,594,660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102.15%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Tăng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nguyên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nhân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nêu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trên</w:t>
            </w:r>
            <w:proofErr w:type="spellEnd"/>
          </w:p>
        </w:tc>
      </w:tr>
      <w:tr w:rsidR="002156C8" w:rsidRPr="000B1688" w:rsidTr="007043D3">
        <w:trPr>
          <w:trHeight w:val="510"/>
        </w:trPr>
        <w:tc>
          <w:tcPr>
            <w:tcW w:w="1535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phí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thuế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thu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nhập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doanh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nghiệp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hiện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1,371,695,520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159,009,297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1,212,686,223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762.65%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Tăng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quý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chuyển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lỗ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2011, 2012, 2013</w:t>
            </w:r>
          </w:p>
        </w:tc>
      </w:tr>
      <w:tr w:rsidR="002156C8" w:rsidRPr="000B1688" w:rsidTr="007043D3">
        <w:trPr>
          <w:trHeight w:val="525"/>
        </w:trPr>
        <w:tc>
          <w:tcPr>
            <w:tcW w:w="1535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Lợi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nhuận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thuế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nhập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doanh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4,863,284,118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2,925,375,681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1,937,908,437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66.24%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Tăng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nguyên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nhân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nêu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trên</w:t>
            </w:r>
            <w:proofErr w:type="spellEnd"/>
          </w:p>
        </w:tc>
      </w:tr>
      <w:tr w:rsidR="002156C8" w:rsidRPr="000B1688" w:rsidTr="007043D3">
        <w:trPr>
          <w:trHeight w:val="300"/>
        </w:trPr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Lãi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cơ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bản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trên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cổ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phiếu</w:t>
            </w:r>
            <w:proofErr w:type="spellEnd"/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4,053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2,438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1,615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66.24%</w:t>
            </w:r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2156C8" w:rsidRPr="000B1688" w:rsidRDefault="002156C8" w:rsidP="00704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Tăng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các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nguyên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nhân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nêu</w:t>
            </w:r>
            <w:proofErr w:type="spellEnd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1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trên</w:t>
            </w:r>
            <w:proofErr w:type="spellEnd"/>
          </w:p>
        </w:tc>
      </w:tr>
    </w:tbl>
    <w:p w:rsidR="00632984" w:rsidRDefault="00632984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B1688" w:rsidRDefault="002156C8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đây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nhuận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giữa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quý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quý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2014.</w:t>
      </w:r>
    </w:p>
    <w:p w:rsidR="002156C8" w:rsidRDefault="002156C8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Ủy</w:t>
      </w:r>
      <w:proofErr w:type="spellEnd"/>
      <w:r>
        <w:rPr>
          <w:rFonts w:ascii="Times New Roman" w:hAnsi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56C8" w:rsidRDefault="002156C8" w:rsidP="00081A5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trọng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chào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156C8" w:rsidTr="002156C8">
        <w:tc>
          <w:tcPr>
            <w:tcW w:w="4788" w:type="dxa"/>
          </w:tcPr>
          <w:p w:rsidR="002156C8" w:rsidRPr="002156C8" w:rsidRDefault="002156C8" w:rsidP="00081A5B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156C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Nơi</w:t>
            </w:r>
            <w:proofErr w:type="spellEnd"/>
            <w:r w:rsidRPr="002156C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56C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nhận</w:t>
            </w:r>
            <w:proofErr w:type="spellEnd"/>
            <w:r w:rsidRPr="002156C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2156C8" w:rsidRPr="002156C8" w:rsidRDefault="002156C8" w:rsidP="002156C8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360" w:hanging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56C8">
              <w:rPr>
                <w:rFonts w:ascii="Times New Roman" w:hAnsi="Times New Roman"/>
                <w:i/>
                <w:sz w:val="24"/>
                <w:szCs w:val="24"/>
              </w:rPr>
              <w:t>Nh</w:t>
            </w:r>
            <w:r w:rsidRPr="002156C8">
              <w:rPr>
                <w:rFonts w:ascii="Times New Roman" w:hAnsi="Times New Roman" w:cs="Arial"/>
                <w:i/>
                <w:sz w:val="24"/>
                <w:szCs w:val="24"/>
              </w:rPr>
              <w:t>ư</w:t>
            </w:r>
            <w:proofErr w:type="spellEnd"/>
            <w:r w:rsidRPr="002156C8">
              <w:rPr>
                <w:rFonts w:ascii="Times New Roman" w:hAnsi="Times New Roma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56C8">
              <w:rPr>
                <w:rFonts w:ascii="Times New Roman" w:hAnsi="Times New Roman" w:cs="Calibri"/>
                <w:i/>
                <w:sz w:val="24"/>
                <w:szCs w:val="24"/>
              </w:rPr>
              <w:t>trên</w:t>
            </w:r>
            <w:proofErr w:type="spellEnd"/>
          </w:p>
          <w:p w:rsidR="002156C8" w:rsidRPr="002156C8" w:rsidRDefault="002156C8" w:rsidP="002156C8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36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6C8">
              <w:rPr>
                <w:rFonts w:ascii="Times New Roman" w:hAnsi="Times New Roman"/>
                <w:i/>
                <w:sz w:val="24"/>
                <w:szCs w:val="24"/>
              </w:rPr>
              <w:t>Lưu</w:t>
            </w:r>
            <w:proofErr w:type="spellEnd"/>
            <w:r w:rsidRPr="002156C8">
              <w:rPr>
                <w:rFonts w:ascii="Times New Roman" w:hAnsi="Times New Roman"/>
                <w:i/>
                <w:sz w:val="24"/>
                <w:szCs w:val="24"/>
              </w:rPr>
              <w:t xml:space="preserve"> KT-TH</w:t>
            </w:r>
          </w:p>
        </w:tc>
        <w:tc>
          <w:tcPr>
            <w:tcW w:w="4788" w:type="dxa"/>
          </w:tcPr>
          <w:p w:rsidR="002156C8" w:rsidRPr="002156C8" w:rsidRDefault="002156C8" w:rsidP="002156C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56C8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215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6C8">
              <w:rPr>
                <w:rFonts w:ascii="Times New Roman" w:hAnsi="Times New Roman"/>
                <w:b/>
                <w:sz w:val="24"/>
                <w:szCs w:val="24"/>
              </w:rPr>
              <w:t>Giám</w:t>
            </w:r>
            <w:proofErr w:type="spellEnd"/>
            <w:r w:rsidRPr="00215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6C8">
              <w:rPr>
                <w:rFonts w:ascii="Times New Roman" w:hAnsi="Times New Roman"/>
                <w:b/>
                <w:sz w:val="24"/>
                <w:szCs w:val="24"/>
              </w:rPr>
              <w:t>đốc</w:t>
            </w:r>
            <w:proofErr w:type="spellEnd"/>
          </w:p>
          <w:p w:rsidR="002156C8" w:rsidRPr="002156C8" w:rsidRDefault="002156C8" w:rsidP="002156C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6C8" w:rsidRDefault="002156C8" w:rsidP="002156C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C8" w:rsidRDefault="002156C8" w:rsidP="002156C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C8" w:rsidRDefault="002156C8" w:rsidP="002156C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C8" w:rsidRDefault="002156C8" w:rsidP="002156C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C8" w:rsidRPr="002156C8" w:rsidRDefault="002156C8" w:rsidP="002156C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56C8">
              <w:rPr>
                <w:rFonts w:ascii="Times New Roman" w:hAnsi="Times New Roman"/>
                <w:b/>
                <w:sz w:val="24"/>
                <w:szCs w:val="24"/>
              </w:rPr>
              <w:t>Trần</w:t>
            </w:r>
            <w:proofErr w:type="spellEnd"/>
            <w:r w:rsidRPr="00215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6C8">
              <w:rPr>
                <w:rFonts w:ascii="Times New Roman" w:hAnsi="Times New Roman"/>
                <w:b/>
                <w:sz w:val="24"/>
                <w:szCs w:val="24"/>
              </w:rPr>
              <w:t>Đức</w:t>
            </w:r>
            <w:proofErr w:type="spellEnd"/>
            <w:r w:rsidRPr="00215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6C8">
              <w:rPr>
                <w:rFonts w:ascii="Times New Roman" w:hAnsi="Times New Roman"/>
                <w:b/>
                <w:sz w:val="24"/>
                <w:szCs w:val="24"/>
              </w:rPr>
              <w:t>Dũng</w:t>
            </w:r>
            <w:proofErr w:type="spellEnd"/>
          </w:p>
        </w:tc>
      </w:tr>
    </w:tbl>
    <w:p w:rsidR="00081A5B" w:rsidRPr="00081A5B" w:rsidRDefault="00081A5B" w:rsidP="00081A5B">
      <w:pPr>
        <w:spacing w:line="240" w:lineRule="exact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sectPr w:rsidR="00081A5B" w:rsidRPr="00081A5B" w:rsidSect="00081A5B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B0" w:rsidRDefault="007538B0" w:rsidP="007B00EA">
      <w:pPr>
        <w:spacing w:after="0" w:line="240" w:lineRule="auto"/>
      </w:pPr>
      <w:r>
        <w:separator/>
      </w:r>
    </w:p>
  </w:endnote>
  <w:endnote w:type="continuationSeparator" w:id="0">
    <w:p w:rsidR="007538B0" w:rsidRDefault="007538B0" w:rsidP="007B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344"/>
      <w:docPartObj>
        <w:docPartGallery w:val="Page Numbers (Bottom of Page)"/>
        <w:docPartUnique/>
      </w:docPartObj>
    </w:sdtPr>
    <w:sdtContent>
      <w:p w:rsidR="007B00EA" w:rsidRDefault="0055591E">
        <w:pPr>
          <w:pStyle w:val="Footer"/>
          <w:jc w:val="center"/>
        </w:pPr>
        <w:fldSimple w:instr=" PAGE   \* MERGEFORMAT ">
          <w:r w:rsidR="001535EC">
            <w:rPr>
              <w:noProof/>
            </w:rPr>
            <w:t>1</w:t>
          </w:r>
        </w:fldSimple>
      </w:p>
    </w:sdtContent>
  </w:sdt>
  <w:p w:rsidR="007B00EA" w:rsidRDefault="007B0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B0" w:rsidRDefault="007538B0" w:rsidP="007B00EA">
      <w:pPr>
        <w:spacing w:after="0" w:line="240" w:lineRule="auto"/>
      </w:pPr>
      <w:r>
        <w:separator/>
      </w:r>
    </w:p>
  </w:footnote>
  <w:footnote w:type="continuationSeparator" w:id="0">
    <w:p w:rsidR="007538B0" w:rsidRDefault="007538B0" w:rsidP="007B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151"/>
    <w:multiLevelType w:val="hybridMultilevel"/>
    <w:tmpl w:val="35B0ED18"/>
    <w:lvl w:ilvl="0" w:tplc="CDACB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2A23"/>
    <w:multiLevelType w:val="hybridMultilevel"/>
    <w:tmpl w:val="F2C6367E"/>
    <w:lvl w:ilvl="0" w:tplc="2DE87174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2A6"/>
    <w:rsid w:val="00081A5B"/>
    <w:rsid w:val="000B1688"/>
    <w:rsid w:val="001535EC"/>
    <w:rsid w:val="001D22B7"/>
    <w:rsid w:val="002156C8"/>
    <w:rsid w:val="004C12A6"/>
    <w:rsid w:val="0055591E"/>
    <w:rsid w:val="00632984"/>
    <w:rsid w:val="007043D3"/>
    <w:rsid w:val="007538B0"/>
    <w:rsid w:val="00755A94"/>
    <w:rsid w:val="007B00EA"/>
    <w:rsid w:val="008048E1"/>
    <w:rsid w:val="0096378C"/>
    <w:rsid w:val="009D486D"/>
    <w:rsid w:val="00A02AAA"/>
    <w:rsid w:val="00AA3193"/>
    <w:rsid w:val="00AE45DE"/>
    <w:rsid w:val="00B66770"/>
    <w:rsid w:val="00B729BE"/>
    <w:rsid w:val="00D15693"/>
    <w:rsid w:val="00DB48BF"/>
    <w:rsid w:val="00DC6374"/>
    <w:rsid w:val="00EA050C"/>
    <w:rsid w:val="00EB38D4"/>
    <w:rsid w:val="00EB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A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15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0EA"/>
  </w:style>
  <w:style w:type="paragraph" w:styleId="Footer">
    <w:name w:val="footer"/>
    <w:basedOn w:val="Normal"/>
    <w:link w:val="FooterChar"/>
    <w:uiPriority w:val="99"/>
    <w:unhideWhenUsed/>
    <w:rsid w:val="007B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2079-C55A-4F99-B2F3-F465E4FD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anhntm</dc:creator>
  <cp:keywords/>
  <dc:description/>
  <cp:lastModifiedBy>lantt1</cp:lastModifiedBy>
  <cp:revision>2</cp:revision>
  <dcterms:created xsi:type="dcterms:W3CDTF">2015-07-22T04:33:00Z</dcterms:created>
  <dcterms:modified xsi:type="dcterms:W3CDTF">2015-07-22T04:33:00Z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3ffff925f7e4f6091255cfc6cfcfc36.psdsxs" Id="Rebacea82992b4a25" /></Relationships>
</file>