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830baa8f3d0449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EA" w:rsidRPr="00273045" w:rsidRDefault="00715FEA" w:rsidP="00715FEA">
      <w:pPr>
        <w:numPr>
          <w:ilvl w:val="0"/>
          <w:numId w:val="1"/>
        </w:numPr>
        <w:tabs>
          <w:tab w:val="left" w:pos="2410"/>
        </w:tabs>
        <w:spacing w:after="0" w:line="240" w:lineRule="auto"/>
        <w:jc w:val="both"/>
        <w:rPr>
          <w:b/>
          <w:bCs/>
          <w:lang w:val="nl-NL"/>
        </w:rPr>
      </w:pPr>
      <w:bookmarkStart w:id="0" w:name="_GoBack"/>
      <w:bookmarkEnd w:id="0"/>
      <w:r w:rsidRPr="00273045">
        <w:rPr>
          <w:b/>
          <w:bCs/>
          <w:lang w:val="nl-NL"/>
        </w:rPr>
        <w:t xml:space="preserve">Đặc điểm hoạt động </w:t>
      </w:r>
    </w:p>
    <w:p w:rsidR="00715FEA" w:rsidRPr="00273045" w:rsidRDefault="00715FEA" w:rsidP="00715FEA">
      <w:pPr>
        <w:jc w:val="both"/>
        <w:rPr>
          <w:sz w:val="16"/>
          <w:szCs w:val="16"/>
          <w:lang w:val="nl-NL"/>
        </w:rPr>
      </w:pPr>
    </w:p>
    <w:p w:rsidR="00715FEA" w:rsidRPr="00273045" w:rsidRDefault="00715FEA" w:rsidP="00715FEA">
      <w:pPr>
        <w:numPr>
          <w:ilvl w:val="0"/>
          <w:numId w:val="2"/>
        </w:numPr>
        <w:tabs>
          <w:tab w:val="clear" w:pos="454"/>
          <w:tab w:val="num" w:pos="426"/>
        </w:tabs>
        <w:spacing w:after="0" w:line="240" w:lineRule="auto"/>
        <w:ind w:left="426" w:hanging="426"/>
        <w:jc w:val="both"/>
        <w:rPr>
          <w:b/>
          <w:bCs/>
          <w:lang w:val="nl-NL"/>
        </w:rPr>
      </w:pPr>
      <w:r w:rsidRPr="00273045">
        <w:rPr>
          <w:b/>
          <w:bCs/>
          <w:lang w:val="nl-NL"/>
        </w:rPr>
        <w:t>Hình thức sở hữu vốn</w:t>
      </w:r>
    </w:p>
    <w:p w:rsidR="00715FEA" w:rsidRPr="00273045" w:rsidRDefault="00715FEA" w:rsidP="00715FEA">
      <w:pPr>
        <w:tabs>
          <w:tab w:val="num" w:pos="426"/>
        </w:tabs>
        <w:ind w:left="426"/>
        <w:jc w:val="both"/>
        <w:rPr>
          <w:sz w:val="12"/>
          <w:szCs w:val="12"/>
          <w:lang w:val="nl-NL"/>
        </w:rPr>
      </w:pPr>
    </w:p>
    <w:p w:rsidR="00715FEA" w:rsidRPr="00273045" w:rsidRDefault="00715FEA" w:rsidP="00715FEA">
      <w:pPr>
        <w:tabs>
          <w:tab w:val="num" w:pos="426"/>
        </w:tabs>
        <w:ind w:left="426" w:right="-11"/>
        <w:jc w:val="both"/>
        <w:rPr>
          <w:lang w:val="es-MX"/>
        </w:rPr>
      </w:pPr>
      <w:r w:rsidRPr="00273045">
        <w:rPr>
          <w:lang w:val="es-MX"/>
        </w:rPr>
        <w:t xml:space="preserve">Công ty Cổ phần Thương mại Bia Hà Nội (sau đây gọi tắt là “Công ty”) được thành lập và hoạt động theo Giấy chứng nhận đăng ký kinh doanh số 0103014976, đăng ký lần đầu ngày 08/12/2006 do Sở Kế hoạch và Đầu tư thành phố Hà Nội. </w:t>
      </w:r>
      <w:r w:rsidRPr="00273045">
        <w:rPr>
          <w:lang w:val="nl-NL"/>
        </w:rPr>
        <w:t>Công ty đã có 10 lần thay đổi Giấy chứng nhận đăng ký kinh doanh</w:t>
      </w:r>
      <w:r w:rsidRPr="00273045">
        <w:rPr>
          <w:lang w:val="es-MX"/>
        </w:rPr>
        <w:t>.</w:t>
      </w:r>
    </w:p>
    <w:p w:rsidR="00715FEA" w:rsidRPr="00273045" w:rsidRDefault="00715FEA" w:rsidP="00715FEA">
      <w:pPr>
        <w:tabs>
          <w:tab w:val="num" w:pos="426"/>
        </w:tabs>
        <w:ind w:left="426" w:right="-11"/>
        <w:jc w:val="both"/>
        <w:rPr>
          <w:sz w:val="12"/>
          <w:szCs w:val="12"/>
          <w:lang w:val="es-MX"/>
        </w:rPr>
      </w:pPr>
    </w:p>
    <w:p w:rsidR="00715FEA" w:rsidRPr="00273045" w:rsidRDefault="00715FEA" w:rsidP="00715FEA">
      <w:pPr>
        <w:tabs>
          <w:tab w:val="num" w:pos="426"/>
        </w:tabs>
        <w:ind w:left="426" w:right="-1"/>
        <w:jc w:val="both"/>
        <w:rPr>
          <w:lang w:val="es-MX"/>
        </w:rPr>
      </w:pPr>
      <w:r w:rsidRPr="00273045">
        <w:rPr>
          <w:lang w:val="es-MX"/>
        </w:rPr>
        <w:t xml:space="preserve">Theo Giấy chứng nhận đăng ký doanh nghiệp số 0102111943 đăng ký thay đổi lần 10 </w:t>
      </w:r>
      <w:r w:rsidRPr="00273045">
        <w:rPr>
          <w:spacing w:val="2"/>
          <w:lang w:val="es-MX"/>
        </w:rPr>
        <w:t>do Sở Kế hoạch và Đầu tư thành phố Hà Nội cấp</w:t>
      </w:r>
      <w:r w:rsidRPr="00273045">
        <w:rPr>
          <w:lang w:val="es-MX"/>
        </w:rPr>
        <w:t xml:space="preserve"> ngày 18/05/2015 (Cấp lại mã số DN từ Đăng ký kinh doanh số 0103014976 do Sở Kế hoạch và Đầu tư Thành phố Hà Nội cấp ngày 08/12/2006)</w:t>
      </w:r>
      <w:r w:rsidRPr="00273045">
        <w:rPr>
          <w:spacing w:val="2"/>
          <w:lang w:val="es-MX"/>
        </w:rPr>
        <w:t xml:space="preserve"> </w:t>
      </w:r>
      <w:r w:rsidRPr="00273045">
        <w:rPr>
          <w:lang w:val="es-MX"/>
        </w:rPr>
        <w:t xml:space="preserve">thì vốn điều lệ của Công ty là: </w:t>
      </w:r>
      <w:r w:rsidRPr="00273045">
        <w:rPr>
          <w:b/>
          <w:lang w:val="es-MX"/>
        </w:rPr>
        <w:t>31.230.000.000 VND</w:t>
      </w:r>
      <w:r w:rsidRPr="00273045">
        <w:rPr>
          <w:lang w:val="es-MX"/>
        </w:rPr>
        <w:t xml:space="preserve"> </w:t>
      </w:r>
      <w:r w:rsidRPr="00273045">
        <w:rPr>
          <w:i/>
          <w:iCs/>
          <w:lang w:val="es-MX"/>
        </w:rPr>
        <w:t>(Ba mươi mốt tỷ, hai trăm ba mươi triệu đồng chẵn)</w:t>
      </w:r>
      <w:r w:rsidRPr="00273045">
        <w:rPr>
          <w:lang w:val="es-MX"/>
        </w:rPr>
        <w:t>.</w:t>
      </w:r>
    </w:p>
    <w:p w:rsidR="00715FEA" w:rsidRPr="00273045" w:rsidRDefault="00715FEA" w:rsidP="00715FEA">
      <w:pPr>
        <w:tabs>
          <w:tab w:val="num" w:pos="426"/>
        </w:tabs>
        <w:ind w:left="426" w:right="-1"/>
        <w:jc w:val="both"/>
        <w:rPr>
          <w:sz w:val="12"/>
          <w:szCs w:val="12"/>
          <w:lang w:val="es-MX"/>
        </w:rPr>
      </w:pPr>
    </w:p>
    <w:p w:rsidR="00715FEA" w:rsidRPr="00273045" w:rsidRDefault="00715FEA" w:rsidP="00715FEA">
      <w:pPr>
        <w:tabs>
          <w:tab w:val="num" w:pos="426"/>
        </w:tabs>
        <w:ind w:left="426" w:right="-1"/>
        <w:jc w:val="both"/>
        <w:rPr>
          <w:lang w:val="es-MX"/>
        </w:rPr>
      </w:pPr>
      <w:r w:rsidRPr="00273045">
        <w:rPr>
          <w:lang w:val="es-MX"/>
        </w:rPr>
        <w:t>Hiện tại, cổ phiếu của Công ty được niêm yết trên Sàn giao dịch chứng khoán Hà Nội với mã chứng khoán là HAT.</w:t>
      </w:r>
    </w:p>
    <w:p w:rsidR="00715FEA" w:rsidRPr="00273045" w:rsidRDefault="00715FEA" w:rsidP="00715FEA">
      <w:pPr>
        <w:tabs>
          <w:tab w:val="num" w:pos="426"/>
        </w:tabs>
        <w:ind w:left="426" w:right="-1"/>
        <w:jc w:val="both"/>
        <w:rPr>
          <w:sz w:val="12"/>
          <w:szCs w:val="12"/>
          <w:lang w:val="nl-NL"/>
        </w:rPr>
      </w:pPr>
    </w:p>
    <w:p w:rsidR="00715FEA" w:rsidRPr="00273045" w:rsidRDefault="00715FEA" w:rsidP="00715FEA">
      <w:pPr>
        <w:numPr>
          <w:ilvl w:val="0"/>
          <w:numId w:val="2"/>
        </w:numPr>
        <w:tabs>
          <w:tab w:val="clear" w:pos="454"/>
          <w:tab w:val="num" w:pos="426"/>
        </w:tabs>
        <w:spacing w:after="0" w:line="240" w:lineRule="auto"/>
        <w:ind w:left="426" w:hanging="426"/>
        <w:jc w:val="both"/>
        <w:rPr>
          <w:b/>
          <w:bCs/>
        </w:rPr>
      </w:pPr>
      <w:r w:rsidRPr="00273045">
        <w:rPr>
          <w:b/>
          <w:bCs/>
        </w:rPr>
        <w:t>Lĩnh vực kinh doanh</w:t>
      </w:r>
    </w:p>
    <w:p w:rsidR="00715FEA" w:rsidRPr="00273045" w:rsidRDefault="00715FEA" w:rsidP="00715FEA">
      <w:pPr>
        <w:tabs>
          <w:tab w:val="num" w:pos="426"/>
        </w:tabs>
        <w:ind w:left="426" w:hanging="426"/>
        <w:jc w:val="both"/>
        <w:rPr>
          <w:bCs/>
          <w:sz w:val="12"/>
          <w:szCs w:val="12"/>
        </w:rPr>
      </w:pPr>
    </w:p>
    <w:p w:rsidR="00715FEA" w:rsidRPr="00273045" w:rsidRDefault="00715FEA" w:rsidP="00715FEA">
      <w:pPr>
        <w:tabs>
          <w:tab w:val="num" w:pos="426"/>
        </w:tabs>
        <w:ind w:left="426" w:hanging="426"/>
        <w:jc w:val="both"/>
        <w:rPr>
          <w:bCs/>
        </w:rPr>
      </w:pPr>
      <w:r w:rsidRPr="00273045">
        <w:rPr>
          <w:bCs/>
        </w:rPr>
        <w:tab/>
        <w:t>Công ty hoạt động trong lĩnh vực kinh doanh thương mại.</w:t>
      </w:r>
    </w:p>
    <w:p w:rsidR="00715FEA" w:rsidRPr="00273045" w:rsidRDefault="00715FEA" w:rsidP="00715FEA">
      <w:pPr>
        <w:tabs>
          <w:tab w:val="num" w:pos="426"/>
        </w:tabs>
        <w:ind w:left="426" w:hanging="426"/>
        <w:jc w:val="both"/>
        <w:rPr>
          <w:b/>
          <w:bCs/>
          <w:sz w:val="12"/>
          <w:szCs w:val="12"/>
        </w:rPr>
      </w:pPr>
    </w:p>
    <w:p w:rsidR="00715FEA" w:rsidRPr="00273045" w:rsidRDefault="00715FEA" w:rsidP="00715FEA">
      <w:pPr>
        <w:tabs>
          <w:tab w:val="num" w:pos="426"/>
        </w:tabs>
        <w:ind w:hanging="426"/>
        <w:rPr>
          <w:lang w:val="fr-FR"/>
        </w:rPr>
      </w:pPr>
      <w:r w:rsidRPr="00273045">
        <w:rPr>
          <w:lang w:val="fr-FR"/>
        </w:rPr>
        <w:tab/>
      </w:r>
      <w:r w:rsidRPr="00273045">
        <w:rPr>
          <w:lang w:val="fr-FR"/>
        </w:rPr>
        <w:tab/>
      </w:r>
      <w:r w:rsidRPr="00273045">
        <w:rPr>
          <w:lang w:val="nl-NL"/>
        </w:rPr>
        <w:t>Trụ sở Công ty tại</w:t>
      </w:r>
      <w:r w:rsidRPr="00273045">
        <w:rPr>
          <w:lang w:val="fr-FR"/>
        </w:rPr>
        <w:t>: Số 183 Hoàng Hoa Thám, Ngọc Hà, Ba Đình, Hà Nội</w:t>
      </w:r>
    </w:p>
    <w:p w:rsidR="00715FEA" w:rsidRPr="00273045" w:rsidRDefault="00715FEA" w:rsidP="00715FEA">
      <w:pPr>
        <w:tabs>
          <w:tab w:val="num" w:pos="426"/>
        </w:tabs>
        <w:ind w:left="426" w:hanging="426"/>
        <w:jc w:val="both"/>
        <w:rPr>
          <w:sz w:val="12"/>
          <w:szCs w:val="12"/>
          <w:lang w:val="fr-FR"/>
        </w:rPr>
      </w:pPr>
    </w:p>
    <w:p w:rsidR="00715FEA" w:rsidRPr="00273045" w:rsidRDefault="00715FEA" w:rsidP="00715FEA">
      <w:pPr>
        <w:numPr>
          <w:ilvl w:val="0"/>
          <w:numId w:val="2"/>
        </w:numPr>
        <w:tabs>
          <w:tab w:val="clear" w:pos="454"/>
          <w:tab w:val="num" w:pos="426"/>
        </w:tabs>
        <w:spacing w:after="0" w:line="240" w:lineRule="auto"/>
        <w:ind w:left="426" w:right="-11" w:hanging="426"/>
        <w:jc w:val="both"/>
        <w:rPr>
          <w:b/>
          <w:u w:val="single"/>
          <w:lang w:val="es-MX"/>
        </w:rPr>
      </w:pPr>
      <w:r w:rsidRPr="00273045">
        <w:rPr>
          <w:b/>
          <w:u w:val="single"/>
          <w:lang w:val="es-MX"/>
        </w:rPr>
        <w:t xml:space="preserve">Ngành nghề kinh doanh </w:t>
      </w:r>
    </w:p>
    <w:p w:rsidR="00715FEA" w:rsidRPr="00273045" w:rsidRDefault="00715FEA" w:rsidP="00715FEA">
      <w:pPr>
        <w:tabs>
          <w:tab w:val="num" w:pos="426"/>
        </w:tabs>
        <w:ind w:left="426" w:right="-86"/>
        <w:jc w:val="both"/>
        <w:rPr>
          <w:sz w:val="18"/>
          <w:szCs w:val="18"/>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Kinh doanh bất động sản, quyền sử dụng đất thuộc chủ sở hữu, chủ sử dụng hoặc đi thuê; Kinh doanh và cho thuê nhà xưởng, văn phòng, kho tàng, bến bãi; Kinh doanh bất động sản;</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Bán buôn chuyên doanh khác chưa được phân vào đâu; Chi tiết: Mua bán hóa chất (trừ hóa chất Nhà nước cấm); Kinh doanh phế liệu, phế phẩm sau quá trình sản xuất bia; Kinh doanh phụ phẩm trong sản xuất bia, bao gồm bã bia;</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Bán buôn máy móc, thiết bị và phụ tùng máy khác. Chi tiết: Kinh doanh vật tư, thiết bị, nguyên vật liệu ngành bia- rượu- nước giải khát;</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Sản xuất đồ uống không cồn, nước khoáng; Sản xuất bia và mạch nha ủ men bia;</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Bán buôn nông, lâm sản nguyên liệu (trừ gốc, tre, nứa) và động vật sống; Hoạt động hỗ trợ dịch vụ tài chính chưa phân vào đâu;</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Sản xuất rượu vang; Bán buôn thực phẩm; Hoạt động dịch vụ hỗ trợ kinh doanh khác còn lại chưa được phân loại vào đâu, chi tiết: Dịch vụ ủy thác xuất nhập khẩu, xuất nhập khẩu các mặt hàng Công ty kinh doanh;</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lastRenderedPageBreak/>
        <w:t>Vận tải hàng hóa bằng đường bộ; Nhà hàng và các dịch vụ ăn uống phục vụ lưu động, chi tiết: Kinh doanh nhà hàng (không bao gồm kinh doanh quán bar, phòng hát karaoke, vũ trường); Quảng cáo và các dịch vụ liên quan đến quảng cáo;</w:t>
      </w:r>
    </w:p>
    <w:p w:rsidR="00715FEA" w:rsidRPr="00273045" w:rsidRDefault="00715FEA" w:rsidP="00715FEA">
      <w:pPr>
        <w:tabs>
          <w:tab w:val="num" w:pos="426"/>
        </w:tabs>
        <w:ind w:left="426" w:right="-11"/>
        <w:jc w:val="both"/>
        <w:rPr>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 xml:space="preserve">Tổ chức giới thiệu và xúc tiến thương mại; Dịch vụ lưu trú ngắn ngày, chi tiết: Kinh doanh khách sạn; </w:t>
      </w:r>
    </w:p>
    <w:p w:rsidR="00715FEA" w:rsidRPr="00273045" w:rsidRDefault="00715FEA" w:rsidP="00715FEA">
      <w:pPr>
        <w:pStyle w:val="ListParagraph"/>
        <w:tabs>
          <w:tab w:val="num" w:pos="426"/>
        </w:tabs>
        <w:rPr>
          <w:rFonts w:ascii="Times New Roman" w:hAnsi="Times New Roman"/>
          <w:sz w:val="6"/>
          <w:szCs w:val="6"/>
          <w:lang w:val="es-MX"/>
        </w:rPr>
      </w:pPr>
    </w:p>
    <w:p w:rsidR="00715FEA" w:rsidRPr="00273045" w:rsidRDefault="00715FEA" w:rsidP="00715FEA">
      <w:pPr>
        <w:numPr>
          <w:ilvl w:val="0"/>
          <w:numId w:val="6"/>
        </w:numPr>
        <w:tabs>
          <w:tab w:val="clear" w:pos="720"/>
          <w:tab w:val="num" w:pos="426"/>
        </w:tabs>
        <w:spacing w:after="0" w:line="240" w:lineRule="auto"/>
        <w:ind w:left="426" w:right="-11" w:hanging="426"/>
        <w:jc w:val="both"/>
        <w:rPr>
          <w:lang w:val="es-MX"/>
        </w:rPr>
      </w:pPr>
      <w:r w:rsidRPr="00273045">
        <w:rPr>
          <w:lang w:val="es-MX"/>
        </w:rPr>
        <w:t>Bán buôn đồ uống, chi tiết: Kinh doanh bia, rượu, nước giải khát; (Đối với các ngành nghề kinh doanh có điều kiện, Doanh nghiệp chỉ kinh doanh khi có đủ điều kiện theo quy định của pháp luật)./.</w:t>
      </w:r>
    </w:p>
    <w:p w:rsidR="00715FEA" w:rsidRPr="00273045" w:rsidRDefault="00715FEA" w:rsidP="00715FEA">
      <w:pPr>
        <w:pStyle w:val="ListParagraph"/>
        <w:tabs>
          <w:tab w:val="num" w:pos="426"/>
        </w:tabs>
        <w:ind w:left="426"/>
        <w:rPr>
          <w:rFonts w:ascii="Times New Roman" w:hAnsi="Times New Roman"/>
          <w:sz w:val="16"/>
          <w:szCs w:val="16"/>
          <w:lang w:val="es-MX"/>
        </w:rPr>
      </w:pPr>
    </w:p>
    <w:p w:rsidR="00715FEA" w:rsidRPr="00273045" w:rsidRDefault="00715FEA" w:rsidP="00715FEA">
      <w:pPr>
        <w:numPr>
          <w:ilvl w:val="0"/>
          <w:numId w:val="2"/>
        </w:numPr>
        <w:tabs>
          <w:tab w:val="num" w:pos="426"/>
        </w:tabs>
        <w:spacing w:after="0" w:line="240" w:lineRule="auto"/>
        <w:jc w:val="both"/>
        <w:rPr>
          <w:b/>
          <w:bCs/>
          <w:lang w:val="nl-NL"/>
        </w:rPr>
      </w:pPr>
      <w:r w:rsidRPr="00273045">
        <w:rPr>
          <w:b/>
          <w:bCs/>
          <w:lang w:val="nl-NL"/>
        </w:rPr>
        <w:t>Chu kỳ sản xuất, kinh doanh thông thường</w:t>
      </w:r>
    </w:p>
    <w:p w:rsidR="00715FEA" w:rsidRPr="00273045" w:rsidRDefault="00715FEA" w:rsidP="00715FEA">
      <w:pPr>
        <w:pStyle w:val="Level0"/>
        <w:tabs>
          <w:tab w:val="clear" w:pos="576"/>
          <w:tab w:val="clear" w:pos="1152"/>
          <w:tab w:val="clear" w:pos="1728"/>
          <w:tab w:val="clear" w:pos="2304"/>
          <w:tab w:val="num" w:pos="426"/>
        </w:tabs>
        <w:spacing w:before="0" w:line="240" w:lineRule="auto"/>
        <w:ind w:left="1296"/>
        <w:jc w:val="both"/>
        <w:rPr>
          <w:b/>
          <w:sz w:val="16"/>
          <w:szCs w:val="16"/>
          <w:lang w:val="es-MX"/>
        </w:rPr>
      </w:pPr>
    </w:p>
    <w:p w:rsidR="00715FEA" w:rsidRPr="00273045" w:rsidRDefault="00715FEA" w:rsidP="00715FEA">
      <w:pPr>
        <w:tabs>
          <w:tab w:val="num" w:pos="426"/>
          <w:tab w:val="left" w:pos="840"/>
        </w:tabs>
        <w:ind w:left="426"/>
        <w:jc w:val="both"/>
        <w:rPr>
          <w:bCs/>
          <w:lang w:val="nl-NL"/>
        </w:rPr>
      </w:pPr>
      <w:r w:rsidRPr="00273045">
        <w:rPr>
          <w:bCs/>
          <w:lang w:val="nl-NL"/>
        </w:rPr>
        <w:t xml:space="preserve">Chu kỳ </w:t>
      </w:r>
      <w:r w:rsidRPr="00273045">
        <w:rPr>
          <w:lang w:val="es-MX"/>
        </w:rPr>
        <w:t>kinh doanh thông thường của Công ty được thực hiện trong thời gian không quá 12 tháng.</w:t>
      </w:r>
      <w:r w:rsidRPr="00273045">
        <w:rPr>
          <w:bCs/>
          <w:lang w:val="nl-NL"/>
        </w:rPr>
        <w:t xml:space="preserve"> </w:t>
      </w:r>
      <w:r w:rsidRPr="00273045">
        <w:rPr>
          <w:bCs/>
          <w:lang w:val="nl-NL"/>
        </w:rPr>
        <w:tab/>
      </w:r>
    </w:p>
    <w:p w:rsidR="00715FEA" w:rsidRPr="00273045" w:rsidRDefault="00715FEA" w:rsidP="00715FEA">
      <w:pPr>
        <w:tabs>
          <w:tab w:val="num" w:pos="426"/>
          <w:tab w:val="left" w:pos="840"/>
        </w:tabs>
        <w:ind w:left="426"/>
        <w:jc w:val="both"/>
        <w:rPr>
          <w:bCs/>
          <w:sz w:val="12"/>
          <w:szCs w:val="12"/>
          <w:lang w:val="nl-NL"/>
        </w:rPr>
      </w:pPr>
    </w:p>
    <w:p w:rsidR="00715FEA" w:rsidRPr="00273045" w:rsidRDefault="00715FEA" w:rsidP="00715FEA">
      <w:pPr>
        <w:numPr>
          <w:ilvl w:val="0"/>
          <w:numId w:val="2"/>
        </w:numPr>
        <w:tabs>
          <w:tab w:val="num" w:pos="426"/>
        </w:tabs>
        <w:spacing w:after="0" w:line="240" w:lineRule="auto"/>
        <w:jc w:val="both"/>
        <w:rPr>
          <w:b/>
          <w:bCs/>
          <w:lang w:val="nl-NL"/>
        </w:rPr>
      </w:pPr>
      <w:r w:rsidRPr="00273045">
        <w:rPr>
          <w:b/>
          <w:bCs/>
          <w:lang w:val="nl-NL"/>
        </w:rPr>
        <w:t>Cấu trúc doanh nghiệp</w:t>
      </w:r>
    </w:p>
    <w:p w:rsidR="00715FEA" w:rsidRPr="00273045" w:rsidRDefault="00715FEA" w:rsidP="00715FEA">
      <w:pPr>
        <w:tabs>
          <w:tab w:val="num" w:pos="426"/>
        </w:tabs>
        <w:ind w:firstLine="426"/>
        <w:jc w:val="both"/>
        <w:rPr>
          <w:sz w:val="12"/>
          <w:szCs w:val="12"/>
          <w:lang w:val="nl-NL"/>
        </w:rPr>
      </w:pPr>
    </w:p>
    <w:p w:rsidR="00715FEA" w:rsidRPr="00273045" w:rsidRDefault="00715FEA" w:rsidP="00715FEA">
      <w:pPr>
        <w:tabs>
          <w:tab w:val="num" w:pos="426"/>
        </w:tabs>
        <w:ind w:firstLine="426"/>
        <w:jc w:val="both"/>
        <w:rPr>
          <w:lang w:val="nl-NL"/>
        </w:rPr>
      </w:pPr>
      <w:r w:rsidRPr="00273045">
        <w:rPr>
          <w:lang w:val="nl-NL"/>
        </w:rPr>
        <w:t xml:space="preserve">Công ty có 01 công ty liên kết: </w:t>
      </w:r>
      <w:r w:rsidRPr="00273045">
        <w:rPr>
          <w:bCs/>
          <w:iCs/>
          <w:lang w:val="de-DE"/>
        </w:rPr>
        <w:t>Công ty Cổ phần Thương mại Bia Hà Nội Hưng Yên 89</w:t>
      </w:r>
    </w:p>
    <w:p w:rsidR="00715FEA" w:rsidRPr="00273045" w:rsidRDefault="00715FEA" w:rsidP="00715FEA">
      <w:pPr>
        <w:tabs>
          <w:tab w:val="num" w:pos="426"/>
        </w:tabs>
        <w:ind w:firstLine="454"/>
        <w:jc w:val="both"/>
        <w:rPr>
          <w:bCs/>
          <w:i/>
          <w:iCs/>
          <w:sz w:val="12"/>
          <w:szCs w:val="12"/>
          <w:lang w:val="nl-NL"/>
        </w:rPr>
      </w:pPr>
    </w:p>
    <w:p w:rsidR="00715FEA" w:rsidRPr="00273045" w:rsidRDefault="00715FEA" w:rsidP="00715FEA">
      <w:pPr>
        <w:ind w:left="720" w:hanging="294"/>
        <w:jc w:val="both"/>
        <w:rPr>
          <w:bCs/>
          <w:iCs/>
          <w:lang w:val="nl-NL"/>
        </w:rPr>
      </w:pPr>
      <w:r w:rsidRPr="00273045">
        <w:rPr>
          <w:bCs/>
          <w:iCs/>
          <w:lang w:val="nl-NL"/>
        </w:rPr>
        <w:t>-</w:t>
      </w:r>
      <w:r w:rsidRPr="00273045">
        <w:rPr>
          <w:bCs/>
          <w:iCs/>
          <w:lang w:val="nl-NL"/>
        </w:rPr>
        <w:tab/>
        <w:t>Địa chỉ: xã Trưng Trắc, huyện Văn Lâm, tỉnh Hưng Yên</w:t>
      </w:r>
    </w:p>
    <w:p w:rsidR="00715FEA" w:rsidRPr="00273045" w:rsidRDefault="00715FEA" w:rsidP="00715FEA">
      <w:pPr>
        <w:ind w:left="720" w:hanging="294"/>
        <w:jc w:val="both"/>
        <w:rPr>
          <w:bCs/>
          <w:iCs/>
          <w:lang w:val="nl-NL"/>
        </w:rPr>
      </w:pPr>
      <w:r w:rsidRPr="00273045">
        <w:rPr>
          <w:bCs/>
          <w:iCs/>
          <w:lang w:val="nl-NL"/>
        </w:rPr>
        <w:t>-</w:t>
      </w:r>
      <w:r w:rsidRPr="00273045">
        <w:rPr>
          <w:bCs/>
          <w:iCs/>
          <w:lang w:val="nl-NL"/>
        </w:rPr>
        <w:tab/>
        <w:t>Tỷ lệ sở hữu của Công ty: 25%</w:t>
      </w:r>
    </w:p>
    <w:p w:rsidR="00715FEA" w:rsidRPr="00273045" w:rsidRDefault="00715FEA" w:rsidP="00715FEA">
      <w:pPr>
        <w:ind w:left="720" w:hanging="294"/>
        <w:jc w:val="both"/>
        <w:rPr>
          <w:bCs/>
        </w:rPr>
      </w:pPr>
      <w:r w:rsidRPr="00273045">
        <w:rPr>
          <w:bCs/>
        </w:rPr>
        <w:t>-</w:t>
      </w:r>
      <w:r w:rsidRPr="00273045">
        <w:rPr>
          <w:bCs/>
        </w:rPr>
        <w:tab/>
        <w:t>Tỷ lệ quyền biểu quyết của Công ty: 25%</w:t>
      </w:r>
    </w:p>
    <w:p w:rsidR="00715FEA" w:rsidRPr="00273045" w:rsidRDefault="00715FEA" w:rsidP="00715FEA">
      <w:pPr>
        <w:ind w:left="720" w:hanging="294"/>
        <w:jc w:val="both"/>
        <w:rPr>
          <w:bCs/>
        </w:rPr>
      </w:pPr>
    </w:p>
    <w:p w:rsidR="00715FEA" w:rsidRPr="00273045" w:rsidRDefault="00715FEA" w:rsidP="00715FEA">
      <w:pPr>
        <w:ind w:left="720" w:hanging="294"/>
        <w:jc w:val="both"/>
        <w:rPr>
          <w:bCs/>
          <w:iCs/>
          <w:lang w:val="nl-NL"/>
        </w:rPr>
      </w:pPr>
    </w:p>
    <w:p w:rsidR="00715FEA" w:rsidRPr="00273045" w:rsidRDefault="00715FEA" w:rsidP="00715FEA">
      <w:pPr>
        <w:numPr>
          <w:ilvl w:val="0"/>
          <w:numId w:val="1"/>
        </w:numPr>
        <w:spacing w:after="0" w:line="240" w:lineRule="auto"/>
        <w:jc w:val="both"/>
        <w:rPr>
          <w:b/>
          <w:bCs/>
          <w:lang w:val="nl-NL"/>
        </w:rPr>
      </w:pPr>
      <w:r w:rsidRPr="00273045">
        <w:rPr>
          <w:b/>
          <w:bCs/>
          <w:lang w:val="nl-NL"/>
        </w:rPr>
        <w:t>Kỳ kế toán, đơn vị tiền tệ sử dụng trong kế toán</w:t>
      </w:r>
    </w:p>
    <w:p w:rsidR="00715FEA" w:rsidRPr="00273045" w:rsidRDefault="00715FEA" w:rsidP="00715FEA">
      <w:pPr>
        <w:ind w:left="-375"/>
        <w:jc w:val="both"/>
        <w:rPr>
          <w:sz w:val="12"/>
          <w:szCs w:val="12"/>
          <w:lang w:val="nl-NL"/>
        </w:rPr>
      </w:pPr>
    </w:p>
    <w:p w:rsidR="00715FEA" w:rsidRPr="00273045" w:rsidRDefault="00715FEA" w:rsidP="00715FEA">
      <w:pPr>
        <w:numPr>
          <w:ilvl w:val="0"/>
          <w:numId w:val="3"/>
        </w:numPr>
        <w:spacing w:after="0" w:line="240" w:lineRule="auto"/>
        <w:jc w:val="both"/>
        <w:rPr>
          <w:b/>
          <w:bCs/>
          <w:lang w:val="nl-NL"/>
        </w:rPr>
      </w:pPr>
      <w:r w:rsidRPr="00273045">
        <w:rPr>
          <w:b/>
          <w:bCs/>
          <w:lang w:val="nl-NL"/>
        </w:rPr>
        <w:t>Kỳ kế toán</w:t>
      </w:r>
    </w:p>
    <w:p w:rsidR="00715FEA" w:rsidRPr="00273045" w:rsidRDefault="00715FEA" w:rsidP="00715FEA">
      <w:pPr>
        <w:jc w:val="both"/>
        <w:rPr>
          <w:b/>
          <w:bCs/>
          <w:i/>
          <w:iCs/>
          <w:sz w:val="12"/>
          <w:szCs w:val="12"/>
          <w:u w:val="single"/>
          <w:lang w:val="nl-NL"/>
        </w:rPr>
      </w:pPr>
    </w:p>
    <w:p w:rsidR="00715FEA" w:rsidRPr="00273045" w:rsidRDefault="00715FEA" w:rsidP="00715FEA">
      <w:pPr>
        <w:ind w:left="454"/>
        <w:jc w:val="both"/>
        <w:rPr>
          <w:lang w:val="nl-NL"/>
        </w:rPr>
      </w:pPr>
      <w:r w:rsidRPr="00273045">
        <w:rPr>
          <w:lang w:val="nl-NL"/>
        </w:rPr>
        <w:t>Kỳ kế toán của Công ty bắt đầu từ ngày 01/01 và kết thúc vào ngày 31/12 năm dương lịch.</w:t>
      </w:r>
    </w:p>
    <w:p w:rsidR="00715FEA" w:rsidRPr="00273045" w:rsidRDefault="00715FEA" w:rsidP="00715FEA">
      <w:pPr>
        <w:ind w:left="454"/>
        <w:jc w:val="both"/>
        <w:rPr>
          <w:sz w:val="12"/>
          <w:szCs w:val="12"/>
          <w:lang w:val="nl-NL"/>
        </w:rPr>
      </w:pPr>
    </w:p>
    <w:p w:rsidR="00715FEA" w:rsidRPr="00273045" w:rsidRDefault="00715FEA" w:rsidP="00715FEA">
      <w:pPr>
        <w:ind w:left="454"/>
        <w:jc w:val="both"/>
        <w:rPr>
          <w:lang w:val="nl-NL"/>
        </w:rPr>
      </w:pPr>
      <w:r w:rsidRPr="00273045">
        <w:rPr>
          <w:lang w:val="nl-NL"/>
        </w:rPr>
        <w:t>Báo cáo tài chính giữa niên độ này được lập cho kỳ hoạt động từ ngày 01/01/2015 đến ngày 30/06/2015.</w:t>
      </w:r>
    </w:p>
    <w:p w:rsidR="00715FEA" w:rsidRPr="00273045" w:rsidRDefault="00715FEA" w:rsidP="00715FEA">
      <w:pPr>
        <w:jc w:val="both"/>
        <w:rPr>
          <w:b/>
          <w:bCs/>
          <w:sz w:val="12"/>
          <w:szCs w:val="12"/>
          <w:lang w:val="nl-NL"/>
        </w:rPr>
      </w:pPr>
    </w:p>
    <w:p w:rsidR="00715FEA" w:rsidRPr="00273045" w:rsidRDefault="00715FEA" w:rsidP="00715FEA">
      <w:pPr>
        <w:numPr>
          <w:ilvl w:val="0"/>
          <w:numId w:val="3"/>
        </w:numPr>
        <w:spacing w:after="0" w:line="240" w:lineRule="auto"/>
        <w:jc w:val="both"/>
        <w:rPr>
          <w:b/>
          <w:bCs/>
          <w:lang w:val="nl-NL"/>
        </w:rPr>
      </w:pPr>
      <w:r w:rsidRPr="00273045">
        <w:rPr>
          <w:b/>
          <w:bCs/>
          <w:lang w:val="nl-NL"/>
        </w:rPr>
        <w:t>Đơn vị tiền tệ sử dụng trong kế toán</w:t>
      </w:r>
    </w:p>
    <w:p w:rsidR="00715FEA" w:rsidRPr="00273045" w:rsidRDefault="00715FEA" w:rsidP="00715FEA">
      <w:pPr>
        <w:jc w:val="both"/>
        <w:rPr>
          <w:sz w:val="12"/>
          <w:szCs w:val="12"/>
          <w:u w:val="single"/>
          <w:lang w:val="nl-NL"/>
        </w:rPr>
      </w:pPr>
    </w:p>
    <w:p w:rsidR="00715FEA" w:rsidRPr="00273045" w:rsidRDefault="00715FEA" w:rsidP="00715FEA">
      <w:pPr>
        <w:ind w:left="454"/>
        <w:jc w:val="both"/>
        <w:rPr>
          <w:lang w:val="nl-NL"/>
        </w:rPr>
      </w:pPr>
      <w:r w:rsidRPr="00273045">
        <w:rPr>
          <w:lang w:val="nl-NL"/>
        </w:rPr>
        <w:t xml:space="preserve">Đơn vị tiền tệ sử dụng trong kế toán là đồng Việt Nam ("VND"), hạch toán theo phương pháp giá gốc, phù hợp với các quy định của Luật Kế toán số 03/2003/QH11 ngày 17/06/2003 và Chuẩn mực kế toán Việt Nam số 01 - Chuẩn mực chung. </w:t>
      </w:r>
    </w:p>
    <w:p w:rsidR="00715FEA" w:rsidRPr="00273045" w:rsidRDefault="00715FEA" w:rsidP="00715FEA">
      <w:pPr>
        <w:ind w:left="454"/>
        <w:jc w:val="both"/>
        <w:rPr>
          <w:sz w:val="16"/>
          <w:szCs w:val="16"/>
          <w:lang w:val="nl-NL"/>
        </w:rPr>
      </w:pPr>
    </w:p>
    <w:p w:rsidR="00715FEA" w:rsidRPr="00273045" w:rsidRDefault="00715FEA" w:rsidP="00715FEA">
      <w:pPr>
        <w:numPr>
          <w:ilvl w:val="0"/>
          <w:numId w:val="1"/>
        </w:numPr>
        <w:spacing w:after="0" w:line="240" w:lineRule="auto"/>
        <w:jc w:val="both"/>
        <w:rPr>
          <w:b/>
          <w:bCs/>
          <w:lang w:val="nl-NL"/>
        </w:rPr>
      </w:pPr>
      <w:r w:rsidRPr="00273045">
        <w:rPr>
          <w:b/>
          <w:bCs/>
          <w:lang w:val="nl-NL"/>
        </w:rPr>
        <w:t>Chuẩn mực và Chế độ kế toán áp dụng</w:t>
      </w:r>
    </w:p>
    <w:p w:rsidR="00715FEA" w:rsidRPr="00273045" w:rsidRDefault="00715FEA" w:rsidP="00715FEA">
      <w:pPr>
        <w:jc w:val="both"/>
        <w:rPr>
          <w:sz w:val="16"/>
          <w:szCs w:val="16"/>
          <w:lang w:val="nl-NL"/>
        </w:rPr>
      </w:pPr>
    </w:p>
    <w:p w:rsidR="00715FEA" w:rsidRPr="00273045" w:rsidRDefault="00715FEA" w:rsidP="00715FEA">
      <w:pPr>
        <w:numPr>
          <w:ilvl w:val="0"/>
          <w:numId w:val="4"/>
        </w:numPr>
        <w:spacing w:after="0" w:line="240" w:lineRule="auto"/>
        <w:jc w:val="both"/>
        <w:rPr>
          <w:b/>
          <w:bCs/>
          <w:lang w:val="nl-NL"/>
        </w:rPr>
      </w:pPr>
      <w:r w:rsidRPr="00273045">
        <w:rPr>
          <w:b/>
          <w:bCs/>
          <w:lang w:val="nl-NL"/>
        </w:rPr>
        <w:t>Chế độ kế toán áp dụng</w:t>
      </w:r>
    </w:p>
    <w:p w:rsidR="00715FEA" w:rsidRPr="00273045" w:rsidRDefault="00715FEA" w:rsidP="00715FEA">
      <w:pPr>
        <w:jc w:val="both"/>
        <w:rPr>
          <w:sz w:val="16"/>
          <w:szCs w:val="16"/>
          <w:lang w:val="nl-NL"/>
        </w:rPr>
      </w:pPr>
    </w:p>
    <w:p w:rsidR="00715FEA" w:rsidRPr="00273045" w:rsidRDefault="00715FEA" w:rsidP="00715FEA">
      <w:pPr>
        <w:ind w:left="454"/>
        <w:jc w:val="both"/>
      </w:pPr>
      <w:r w:rsidRPr="00273045">
        <w:rPr>
          <w:lang w:val="nl-NL"/>
        </w:rPr>
        <w:lastRenderedPageBreak/>
        <w:t>Công ty áp dụng Chế độ kế toán doanh nghiệp ban hành theo Thông tư số 200/2015/TT-BTC ngày 22/12/2014 của Bộ Tài chính hướng dẫn Chế độ kế toán Doanh nghiệp.</w:t>
      </w:r>
      <w:r w:rsidRPr="00273045">
        <w:t xml:space="preserve"> </w:t>
      </w:r>
    </w:p>
    <w:p w:rsidR="00715FEA" w:rsidRPr="00273045" w:rsidRDefault="00715FEA" w:rsidP="00715FEA">
      <w:pPr>
        <w:ind w:left="454"/>
        <w:jc w:val="both"/>
        <w:rPr>
          <w:b/>
          <w:sz w:val="16"/>
          <w:szCs w:val="16"/>
          <w:lang w:val="nl-NL"/>
        </w:rPr>
      </w:pPr>
    </w:p>
    <w:p w:rsidR="00715FEA" w:rsidRPr="00273045" w:rsidRDefault="00715FEA" w:rsidP="00715FEA">
      <w:pPr>
        <w:ind w:left="454"/>
        <w:jc w:val="both"/>
        <w:rPr>
          <w:b/>
          <w:lang w:val="nl-NL"/>
        </w:rPr>
      </w:pPr>
      <w:r w:rsidRPr="00273045">
        <w:rPr>
          <w:b/>
          <w:lang w:val="nl-NL"/>
        </w:rPr>
        <w:t>Áp dụng hướng dẫn kế toán mới</w:t>
      </w:r>
    </w:p>
    <w:p w:rsidR="00715FEA" w:rsidRPr="00273045" w:rsidRDefault="00715FEA" w:rsidP="00715FEA">
      <w:pPr>
        <w:ind w:left="454"/>
        <w:jc w:val="both"/>
        <w:rPr>
          <w:b/>
          <w:i/>
          <w:sz w:val="16"/>
          <w:szCs w:val="16"/>
          <w:lang w:val="nl-NL"/>
        </w:rPr>
      </w:pPr>
    </w:p>
    <w:p w:rsidR="00715FEA" w:rsidRPr="00273045" w:rsidRDefault="00715FEA" w:rsidP="00715FEA">
      <w:pPr>
        <w:ind w:left="454"/>
        <w:jc w:val="both"/>
        <w:rPr>
          <w:b/>
          <w:i/>
          <w:lang w:val="nl-NL"/>
        </w:rPr>
      </w:pPr>
      <w:r w:rsidRPr="00273045">
        <w:rPr>
          <w:b/>
          <w:i/>
          <w:lang w:val="nl-NL"/>
        </w:rPr>
        <w:t>Hướng dẫn mới về chế độ kế toán doanh nghiệp</w:t>
      </w:r>
    </w:p>
    <w:p w:rsidR="00715FEA" w:rsidRPr="00273045" w:rsidRDefault="00715FEA" w:rsidP="00715FEA">
      <w:pPr>
        <w:ind w:left="454"/>
        <w:jc w:val="both"/>
        <w:rPr>
          <w:b/>
          <w:sz w:val="16"/>
          <w:szCs w:val="16"/>
          <w:lang w:val="nl-NL"/>
        </w:rPr>
      </w:pPr>
    </w:p>
    <w:p w:rsidR="00715FEA" w:rsidRPr="00273045" w:rsidRDefault="00715FEA" w:rsidP="00715FEA">
      <w:pPr>
        <w:ind w:left="454"/>
        <w:jc w:val="both"/>
        <w:rPr>
          <w:lang w:val="nl-NL"/>
        </w:rPr>
      </w:pPr>
      <w:r w:rsidRPr="00273045">
        <w:rPr>
          <w:lang w:val="nl-NL"/>
        </w:rPr>
        <w:t>Ngày 22 tháng 12 năm 2014, Bộ Tài chính đã ban hành Thông tư số 200/2014/TT-BTC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Ban Giám đốc đã áp dụng Thông tư 200 trong việc lập và trình bày báo cáo tài chính cho kỳ hoạt động từ ngày 01/01/2015 đến ngày 30/06/2015.</w:t>
      </w:r>
    </w:p>
    <w:p w:rsidR="00715FEA" w:rsidRPr="00273045" w:rsidRDefault="00715FEA" w:rsidP="00715FEA">
      <w:pPr>
        <w:ind w:left="454"/>
        <w:jc w:val="both"/>
        <w:rPr>
          <w:lang w:val="nl-NL"/>
        </w:rPr>
      </w:pP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b/>
          <w:i/>
          <w:sz w:val="22"/>
          <w:szCs w:val="22"/>
          <w:lang w:val="es-MX"/>
        </w:rPr>
      </w:pPr>
      <w:r w:rsidRPr="00273045">
        <w:rPr>
          <w:b/>
          <w:i/>
          <w:sz w:val="22"/>
          <w:szCs w:val="22"/>
          <w:lang w:val="es-MX"/>
        </w:rPr>
        <w:t>Ghi nhận ban đầu</w:t>
      </w: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b/>
          <w:sz w:val="20"/>
          <w:lang w:val="es-MX"/>
        </w:rPr>
      </w:pP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sz w:val="22"/>
          <w:szCs w:val="22"/>
          <w:lang w:val="es-MX"/>
        </w:rPr>
      </w:pPr>
      <w:r w:rsidRPr="00273045">
        <w:rPr>
          <w:i/>
          <w:sz w:val="22"/>
          <w:szCs w:val="22"/>
          <w:lang w:val="es-MX"/>
        </w:rPr>
        <w:t>Tài sản tài chính:</w:t>
      </w:r>
      <w:r w:rsidRPr="00273045">
        <w:rPr>
          <w:sz w:val="22"/>
          <w:szCs w:val="22"/>
          <w:lang w:val="es-MX"/>
        </w:rPr>
        <w:t xml:space="preserve"> Tại ngày ghi nhận ban đầu, tài sản tài chính được ghi nhận theo giá gốc cộng các chi phí giao dịch có liên quan trực tiếp đến việc mua sắm tài sản tài chính đó</w:t>
      </w:r>
      <w:r w:rsidRPr="00273045">
        <w:rPr>
          <w:b/>
          <w:sz w:val="22"/>
          <w:szCs w:val="22"/>
          <w:lang w:val="es-MX"/>
        </w:rPr>
        <w:t xml:space="preserve">. </w:t>
      </w:r>
      <w:r w:rsidRPr="00273045">
        <w:rPr>
          <w:sz w:val="22"/>
          <w:szCs w:val="22"/>
          <w:lang w:val="es-MX"/>
        </w:rPr>
        <w:t>Tài sản tài chính của Công ty bao gồm tiền, các khoản tương đương tiền, các khoản phải thu khách hàng, phải thu khác, các khoản ký quỹ, các khoản đầu tư tài chính.</w:t>
      </w: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sz w:val="20"/>
          <w:lang w:val="es-MX"/>
        </w:rPr>
      </w:pP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sz w:val="22"/>
          <w:szCs w:val="22"/>
          <w:lang w:val="es-MX"/>
        </w:rPr>
      </w:pPr>
      <w:r w:rsidRPr="00273045">
        <w:rPr>
          <w:i/>
          <w:sz w:val="22"/>
          <w:szCs w:val="22"/>
          <w:lang w:val="es-MX"/>
        </w:rPr>
        <w:t>Công nợ tài chính:</w:t>
      </w:r>
      <w:r w:rsidRPr="00273045">
        <w:rPr>
          <w:sz w:val="22"/>
          <w:szCs w:val="22"/>
          <w:lang w:val="es-MX"/>
        </w:rPr>
        <w:t xml:space="preserve"> Tại ngày ghi nhận ban đầu, công nợ tài chính được ghi nhận theo giá gốc cộng các chi phí giao dịch có liên quan trực tiếp đến việc phát hành công nợ tài chính đó.</w:t>
      </w:r>
      <w:r w:rsidRPr="00273045">
        <w:rPr>
          <w:b/>
          <w:i/>
          <w:sz w:val="22"/>
          <w:szCs w:val="22"/>
          <w:u w:val="single"/>
          <w:lang w:val="es-MX"/>
        </w:rPr>
        <w:t xml:space="preserve"> </w:t>
      </w:r>
      <w:r w:rsidRPr="00273045">
        <w:rPr>
          <w:sz w:val="22"/>
          <w:szCs w:val="22"/>
          <w:lang w:val="es-MX"/>
        </w:rPr>
        <w:t>Công nợ tài chính của Công ty bao gồm các khoản phải trả người bán, các khoản chi phí phải trả và các khoản phải trả, phải nộp khác.</w:t>
      </w: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sz w:val="20"/>
          <w:lang w:val="es-MX"/>
        </w:rPr>
      </w:pPr>
    </w:p>
    <w:p w:rsidR="00715FEA" w:rsidRPr="00273045" w:rsidRDefault="00715FEA" w:rsidP="00715FEA">
      <w:pPr>
        <w:pStyle w:val="Level0"/>
        <w:tabs>
          <w:tab w:val="clear" w:pos="576"/>
          <w:tab w:val="clear" w:pos="1152"/>
          <w:tab w:val="clear" w:pos="1728"/>
          <w:tab w:val="clear" w:pos="2304"/>
        </w:tabs>
        <w:spacing w:before="0" w:line="240" w:lineRule="auto"/>
        <w:ind w:left="426" w:firstLine="0"/>
        <w:jc w:val="both"/>
        <w:rPr>
          <w:b/>
          <w:i/>
          <w:sz w:val="22"/>
          <w:szCs w:val="22"/>
          <w:lang w:val="es-MX"/>
        </w:rPr>
      </w:pPr>
      <w:r w:rsidRPr="00273045">
        <w:rPr>
          <w:b/>
          <w:i/>
          <w:sz w:val="22"/>
          <w:szCs w:val="22"/>
          <w:lang w:val="es-MX"/>
        </w:rPr>
        <w:t>Đánh giá lại sau lần ghi nhận ban đầu</w:t>
      </w:r>
    </w:p>
    <w:p w:rsidR="00715FEA" w:rsidRPr="00273045" w:rsidRDefault="00715FEA" w:rsidP="00715FEA">
      <w:pPr>
        <w:ind w:left="425"/>
        <w:jc w:val="both"/>
        <w:rPr>
          <w:sz w:val="20"/>
          <w:szCs w:val="20"/>
          <w:lang w:val="es-MX"/>
        </w:rPr>
      </w:pPr>
    </w:p>
    <w:p w:rsidR="00715FEA" w:rsidRPr="00273045" w:rsidRDefault="00715FEA" w:rsidP="00715FEA">
      <w:pPr>
        <w:ind w:left="454"/>
        <w:jc w:val="both"/>
      </w:pPr>
      <w:r w:rsidRPr="00273045">
        <w:rPr>
          <w:lang w:val="es-MX"/>
        </w:rPr>
        <w:t>Hiện tại, chưa có quy định về đánh giá lại công cụ tài chính sau ghi nhận ban đầu.</w:t>
      </w:r>
    </w:p>
    <w:p w:rsidR="00715FEA" w:rsidRPr="00273045" w:rsidRDefault="00715FEA" w:rsidP="00715FEA">
      <w:pPr>
        <w:ind w:left="454"/>
        <w:jc w:val="both"/>
        <w:rPr>
          <w:sz w:val="16"/>
          <w:szCs w:val="16"/>
        </w:rPr>
      </w:pPr>
    </w:p>
    <w:p w:rsidR="00715FEA" w:rsidRPr="00273045" w:rsidRDefault="00715FEA" w:rsidP="00715FEA">
      <w:pPr>
        <w:numPr>
          <w:ilvl w:val="0"/>
          <w:numId w:val="4"/>
        </w:numPr>
        <w:spacing w:after="0" w:line="240" w:lineRule="auto"/>
        <w:jc w:val="both"/>
        <w:rPr>
          <w:b/>
          <w:bCs/>
          <w:lang w:val="nl-NL"/>
        </w:rPr>
      </w:pPr>
      <w:r w:rsidRPr="00273045">
        <w:rPr>
          <w:b/>
          <w:bCs/>
          <w:lang w:val="nl-NL"/>
        </w:rPr>
        <w:t>Tuyên bố về việc tuân thủ Chuẩn mực kế toán và Chế độ kế toán</w:t>
      </w:r>
    </w:p>
    <w:p w:rsidR="00715FEA" w:rsidRPr="00273045" w:rsidRDefault="00715FEA" w:rsidP="00715FEA">
      <w:pPr>
        <w:ind w:left="765"/>
        <w:jc w:val="both"/>
        <w:rPr>
          <w:sz w:val="16"/>
          <w:szCs w:val="16"/>
          <w:lang w:val="nl-NL"/>
        </w:rPr>
      </w:pPr>
    </w:p>
    <w:p w:rsidR="00715FEA" w:rsidRPr="00273045" w:rsidRDefault="00715FEA" w:rsidP="00715FEA">
      <w:pPr>
        <w:ind w:left="454"/>
        <w:jc w:val="both"/>
        <w:rPr>
          <w:lang w:val="nl-NL"/>
        </w:rPr>
      </w:pPr>
      <w:r w:rsidRPr="00273045">
        <w:rPr>
          <w:lang w:val="nl-NL"/>
        </w:rPr>
        <w:t>Báo cáo tài chính của Công ty được lập và trình bày phù hợp với các Chuẩn mực kế toán Việt Nam và Chế độ kế toán Việt Nam hiện hành và các quy định pháp lý có liên quan.</w:t>
      </w:r>
    </w:p>
    <w:p w:rsidR="00715FEA" w:rsidRPr="00273045" w:rsidRDefault="00715FEA" w:rsidP="00715FEA">
      <w:pPr>
        <w:ind w:left="454"/>
        <w:jc w:val="both"/>
        <w:rPr>
          <w:sz w:val="16"/>
          <w:szCs w:val="16"/>
          <w:lang w:val="nl-NL"/>
        </w:rPr>
      </w:pPr>
    </w:p>
    <w:p w:rsidR="00715FEA" w:rsidRPr="00273045" w:rsidRDefault="00715FEA" w:rsidP="00715FEA">
      <w:pPr>
        <w:numPr>
          <w:ilvl w:val="0"/>
          <w:numId w:val="4"/>
        </w:numPr>
        <w:spacing w:after="0" w:line="240" w:lineRule="auto"/>
        <w:jc w:val="both"/>
        <w:rPr>
          <w:b/>
          <w:bCs/>
          <w:lang w:val="nl-NL"/>
        </w:rPr>
      </w:pPr>
      <w:r w:rsidRPr="00273045">
        <w:rPr>
          <w:b/>
          <w:bCs/>
          <w:lang w:val="nl-NL"/>
        </w:rPr>
        <w:t>Hình thức kế toán áp dụng</w:t>
      </w:r>
    </w:p>
    <w:p w:rsidR="00715FEA" w:rsidRPr="00273045" w:rsidRDefault="00715FEA" w:rsidP="00715FEA">
      <w:pPr>
        <w:jc w:val="both"/>
        <w:rPr>
          <w:sz w:val="16"/>
          <w:szCs w:val="16"/>
          <w:lang w:val="nl-NL"/>
        </w:rPr>
      </w:pPr>
    </w:p>
    <w:p w:rsidR="00715FEA" w:rsidRPr="00273045" w:rsidRDefault="00715FEA" w:rsidP="00715FEA">
      <w:pPr>
        <w:ind w:left="454"/>
        <w:jc w:val="both"/>
        <w:rPr>
          <w:i/>
          <w:iCs/>
          <w:lang w:val="nl-NL"/>
        </w:rPr>
      </w:pPr>
      <w:r w:rsidRPr="00273045">
        <w:rPr>
          <w:lang w:val="nl-NL"/>
        </w:rPr>
        <w:t>Công ty áp dụng hình thức ghi sổ trên máy vi tính, sử dụng phần mềm kế toán Fast.</w:t>
      </w:r>
    </w:p>
    <w:p w:rsidR="00715FEA" w:rsidRPr="00273045" w:rsidRDefault="00715FEA" w:rsidP="00715FEA">
      <w:pPr>
        <w:ind w:left="454"/>
        <w:jc w:val="both"/>
        <w:rPr>
          <w:sz w:val="20"/>
          <w:szCs w:val="20"/>
          <w:lang w:val="nl-NL"/>
        </w:rPr>
      </w:pPr>
    </w:p>
    <w:p w:rsidR="00715FEA" w:rsidRPr="00273045" w:rsidRDefault="00715FEA" w:rsidP="00715FEA">
      <w:pPr>
        <w:ind w:left="454"/>
        <w:jc w:val="both"/>
        <w:rPr>
          <w:sz w:val="20"/>
          <w:szCs w:val="20"/>
          <w:lang w:val="nl-NL"/>
        </w:rPr>
      </w:pPr>
    </w:p>
    <w:p w:rsidR="00715FEA" w:rsidRPr="00273045" w:rsidRDefault="00715FEA" w:rsidP="00715FEA">
      <w:pPr>
        <w:numPr>
          <w:ilvl w:val="0"/>
          <w:numId w:val="1"/>
        </w:numPr>
        <w:spacing w:after="0" w:line="240" w:lineRule="auto"/>
        <w:jc w:val="both"/>
        <w:rPr>
          <w:b/>
          <w:bCs/>
          <w:lang w:val="nl-NL"/>
        </w:rPr>
      </w:pPr>
      <w:r w:rsidRPr="00273045">
        <w:rPr>
          <w:b/>
          <w:bCs/>
          <w:lang w:val="nl-NL"/>
        </w:rPr>
        <w:lastRenderedPageBreak/>
        <w:t>Tóm tắt các chính sách kế toán chủ yếu</w:t>
      </w:r>
    </w:p>
    <w:p w:rsidR="00715FEA" w:rsidRPr="00273045" w:rsidRDefault="00715FEA" w:rsidP="00715FEA">
      <w:pPr>
        <w:jc w:val="both"/>
        <w:rPr>
          <w:sz w:val="16"/>
          <w:szCs w:val="16"/>
          <w:lang w:val="nl-NL"/>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Nguyên tắc xác định các khoản tiền và các khoản tương đương tiền</w:t>
      </w:r>
    </w:p>
    <w:p w:rsidR="00715FEA" w:rsidRPr="00273045" w:rsidRDefault="00715FEA" w:rsidP="00715FEA">
      <w:pPr>
        <w:ind w:left="765"/>
        <w:jc w:val="both"/>
        <w:rPr>
          <w:sz w:val="12"/>
          <w:szCs w:val="12"/>
          <w:lang w:val="nl-NL"/>
        </w:rPr>
      </w:pPr>
    </w:p>
    <w:p w:rsidR="00715FEA" w:rsidRPr="00273045" w:rsidRDefault="00715FEA" w:rsidP="00715FEA">
      <w:pPr>
        <w:ind w:left="454"/>
        <w:jc w:val="both"/>
        <w:rPr>
          <w:bCs/>
        </w:rPr>
      </w:pPr>
      <w:r w:rsidRPr="00273045">
        <w:rPr>
          <w:bCs/>
        </w:rPr>
        <w:t>Tiền là chỉ tiêu tổng hợp phản ánh toàn bộ số tiền hiện có của doanh nghiệp tại thời điểm báo cáo, gồm tiền mặt tại quỹ của doanh nghiệp, tiền gửi ngân hàng không kỳ hạn, được ghi nhận và lập báo cáo theo đồng Việt Nam (VND), phù hợp với quy định tại Luật kế toán số 03/2003/QH11 ngày 17/06/2003.</w:t>
      </w:r>
    </w:p>
    <w:p w:rsidR="00715FEA" w:rsidRPr="00273045" w:rsidRDefault="00715FEA" w:rsidP="00715FEA">
      <w:pPr>
        <w:ind w:left="454"/>
        <w:jc w:val="both"/>
        <w:rPr>
          <w:bCs/>
          <w:sz w:val="12"/>
          <w:szCs w:val="12"/>
        </w:rPr>
      </w:pPr>
    </w:p>
    <w:p w:rsidR="00715FEA" w:rsidRPr="00273045" w:rsidRDefault="00715FEA" w:rsidP="00715FEA">
      <w:pPr>
        <w:ind w:left="454"/>
        <w:jc w:val="both"/>
        <w:rPr>
          <w:lang w:val="it-IT"/>
        </w:rPr>
      </w:pPr>
      <w:r w:rsidRPr="00273045">
        <w:rPr>
          <w:lang w:val="it-IT"/>
        </w:rPr>
        <w:t>Các khoản tương đương tiền là các khoản đầu tư ngắn hạn có thời hạn thu hồi không quá 3 tháng kể từ ngày đầu tư, có khả năng chuyển đổi dễ dàng thành một lượng tiền xác định và không có rủi ro trong chuyển đổi thành tiền tại thời điểm báo cáo, phù hợp với quy định của Chuẩn mực kế toán Việt nam số 24 - Báo cáo lưu chuyển tiền tệ.</w:t>
      </w:r>
    </w:p>
    <w:p w:rsidR="00715FEA" w:rsidRPr="00273045" w:rsidRDefault="00715FEA" w:rsidP="00715FEA">
      <w:pPr>
        <w:ind w:left="454"/>
        <w:jc w:val="both"/>
        <w:rPr>
          <w:sz w:val="12"/>
          <w:szCs w:val="12"/>
          <w:lang w:val="it-IT"/>
        </w:rPr>
      </w:pPr>
    </w:p>
    <w:p w:rsidR="00715FEA" w:rsidRPr="00273045" w:rsidRDefault="00715FEA" w:rsidP="00715FEA">
      <w:pPr>
        <w:ind w:left="454"/>
        <w:jc w:val="both"/>
        <w:rPr>
          <w:lang w:val="it-IT"/>
        </w:rPr>
      </w:pPr>
      <w:r w:rsidRPr="00273045">
        <w:rPr>
          <w:lang w:val="it-IT"/>
        </w:rPr>
        <w:t>Công ty không có các khoản mục tiền và tương đương tiền bằng ngoại tệ.</w:t>
      </w:r>
    </w:p>
    <w:p w:rsidR="00715FEA" w:rsidRPr="00273045" w:rsidRDefault="00715FEA" w:rsidP="00715FEA">
      <w:pPr>
        <w:ind w:left="454"/>
        <w:jc w:val="both"/>
        <w:rPr>
          <w:bCs/>
          <w:sz w:val="12"/>
          <w:szCs w:val="12"/>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lang w:val="nl-NL"/>
        </w:rPr>
        <w:t>Nguyên tắc kế toán các khoản đầu tư tài chính</w:t>
      </w:r>
    </w:p>
    <w:p w:rsidR="00715FEA" w:rsidRPr="00273045" w:rsidRDefault="00715FEA" w:rsidP="00715FEA">
      <w:pPr>
        <w:ind w:left="1440"/>
        <w:jc w:val="both"/>
        <w:rPr>
          <w:b/>
          <w:bCs/>
          <w:sz w:val="12"/>
          <w:szCs w:val="12"/>
        </w:rPr>
      </w:pPr>
    </w:p>
    <w:p w:rsidR="00715FEA" w:rsidRPr="00273045" w:rsidRDefault="00715FEA" w:rsidP="00715FEA">
      <w:pPr>
        <w:ind w:left="1440" w:hanging="1014"/>
        <w:jc w:val="both"/>
        <w:rPr>
          <w:b/>
          <w:i/>
          <w:lang w:val="nl-NL"/>
        </w:rPr>
      </w:pPr>
      <w:r w:rsidRPr="00273045">
        <w:rPr>
          <w:b/>
          <w:i/>
          <w:lang w:val="nl-NL"/>
        </w:rPr>
        <w:t>Các khoản đầu tư vào công ty con, góp vốn liên doanh, đầu tư vào công ty liên kết</w:t>
      </w:r>
    </w:p>
    <w:p w:rsidR="00715FEA" w:rsidRPr="00273045" w:rsidRDefault="00715FEA" w:rsidP="00715FEA">
      <w:pPr>
        <w:ind w:left="1440" w:hanging="1014"/>
        <w:jc w:val="both"/>
        <w:rPr>
          <w:b/>
          <w:i/>
          <w:sz w:val="12"/>
          <w:szCs w:val="12"/>
          <w:lang w:val="nl-NL"/>
        </w:rPr>
      </w:pPr>
    </w:p>
    <w:p w:rsidR="00715FEA" w:rsidRPr="00273045" w:rsidRDefault="00715FEA" w:rsidP="00715FEA">
      <w:pPr>
        <w:pStyle w:val="BodyTextIndent"/>
        <w:ind w:left="426" w:hanging="1014"/>
        <w:rPr>
          <w:rFonts w:ascii="Times New Roman" w:hAnsi="Times New Roman"/>
          <w:b/>
          <w:sz w:val="22"/>
          <w:szCs w:val="22"/>
        </w:rPr>
      </w:pPr>
      <w:r w:rsidRPr="00273045">
        <w:rPr>
          <w:rFonts w:ascii="Times New Roman" w:hAnsi="Times New Roman"/>
          <w:i/>
          <w:sz w:val="22"/>
          <w:szCs w:val="22"/>
        </w:rPr>
        <w:tab/>
      </w:r>
      <w:r w:rsidRPr="00273045">
        <w:rPr>
          <w:rFonts w:ascii="Times New Roman" w:hAnsi="Times New Roman"/>
          <w:i/>
          <w:sz w:val="22"/>
          <w:szCs w:val="22"/>
        </w:rPr>
        <w:tab/>
        <w:t>Đầu tư vào công ty liên kết</w:t>
      </w:r>
    </w:p>
    <w:p w:rsidR="00715FEA" w:rsidRPr="00273045" w:rsidRDefault="00715FEA" w:rsidP="00715FEA">
      <w:pPr>
        <w:pStyle w:val="BodyTextIndent"/>
        <w:ind w:left="426" w:hanging="1014"/>
        <w:rPr>
          <w:rFonts w:ascii="Times New Roman" w:hAnsi="Times New Roman"/>
          <w:sz w:val="12"/>
          <w:szCs w:val="12"/>
        </w:rPr>
      </w:pPr>
    </w:p>
    <w:p w:rsidR="00715FEA" w:rsidRPr="00273045" w:rsidRDefault="00715FEA" w:rsidP="00715FEA">
      <w:pPr>
        <w:pStyle w:val="BlockText"/>
        <w:ind w:left="426"/>
        <w:rPr>
          <w:sz w:val="22"/>
          <w:szCs w:val="22"/>
          <w:lang w:val="nl-NL"/>
        </w:rPr>
      </w:pPr>
      <w:r w:rsidRPr="00273045">
        <w:rPr>
          <w:sz w:val="22"/>
          <w:szCs w:val="22"/>
          <w:lang w:val="nl-NL"/>
        </w:rPr>
        <w:t>Công ty liên kết là một công ty mà Công ty có ảnh hưởng đáng kể nhưng không phải là công ty con hay công ty liên doanh của Công ty. Ảnh hưởng đáng kể thể hiện ở quyền tham gia vào việc đưa ra các quyết định về chính sách tài chính và hoạt động của bên nhận đầu tư nhưng không có ảnh hưởng về mặt kiểm soát hoặc đồng kiểm soát những chính sách này.</w:t>
      </w:r>
    </w:p>
    <w:p w:rsidR="00715FEA" w:rsidRPr="00273045" w:rsidRDefault="00715FEA" w:rsidP="00715FEA">
      <w:pPr>
        <w:pStyle w:val="BlockText"/>
        <w:ind w:left="426" w:hanging="1014"/>
        <w:rPr>
          <w:b/>
          <w:sz w:val="12"/>
          <w:szCs w:val="12"/>
          <w:lang w:val="nl-NL"/>
        </w:rPr>
      </w:pPr>
    </w:p>
    <w:p w:rsidR="00715FEA" w:rsidRPr="00273045" w:rsidRDefault="00715FEA" w:rsidP="00715FEA">
      <w:pPr>
        <w:pStyle w:val="BodyTextIndent"/>
        <w:ind w:left="426" w:hanging="1014"/>
        <w:rPr>
          <w:rFonts w:ascii="Times New Roman" w:hAnsi="Times New Roman"/>
          <w:sz w:val="22"/>
          <w:szCs w:val="22"/>
        </w:rPr>
      </w:pPr>
      <w:r w:rsidRPr="00273045">
        <w:rPr>
          <w:rFonts w:ascii="Times New Roman" w:hAnsi="Times New Roman"/>
          <w:sz w:val="22"/>
          <w:szCs w:val="22"/>
        </w:rPr>
        <w:tab/>
      </w:r>
      <w:r w:rsidRPr="00273045">
        <w:rPr>
          <w:rFonts w:ascii="Times New Roman" w:hAnsi="Times New Roman"/>
          <w:sz w:val="22"/>
          <w:szCs w:val="22"/>
        </w:rPr>
        <w:tab/>
        <w:t xml:space="preserve">Công ty ghi nhận ban đầu khoản đầu tư vào công ty liên kết theo giá gốc. </w:t>
      </w:r>
    </w:p>
    <w:p w:rsidR="00715FEA" w:rsidRPr="00273045" w:rsidRDefault="00715FEA" w:rsidP="00715FEA">
      <w:pPr>
        <w:pStyle w:val="BlockText"/>
        <w:ind w:left="426" w:hanging="1014"/>
        <w:rPr>
          <w:b/>
          <w:sz w:val="12"/>
          <w:szCs w:val="12"/>
          <w:lang w:val="nl-NL"/>
        </w:rPr>
      </w:pPr>
      <w:r w:rsidRPr="00273045">
        <w:rPr>
          <w:b/>
          <w:sz w:val="22"/>
          <w:szCs w:val="22"/>
          <w:lang w:val="nl-NL"/>
        </w:rPr>
        <w:tab/>
      </w:r>
    </w:p>
    <w:p w:rsidR="00715FEA" w:rsidRPr="00273045" w:rsidRDefault="00715FEA" w:rsidP="00715FEA">
      <w:pPr>
        <w:ind w:left="426"/>
        <w:jc w:val="both"/>
        <w:rPr>
          <w:lang w:val="nl-NL"/>
        </w:rPr>
      </w:pPr>
      <w:r w:rsidRPr="00273045">
        <w:rPr>
          <w:lang w:val="nl-NL"/>
        </w:rPr>
        <w:t>Các khoản đầu tư vào công ty liên kết được trình bày trong Bảng cân đối kế toán theo giá gốc. Tại thời điểm 30/06/2015, khoản đầu tư vào công ty liên kết của công ty không cần trích lập dự phòng giảm giá.</w:t>
      </w:r>
    </w:p>
    <w:p w:rsidR="00715FEA" w:rsidRPr="00273045" w:rsidRDefault="00715FEA" w:rsidP="00715FEA">
      <w:pPr>
        <w:ind w:left="426"/>
        <w:jc w:val="both"/>
        <w:rPr>
          <w:sz w:val="12"/>
          <w:szCs w:val="12"/>
          <w:lang w:val="nl-NL"/>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lang w:val="nl-NL"/>
        </w:rPr>
        <w:t>Nguyên tắc kế toán nợ phải thu</w:t>
      </w:r>
    </w:p>
    <w:p w:rsidR="00715FEA" w:rsidRPr="00273045" w:rsidRDefault="00715FEA" w:rsidP="00715FEA">
      <w:pPr>
        <w:ind w:left="1440"/>
        <w:jc w:val="both"/>
        <w:rPr>
          <w:b/>
          <w:bCs/>
          <w:sz w:val="12"/>
          <w:szCs w:val="12"/>
        </w:rPr>
      </w:pPr>
    </w:p>
    <w:p w:rsidR="00715FEA" w:rsidRPr="00273045" w:rsidRDefault="00715FEA" w:rsidP="00715FEA">
      <w:pPr>
        <w:pStyle w:val="BlockText"/>
        <w:ind w:left="426"/>
        <w:rPr>
          <w:rFonts w:eastAsia="Times New Roman"/>
          <w:sz w:val="22"/>
          <w:szCs w:val="22"/>
          <w:lang w:val="nl-NL"/>
        </w:rPr>
      </w:pPr>
      <w:r w:rsidRPr="00273045">
        <w:rPr>
          <w:rFonts w:eastAsia="Times New Roman"/>
          <w:sz w:val="22"/>
          <w:szCs w:val="22"/>
          <w:lang w:val="nl-NL"/>
        </w:rPr>
        <w:t>Nợ phải thu là các khoản phải thu hồi từ khách hàng và các đối tượng khác. Nợ phải thu bao gồm các khoản phải thu khách hàng và phải thu khác. Nợ phải thu được trình bày theo giá trị ghi sổ trừ đi các khoản dự phòng phải thu khó đòi. Nợ phải thu không ghi cao hơn giá trị phải thu hồi.</w:t>
      </w:r>
    </w:p>
    <w:p w:rsidR="00715FEA" w:rsidRPr="00273045" w:rsidRDefault="00715FEA" w:rsidP="00715FEA">
      <w:pPr>
        <w:pStyle w:val="BlockText"/>
        <w:ind w:left="426"/>
        <w:rPr>
          <w:rFonts w:eastAsia="Times New Roman"/>
          <w:sz w:val="16"/>
          <w:szCs w:val="16"/>
          <w:lang w:val="nl-NL"/>
        </w:rPr>
      </w:pPr>
    </w:p>
    <w:p w:rsidR="00715FEA" w:rsidRPr="00273045" w:rsidRDefault="00715FEA" w:rsidP="00715FEA">
      <w:pPr>
        <w:pStyle w:val="BlockText"/>
        <w:ind w:left="426"/>
        <w:rPr>
          <w:rFonts w:eastAsia="Times New Roman"/>
          <w:sz w:val="22"/>
          <w:szCs w:val="22"/>
          <w:lang w:val="nl-NL"/>
        </w:rPr>
      </w:pPr>
      <w:r w:rsidRPr="00273045">
        <w:rPr>
          <w:rFonts w:eastAsia="Times New Roman"/>
          <w:sz w:val="22"/>
          <w:szCs w:val="22"/>
          <w:lang w:val="nl-NL"/>
        </w:rPr>
        <w:t xml:space="preserve">Phải thu khách hàng gồm các khoản phải thu mang tính chất thương mại phát sinh từ giao dịch có tính mua - bán. </w:t>
      </w:r>
    </w:p>
    <w:p w:rsidR="00715FEA" w:rsidRPr="00273045" w:rsidRDefault="00715FEA" w:rsidP="00715FEA">
      <w:pPr>
        <w:pStyle w:val="BlockText"/>
        <w:ind w:left="720" w:hanging="720"/>
        <w:rPr>
          <w:rFonts w:eastAsia="Times New Roman"/>
          <w:sz w:val="12"/>
          <w:szCs w:val="12"/>
          <w:lang w:val="nl-NL"/>
        </w:rPr>
      </w:pPr>
    </w:p>
    <w:p w:rsidR="00715FEA" w:rsidRPr="00273045" w:rsidRDefault="00715FEA" w:rsidP="00715FEA">
      <w:pPr>
        <w:ind w:left="426"/>
        <w:jc w:val="both"/>
        <w:rPr>
          <w:lang w:val="nl-NL"/>
        </w:rPr>
      </w:pPr>
      <w:r w:rsidRPr="00273045">
        <w:rPr>
          <w:lang w:val="nl-NL"/>
        </w:rPr>
        <w:t>Các khoản nợ phải thu được theo dõi chi tiết theo kỳ hạn phải thu, đối tượng phải thu và các yếu tố khác theo nhu cầu quản lý của doanh nghiệp.</w:t>
      </w:r>
    </w:p>
    <w:p w:rsidR="00715FEA" w:rsidRPr="00273045" w:rsidRDefault="00715FEA" w:rsidP="00715FEA">
      <w:pPr>
        <w:tabs>
          <w:tab w:val="num" w:pos="456"/>
        </w:tabs>
        <w:ind w:left="1440"/>
        <w:jc w:val="both"/>
        <w:rPr>
          <w:b/>
          <w:bCs/>
          <w:sz w:val="12"/>
          <w:szCs w:val="12"/>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Nguyên tắc ghi nhận hàng tồn kho</w:t>
      </w:r>
    </w:p>
    <w:p w:rsidR="00715FEA" w:rsidRPr="00273045" w:rsidRDefault="00715FEA" w:rsidP="00715FEA">
      <w:pPr>
        <w:pStyle w:val="BodyTextIndent2"/>
        <w:ind w:left="454"/>
        <w:rPr>
          <w:rFonts w:ascii="Times New Roman" w:hAnsi="Times New Roman"/>
          <w:b/>
          <w:bCs/>
          <w:i/>
          <w:iCs/>
          <w:color w:val="auto"/>
          <w:sz w:val="12"/>
          <w:szCs w:val="12"/>
        </w:rPr>
      </w:pPr>
    </w:p>
    <w:p w:rsidR="00715FEA" w:rsidRPr="00273045" w:rsidRDefault="00715FEA" w:rsidP="00715FEA">
      <w:pPr>
        <w:ind w:left="454"/>
        <w:jc w:val="both"/>
        <w:rPr>
          <w:lang w:val="fr-FR"/>
        </w:rPr>
      </w:pPr>
      <w:r w:rsidRPr="00273045">
        <w:rPr>
          <w:lang w:val="nl-NL"/>
        </w:rPr>
        <w:lastRenderedPageBreak/>
        <w:t xml:space="preserve">Hàng tồn kho được xác định trên cơ sở giá thấp hơn giữa giá gốc và giá trị thuần có thể thực hiện được. </w:t>
      </w:r>
      <w:r w:rsidRPr="00273045">
        <w:rPr>
          <w:lang w:val="fr-FR"/>
        </w:rPr>
        <w:t xml:space="preserve">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ước tính để hoàn thành sản phẩm cùng chi phí tiếp thị, bán hàng và phân phối phát sinh. </w:t>
      </w:r>
    </w:p>
    <w:p w:rsidR="00715FEA" w:rsidRPr="00273045" w:rsidRDefault="00715FEA" w:rsidP="00715FEA">
      <w:pPr>
        <w:ind w:left="454"/>
        <w:jc w:val="both"/>
        <w:rPr>
          <w:sz w:val="12"/>
          <w:szCs w:val="12"/>
          <w:lang w:val="fr-FR"/>
        </w:rPr>
      </w:pPr>
    </w:p>
    <w:p w:rsidR="00715FEA" w:rsidRPr="00273045" w:rsidRDefault="00715FEA" w:rsidP="00715FEA">
      <w:pPr>
        <w:ind w:left="454"/>
        <w:jc w:val="both"/>
        <w:rPr>
          <w:lang w:val="fr-FR"/>
        </w:rPr>
      </w:pPr>
      <w:r w:rsidRPr="00273045">
        <w:rPr>
          <w:lang w:val="fr-FR"/>
        </w:rPr>
        <w:t>Phương pháp hạch toán hàng tồn kho: Công ty áp dụng phương pháp kê khai thường xuyên.</w:t>
      </w:r>
    </w:p>
    <w:p w:rsidR="00715FEA" w:rsidRPr="00273045" w:rsidRDefault="00715FEA" w:rsidP="00715FEA">
      <w:pPr>
        <w:ind w:left="454"/>
        <w:jc w:val="both"/>
        <w:rPr>
          <w:sz w:val="12"/>
          <w:szCs w:val="12"/>
          <w:lang w:val="fr-FR"/>
        </w:rPr>
      </w:pPr>
    </w:p>
    <w:p w:rsidR="00715FEA" w:rsidRPr="00273045" w:rsidRDefault="00715FEA" w:rsidP="00715FEA">
      <w:pPr>
        <w:ind w:left="426"/>
        <w:jc w:val="both"/>
        <w:rPr>
          <w:lang w:val="fr-FR"/>
        </w:rPr>
      </w:pPr>
      <w:r w:rsidRPr="00273045">
        <w:rPr>
          <w:lang w:val="fr-FR"/>
        </w:rPr>
        <w:t>Phương pháp lập dự phòng giảm giá hàng tồn kho: Tại ngày 30/06/0215, Công ty không có hàng tồn kho cần trích lập dự phòng giảm giá.</w:t>
      </w:r>
    </w:p>
    <w:p w:rsidR="00715FEA" w:rsidRPr="00273045" w:rsidRDefault="00715FEA" w:rsidP="00715FEA">
      <w:pPr>
        <w:pStyle w:val="BodyTextIndent2"/>
        <w:ind w:left="454"/>
        <w:rPr>
          <w:rFonts w:ascii="Times New Roman" w:hAnsi="Times New Roman"/>
          <w:color w:val="auto"/>
          <w:sz w:val="12"/>
          <w:szCs w:val="22"/>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rPr>
        <w:t xml:space="preserve">Nguyên tắc kế toán và khấu hao TSCĐ </w:t>
      </w:r>
    </w:p>
    <w:p w:rsidR="00715FEA" w:rsidRPr="00273045" w:rsidRDefault="00715FEA" w:rsidP="00715FEA">
      <w:pPr>
        <w:jc w:val="both"/>
        <w:rPr>
          <w:b/>
          <w:bCs/>
          <w:sz w:val="12"/>
          <w:szCs w:val="12"/>
          <w:lang w:val="nl-NL"/>
        </w:rPr>
      </w:pPr>
    </w:p>
    <w:p w:rsidR="00715FEA" w:rsidRPr="00273045" w:rsidRDefault="00715FEA" w:rsidP="00715FEA">
      <w:pPr>
        <w:ind w:left="426" w:hanging="426"/>
        <w:jc w:val="both"/>
        <w:rPr>
          <w:b/>
          <w:bCs/>
          <w:i/>
          <w:lang w:val="nl-NL"/>
        </w:rPr>
      </w:pPr>
      <w:r w:rsidRPr="00273045">
        <w:rPr>
          <w:b/>
          <w:bCs/>
          <w:i/>
          <w:lang w:val="nl-NL"/>
        </w:rPr>
        <w:t>5.1</w:t>
      </w:r>
      <w:r w:rsidRPr="00273045">
        <w:rPr>
          <w:b/>
          <w:bCs/>
          <w:i/>
          <w:lang w:val="nl-NL"/>
        </w:rPr>
        <w:tab/>
        <w:t>Nguyên tắc ghi nhận và phương pháp khấu hao TSCĐ hữu hình</w:t>
      </w:r>
    </w:p>
    <w:p w:rsidR="00715FEA" w:rsidRPr="00273045" w:rsidRDefault="00715FEA" w:rsidP="00715FEA">
      <w:pPr>
        <w:ind w:left="426"/>
        <w:jc w:val="both"/>
        <w:rPr>
          <w:sz w:val="12"/>
          <w:szCs w:val="12"/>
          <w:lang w:val="nl-NL"/>
        </w:rPr>
      </w:pPr>
    </w:p>
    <w:p w:rsidR="00715FEA" w:rsidRPr="00273045" w:rsidRDefault="00715FEA" w:rsidP="00715FEA">
      <w:pPr>
        <w:ind w:left="426"/>
        <w:jc w:val="both"/>
        <w:rPr>
          <w:lang w:val="nl-NL"/>
        </w:rPr>
      </w:pPr>
      <w:r w:rsidRPr="00273045">
        <w:rPr>
          <w:lang w:val="nl-NL"/>
        </w:rPr>
        <w:t>Tài sản cố định hữu hình được ghi nhận theo nguyên giá, được phản ánh trên Bảng cân đối kế toán theo các chỉ tiêu nguyên giá, hao mòn luỹ kế và giá trị còn lại.</w:t>
      </w:r>
    </w:p>
    <w:p w:rsidR="00715FEA" w:rsidRPr="00273045" w:rsidRDefault="00715FEA" w:rsidP="00715FEA">
      <w:pPr>
        <w:ind w:left="426"/>
        <w:jc w:val="both"/>
        <w:rPr>
          <w:lang w:val="nl-NL"/>
        </w:rPr>
      </w:pPr>
      <w:r w:rsidRPr="00273045">
        <w:rPr>
          <w:lang w:val="es-MX"/>
        </w:rPr>
        <w:t>Việc ghi nhận Tài sản cố định hữu hình và Khấu hao tài sản cố định thực hiện theo Chuẩn mực kế toán Việt Nam số 03 - Tài sản cố định hữu hình, Thông tư số 200/2014/TT-BTC ngày 22/12/2014 của Bộ Tài chính hướng dẫn chế độ kế toán doanh nghiệp và Thông tư 45/2013/TT - BTC ngày 25/04/2013 hướng dẫn Chế độ quản lý, sử dụng và trích khấu hao tài sản cố định.</w:t>
      </w:r>
      <w:r w:rsidRPr="00273045">
        <w:rPr>
          <w:lang w:val="nl-NL"/>
        </w:rPr>
        <w:t xml:space="preserve"> </w:t>
      </w:r>
    </w:p>
    <w:p w:rsidR="00715FEA" w:rsidRPr="00273045" w:rsidRDefault="00715FEA" w:rsidP="00715FEA">
      <w:pPr>
        <w:ind w:left="426"/>
        <w:jc w:val="both"/>
        <w:rPr>
          <w:sz w:val="16"/>
          <w:szCs w:val="16"/>
          <w:lang w:val="nl-NL"/>
        </w:rPr>
      </w:pPr>
    </w:p>
    <w:p w:rsidR="00715FEA" w:rsidRPr="00273045" w:rsidRDefault="00715FEA" w:rsidP="00715FEA">
      <w:pPr>
        <w:ind w:left="454"/>
        <w:jc w:val="both"/>
        <w:rPr>
          <w:lang w:val="nl-NL"/>
        </w:rPr>
      </w:pPr>
      <w:r w:rsidRPr="00273045">
        <w:rPr>
          <w:lang w:val="nl-NL"/>
        </w:rPr>
        <w:t>Các chi phí phát sinh sau ghi nhận ban đầu TSCĐ hữu hình được ghi tăng nguyên giá của tài sản khi các chi phí này chắc chắn làm tăng lợi ích kinh tế trong tương lai. Các chi phí phát sinh không thoả mãn được điều kiện trên được Công ty ghi nhận vào chi phí sản xuất kinh doanh trong kỳ.</w:t>
      </w:r>
    </w:p>
    <w:p w:rsidR="00715FEA" w:rsidRPr="00273045" w:rsidRDefault="00715FEA" w:rsidP="00715FEA">
      <w:pPr>
        <w:ind w:left="454"/>
        <w:jc w:val="both"/>
        <w:rPr>
          <w:sz w:val="16"/>
          <w:szCs w:val="16"/>
          <w:lang w:val="nl-NL"/>
        </w:rPr>
      </w:pPr>
    </w:p>
    <w:p w:rsidR="00715FEA" w:rsidRPr="00273045" w:rsidRDefault="00715FEA" w:rsidP="00715FEA">
      <w:pPr>
        <w:ind w:left="426"/>
        <w:jc w:val="both"/>
        <w:rPr>
          <w:lang w:val="nl-NL"/>
        </w:rPr>
      </w:pPr>
      <w:r w:rsidRPr="00273045">
        <w:rPr>
          <w:lang w:val="nl-NL"/>
        </w:rPr>
        <w:t xml:space="preserve">Công ty áp dụng phương pháp khấu hao đường thẳng đối với tài sản cố định hữu hình. Kế toán TSCĐ hữu hình được phân loại theo nhóm tài sản có cùng tính chất và mục đích sử dụng trong hoạt động sản xuất kinh doanh của Công ty gồm:  </w:t>
      </w:r>
    </w:p>
    <w:p w:rsidR="00715FEA" w:rsidRPr="00273045" w:rsidRDefault="00715FEA" w:rsidP="00715FEA">
      <w:pPr>
        <w:ind w:left="459"/>
        <w:jc w:val="both"/>
        <w:rPr>
          <w:sz w:val="16"/>
          <w:szCs w:val="16"/>
          <w:lang w:val="nl-NL"/>
        </w:rPr>
      </w:pPr>
    </w:p>
    <w:p w:rsidR="00715FEA" w:rsidRPr="00273045" w:rsidRDefault="00715FEA" w:rsidP="00715FEA">
      <w:pPr>
        <w:ind w:left="2880" w:hanging="2523"/>
        <w:rPr>
          <w:b/>
          <w:i/>
          <w:lang w:val="nl-NL"/>
        </w:rPr>
      </w:pPr>
      <w:r w:rsidRPr="00273045">
        <w:rPr>
          <w:b/>
          <w:i/>
          <w:lang w:val="nl-NL"/>
        </w:rPr>
        <w:t xml:space="preserve"> Loại tài sản cố định</w:t>
      </w:r>
      <w:r w:rsidRPr="00273045">
        <w:rPr>
          <w:b/>
          <w:i/>
          <w:lang w:val="nl-NL"/>
        </w:rPr>
        <w:tab/>
      </w:r>
      <w:r w:rsidRPr="00273045">
        <w:rPr>
          <w:b/>
          <w:i/>
          <w:lang w:val="nl-NL"/>
        </w:rPr>
        <w:tab/>
      </w:r>
      <w:r w:rsidRPr="00273045">
        <w:rPr>
          <w:b/>
          <w:i/>
          <w:lang w:val="nl-NL"/>
        </w:rPr>
        <w:tab/>
      </w:r>
      <w:r w:rsidRPr="00273045">
        <w:rPr>
          <w:b/>
          <w:i/>
          <w:lang w:val="nl-NL"/>
        </w:rPr>
        <w:tab/>
        <w:t xml:space="preserve">                                Thời gian khấu hao &lt;năm&gt;</w:t>
      </w:r>
    </w:p>
    <w:p w:rsidR="00715FEA" w:rsidRPr="00273045" w:rsidRDefault="00715FEA" w:rsidP="00715FEA">
      <w:pPr>
        <w:ind w:left="357"/>
        <w:jc w:val="both"/>
        <w:rPr>
          <w:b/>
          <w:i/>
          <w:lang w:val="nl-NL"/>
        </w:rPr>
      </w:pPr>
    </w:p>
    <w:tbl>
      <w:tblPr>
        <w:tblW w:w="0" w:type="auto"/>
        <w:tblInd w:w="250" w:type="dxa"/>
        <w:tblLook w:val="04A0" w:firstRow="1" w:lastRow="0" w:firstColumn="1" w:lastColumn="0" w:noHBand="0" w:noVBand="1"/>
      </w:tblPr>
      <w:tblGrid>
        <w:gridCol w:w="4751"/>
        <w:gridCol w:w="4570"/>
      </w:tblGrid>
      <w:tr w:rsidR="00715FEA" w:rsidRPr="00273045" w:rsidTr="00715FEA">
        <w:tc>
          <w:tcPr>
            <w:tcW w:w="4751" w:type="dxa"/>
          </w:tcPr>
          <w:p w:rsidR="00715FEA" w:rsidRPr="00273045" w:rsidRDefault="00715FEA" w:rsidP="00715FEA">
            <w:pPr>
              <w:numPr>
                <w:ilvl w:val="0"/>
                <w:numId w:val="7"/>
              </w:numPr>
              <w:tabs>
                <w:tab w:val="clear" w:pos="1138"/>
                <w:tab w:val="num" w:pos="287"/>
                <w:tab w:val="num" w:pos="567"/>
              </w:tabs>
              <w:spacing w:after="0" w:line="240" w:lineRule="auto"/>
              <w:ind w:left="567" w:hanging="391"/>
              <w:jc w:val="both"/>
              <w:rPr>
                <w:lang w:val="sv-SE"/>
              </w:rPr>
            </w:pPr>
            <w:r w:rsidRPr="00273045">
              <w:rPr>
                <w:lang w:val="sv-SE"/>
              </w:rPr>
              <w:t xml:space="preserve">   Nhà cửa, vật kiến trúc</w:t>
            </w:r>
          </w:p>
          <w:p w:rsidR="00715FEA" w:rsidRPr="00273045" w:rsidRDefault="00715FEA" w:rsidP="00715FEA">
            <w:pPr>
              <w:ind w:left="567"/>
              <w:jc w:val="both"/>
              <w:rPr>
                <w:sz w:val="10"/>
                <w:szCs w:val="10"/>
                <w:lang w:val="sv-SE"/>
              </w:rPr>
            </w:pPr>
          </w:p>
          <w:p w:rsidR="00715FEA" w:rsidRPr="00273045" w:rsidRDefault="00715FEA" w:rsidP="00715FEA">
            <w:pPr>
              <w:numPr>
                <w:ilvl w:val="0"/>
                <w:numId w:val="7"/>
              </w:numPr>
              <w:tabs>
                <w:tab w:val="clear" w:pos="1138"/>
                <w:tab w:val="num" w:pos="287"/>
                <w:tab w:val="num" w:pos="567"/>
              </w:tabs>
              <w:spacing w:after="0" w:line="240" w:lineRule="auto"/>
              <w:ind w:left="567" w:hanging="391"/>
              <w:jc w:val="both"/>
              <w:rPr>
                <w:lang w:val="sv-SE"/>
              </w:rPr>
            </w:pPr>
            <w:r w:rsidRPr="00273045">
              <w:rPr>
                <w:lang w:val="sv-SE"/>
              </w:rPr>
              <w:t xml:space="preserve">   Máy móc, thiết bị</w:t>
            </w:r>
          </w:p>
          <w:p w:rsidR="00715FEA" w:rsidRPr="00273045" w:rsidRDefault="00715FEA" w:rsidP="00715FEA">
            <w:pPr>
              <w:tabs>
                <w:tab w:val="num" w:pos="287"/>
              </w:tabs>
              <w:ind w:left="567"/>
              <w:jc w:val="both"/>
              <w:rPr>
                <w:sz w:val="10"/>
                <w:szCs w:val="10"/>
                <w:lang w:val="pt-BR"/>
              </w:rPr>
            </w:pPr>
          </w:p>
          <w:p w:rsidR="00715FEA" w:rsidRPr="00273045" w:rsidRDefault="00715FEA" w:rsidP="00715FEA">
            <w:pPr>
              <w:numPr>
                <w:ilvl w:val="0"/>
                <w:numId w:val="7"/>
              </w:numPr>
              <w:tabs>
                <w:tab w:val="clear" w:pos="1138"/>
                <w:tab w:val="num" w:pos="287"/>
                <w:tab w:val="num" w:pos="567"/>
              </w:tabs>
              <w:spacing w:after="0" w:line="240" w:lineRule="auto"/>
              <w:ind w:left="567" w:hanging="391"/>
              <w:jc w:val="both"/>
              <w:rPr>
                <w:lang w:val="pt-BR"/>
              </w:rPr>
            </w:pPr>
            <w:r w:rsidRPr="00273045">
              <w:rPr>
                <w:lang w:val="sv-SE"/>
              </w:rPr>
              <w:t xml:space="preserve">   Phương tiện vận tải</w:t>
            </w:r>
          </w:p>
          <w:p w:rsidR="00715FEA" w:rsidRPr="00273045" w:rsidRDefault="00715FEA" w:rsidP="00715FEA">
            <w:pPr>
              <w:pStyle w:val="ListParagraph"/>
              <w:rPr>
                <w:rFonts w:ascii="Times New Roman" w:hAnsi="Times New Roman"/>
                <w:sz w:val="10"/>
                <w:szCs w:val="10"/>
                <w:lang w:val="pt-BR"/>
              </w:rPr>
            </w:pPr>
          </w:p>
          <w:p w:rsidR="00715FEA" w:rsidRPr="00273045" w:rsidRDefault="00715FEA" w:rsidP="00715FEA">
            <w:pPr>
              <w:numPr>
                <w:ilvl w:val="0"/>
                <w:numId w:val="7"/>
              </w:numPr>
              <w:tabs>
                <w:tab w:val="clear" w:pos="1138"/>
                <w:tab w:val="num" w:pos="287"/>
                <w:tab w:val="num" w:pos="567"/>
              </w:tabs>
              <w:spacing w:after="0" w:line="240" w:lineRule="auto"/>
              <w:ind w:left="567" w:hanging="391"/>
              <w:jc w:val="both"/>
              <w:rPr>
                <w:lang w:val="pt-BR"/>
              </w:rPr>
            </w:pPr>
            <w:r w:rsidRPr="00273045">
              <w:rPr>
                <w:lang w:val="pt-BR"/>
              </w:rPr>
              <w:lastRenderedPageBreak/>
              <w:t xml:space="preserve">   Thiết bị, dụng cụ quản lý</w:t>
            </w:r>
          </w:p>
          <w:p w:rsidR="00715FEA" w:rsidRPr="00273045" w:rsidRDefault="00715FEA" w:rsidP="00715FEA">
            <w:pPr>
              <w:tabs>
                <w:tab w:val="num" w:pos="567"/>
              </w:tabs>
              <w:jc w:val="both"/>
              <w:rPr>
                <w:sz w:val="16"/>
                <w:szCs w:val="16"/>
                <w:lang w:val="pt-BR"/>
              </w:rPr>
            </w:pPr>
          </w:p>
        </w:tc>
        <w:tc>
          <w:tcPr>
            <w:tcW w:w="4570" w:type="dxa"/>
          </w:tcPr>
          <w:p w:rsidR="00715FEA" w:rsidRPr="00273045" w:rsidRDefault="00715FEA" w:rsidP="00715FEA">
            <w:pPr>
              <w:jc w:val="center"/>
              <w:rPr>
                <w:lang w:val="pt-BR"/>
              </w:rPr>
            </w:pPr>
            <w:r w:rsidRPr="00273045">
              <w:rPr>
                <w:lang w:val="pt-BR"/>
              </w:rPr>
              <w:lastRenderedPageBreak/>
              <w:t>25</w:t>
            </w:r>
          </w:p>
          <w:p w:rsidR="00715FEA" w:rsidRPr="00273045" w:rsidRDefault="00715FEA" w:rsidP="00715FEA">
            <w:pPr>
              <w:jc w:val="center"/>
              <w:rPr>
                <w:sz w:val="10"/>
                <w:szCs w:val="10"/>
                <w:lang w:val="pt-BR"/>
              </w:rPr>
            </w:pPr>
          </w:p>
          <w:p w:rsidR="00715FEA" w:rsidRPr="00273045" w:rsidRDefault="00715FEA" w:rsidP="00715FEA">
            <w:pPr>
              <w:jc w:val="center"/>
              <w:rPr>
                <w:lang w:val="pt-BR"/>
              </w:rPr>
            </w:pPr>
            <w:r w:rsidRPr="00273045">
              <w:rPr>
                <w:lang w:val="pt-BR"/>
              </w:rPr>
              <w:t>5</w:t>
            </w:r>
          </w:p>
          <w:p w:rsidR="00715FEA" w:rsidRPr="00273045" w:rsidRDefault="00715FEA" w:rsidP="00715FEA">
            <w:pPr>
              <w:jc w:val="center"/>
              <w:rPr>
                <w:sz w:val="10"/>
                <w:szCs w:val="10"/>
                <w:lang w:val="pt-BR"/>
              </w:rPr>
            </w:pPr>
          </w:p>
          <w:p w:rsidR="00715FEA" w:rsidRPr="00273045" w:rsidRDefault="00715FEA" w:rsidP="00715FEA">
            <w:pPr>
              <w:jc w:val="center"/>
              <w:rPr>
                <w:lang w:val="pt-BR"/>
              </w:rPr>
            </w:pPr>
            <w:r w:rsidRPr="00273045">
              <w:rPr>
                <w:lang w:val="pt-BR"/>
              </w:rPr>
              <w:t>6</w:t>
            </w:r>
          </w:p>
          <w:p w:rsidR="00715FEA" w:rsidRPr="00273045" w:rsidRDefault="00715FEA" w:rsidP="00715FEA">
            <w:pPr>
              <w:jc w:val="center"/>
              <w:rPr>
                <w:sz w:val="10"/>
                <w:szCs w:val="10"/>
                <w:lang w:val="pt-BR"/>
              </w:rPr>
            </w:pPr>
          </w:p>
          <w:p w:rsidR="00715FEA" w:rsidRPr="00273045" w:rsidRDefault="00715FEA" w:rsidP="00715FEA">
            <w:pPr>
              <w:jc w:val="center"/>
              <w:rPr>
                <w:lang w:val="pt-BR"/>
              </w:rPr>
            </w:pPr>
            <w:r w:rsidRPr="00273045">
              <w:rPr>
                <w:lang w:val="pt-BR"/>
              </w:rPr>
              <w:t>3 - 5</w:t>
            </w:r>
          </w:p>
        </w:tc>
      </w:tr>
    </w:tbl>
    <w:p w:rsidR="00715FEA" w:rsidRPr="00273045" w:rsidRDefault="00715FEA" w:rsidP="00715FEA">
      <w:pPr>
        <w:ind w:left="426" w:hanging="426"/>
        <w:jc w:val="both"/>
        <w:rPr>
          <w:b/>
          <w:bCs/>
          <w:i/>
          <w:lang w:val="nl-NL"/>
        </w:rPr>
      </w:pPr>
      <w:r w:rsidRPr="00273045">
        <w:rPr>
          <w:b/>
          <w:bCs/>
          <w:i/>
          <w:lang w:val="nl-NL"/>
        </w:rPr>
        <w:lastRenderedPageBreak/>
        <w:t>5.2</w:t>
      </w:r>
      <w:r w:rsidRPr="00273045">
        <w:rPr>
          <w:b/>
          <w:bCs/>
          <w:i/>
          <w:lang w:val="nl-NL"/>
        </w:rPr>
        <w:tab/>
        <w:t>Nguyên tắc ghi nhận và phương pháp khấu hao TSCĐ vô hình</w:t>
      </w:r>
    </w:p>
    <w:p w:rsidR="00715FEA" w:rsidRPr="00273045" w:rsidRDefault="00715FEA" w:rsidP="00715FEA">
      <w:pPr>
        <w:ind w:left="1440" w:hanging="1014"/>
        <w:jc w:val="both"/>
        <w:rPr>
          <w:b/>
          <w:bCs/>
          <w:i/>
          <w:sz w:val="16"/>
          <w:szCs w:val="16"/>
          <w:lang w:val="nl-NL"/>
        </w:rPr>
      </w:pPr>
    </w:p>
    <w:p w:rsidR="00715FEA" w:rsidRPr="00273045" w:rsidRDefault="00715FEA" w:rsidP="00715FEA">
      <w:pPr>
        <w:ind w:left="426"/>
        <w:jc w:val="both"/>
        <w:rPr>
          <w:lang w:val="nl-NL"/>
        </w:rPr>
      </w:pPr>
      <w:r w:rsidRPr="00273045">
        <w:rPr>
          <w:lang w:val="nl-NL"/>
        </w:rPr>
        <w:t>Tài sản cố định vô hình của Công ty là phần mềm máy tính.</w:t>
      </w:r>
    </w:p>
    <w:p w:rsidR="00715FEA" w:rsidRPr="00273045" w:rsidRDefault="00715FEA" w:rsidP="00715FEA">
      <w:pPr>
        <w:ind w:left="426"/>
        <w:jc w:val="both"/>
        <w:rPr>
          <w:sz w:val="16"/>
          <w:szCs w:val="16"/>
          <w:lang w:val="nl-NL"/>
        </w:rPr>
      </w:pPr>
    </w:p>
    <w:p w:rsidR="00715FEA" w:rsidRPr="00273045" w:rsidRDefault="00715FEA" w:rsidP="00715FEA">
      <w:pPr>
        <w:ind w:left="426"/>
        <w:jc w:val="both"/>
        <w:rPr>
          <w:lang w:val="nl-NL"/>
        </w:rPr>
      </w:pPr>
      <w:r w:rsidRPr="00273045">
        <w:rPr>
          <w:lang w:val="nl-NL"/>
        </w:rPr>
        <w:t xml:space="preserve">Việc ghi nhận Tài sản cố định vô hình và Khấu hao tài sản cố định thực hiện theo Chuẩn mực kế toán Việt Nam số 04 - Tài sản cố định vô hình, </w:t>
      </w:r>
      <w:r w:rsidRPr="00273045">
        <w:rPr>
          <w:lang w:val="es-MX"/>
        </w:rPr>
        <w:t>Thông tư số 200/2014/TT-BTC ngày 22/12/2014 của Bộ Tài chính hướng dẫn chế độ kế toán doanh nghiệp</w:t>
      </w:r>
      <w:r w:rsidRPr="00273045">
        <w:rPr>
          <w:lang w:val="nl-NL"/>
        </w:rPr>
        <w:t xml:space="preserve"> và Thông tư 45/2013/TT - BTC ngày 25 tháng 04 năm 2013 hướng dẫn Chế độ quản lý, sử dụng và trích khấu hao tài sản cố định.</w:t>
      </w:r>
    </w:p>
    <w:p w:rsidR="00715FEA" w:rsidRPr="00273045" w:rsidRDefault="00715FEA" w:rsidP="00715FEA">
      <w:pPr>
        <w:ind w:left="426"/>
        <w:jc w:val="both"/>
        <w:rPr>
          <w:sz w:val="16"/>
          <w:szCs w:val="16"/>
          <w:lang w:val="nl-NL"/>
        </w:rPr>
      </w:pPr>
    </w:p>
    <w:p w:rsidR="00715FEA" w:rsidRPr="00273045" w:rsidRDefault="00715FEA" w:rsidP="00715FEA">
      <w:pPr>
        <w:ind w:left="454"/>
        <w:jc w:val="both"/>
        <w:rPr>
          <w:lang w:val="nl-NL"/>
        </w:rPr>
      </w:pPr>
      <w:r w:rsidRPr="00273045">
        <w:rPr>
          <w:lang w:val="nl-NL"/>
        </w:rPr>
        <w:t>Tài sản cố định vô hình được ghi nhận theo nguyên giá, được phản ánh trên Bảng cân đối kế toán theo các chỉ tiêu nguyên giá, hao mòn luỹ kế và giá trị còn lại.</w:t>
      </w:r>
    </w:p>
    <w:p w:rsidR="00715FEA" w:rsidRPr="00273045" w:rsidRDefault="00715FEA" w:rsidP="00715FEA">
      <w:pPr>
        <w:ind w:left="454"/>
        <w:jc w:val="both"/>
        <w:rPr>
          <w:sz w:val="16"/>
          <w:szCs w:val="16"/>
          <w:lang w:val="nl-NL"/>
        </w:rPr>
      </w:pPr>
    </w:p>
    <w:p w:rsidR="00715FEA" w:rsidRPr="00273045" w:rsidRDefault="00715FEA" w:rsidP="00715FEA">
      <w:pPr>
        <w:ind w:left="426"/>
        <w:jc w:val="both"/>
        <w:rPr>
          <w:lang w:val="nl-NL"/>
        </w:rPr>
      </w:pPr>
      <w:r w:rsidRPr="00273045">
        <w:rPr>
          <w:lang w:val="nl-NL"/>
        </w:rPr>
        <w:t>Công ty áp dụng phương pháp khấu hao đường thẳng đối với tài sản cố định vô hình. TSCĐ vô hình được phân loại theo nhóm tài sản có cùng tính chất và mục đích sử dụng trong hoạt động sản xuất kinh doanh của Công ty gồm:</w:t>
      </w:r>
    </w:p>
    <w:p w:rsidR="00715FEA" w:rsidRPr="00273045" w:rsidRDefault="00715FEA" w:rsidP="00715FEA">
      <w:pPr>
        <w:ind w:left="426"/>
        <w:jc w:val="both"/>
        <w:rPr>
          <w:sz w:val="16"/>
          <w:szCs w:val="16"/>
          <w:lang w:val="nl-NL"/>
        </w:rPr>
      </w:pPr>
    </w:p>
    <w:p w:rsidR="00715FEA" w:rsidRPr="00273045" w:rsidRDefault="00715FEA" w:rsidP="00715FEA">
      <w:pPr>
        <w:ind w:left="2880" w:hanging="2313"/>
        <w:rPr>
          <w:b/>
          <w:i/>
          <w:lang w:val="nl-NL"/>
        </w:rPr>
      </w:pPr>
      <w:r w:rsidRPr="00273045">
        <w:rPr>
          <w:b/>
          <w:i/>
          <w:lang w:val="nl-NL"/>
        </w:rPr>
        <w:t>Loại tài sản cố định</w:t>
      </w:r>
      <w:r w:rsidRPr="00273045">
        <w:rPr>
          <w:b/>
          <w:i/>
          <w:lang w:val="nl-NL"/>
        </w:rPr>
        <w:tab/>
      </w:r>
      <w:r w:rsidRPr="00273045">
        <w:rPr>
          <w:b/>
          <w:i/>
          <w:lang w:val="nl-NL"/>
        </w:rPr>
        <w:tab/>
      </w:r>
      <w:r w:rsidRPr="00273045">
        <w:rPr>
          <w:b/>
          <w:i/>
          <w:lang w:val="nl-NL"/>
        </w:rPr>
        <w:tab/>
      </w:r>
      <w:r w:rsidRPr="00273045">
        <w:rPr>
          <w:b/>
          <w:i/>
          <w:lang w:val="nl-NL"/>
        </w:rPr>
        <w:tab/>
        <w:t xml:space="preserve">                                  Thời gian khấu hao &lt;năm&gt;</w:t>
      </w:r>
    </w:p>
    <w:p w:rsidR="00715FEA" w:rsidRPr="00273045" w:rsidRDefault="00715FEA" w:rsidP="00715FEA">
      <w:pPr>
        <w:ind w:left="357"/>
        <w:jc w:val="both"/>
        <w:rPr>
          <w:b/>
          <w:i/>
          <w:sz w:val="20"/>
          <w:szCs w:val="20"/>
          <w:lang w:val="nl-NL"/>
        </w:rPr>
      </w:pPr>
    </w:p>
    <w:tbl>
      <w:tblPr>
        <w:tblW w:w="0" w:type="auto"/>
        <w:tblInd w:w="250" w:type="dxa"/>
        <w:tblLook w:val="04A0" w:firstRow="1" w:lastRow="0" w:firstColumn="1" w:lastColumn="0" w:noHBand="0" w:noVBand="1"/>
      </w:tblPr>
      <w:tblGrid>
        <w:gridCol w:w="4751"/>
        <w:gridCol w:w="4570"/>
      </w:tblGrid>
      <w:tr w:rsidR="00715FEA" w:rsidRPr="00273045" w:rsidTr="00715FEA">
        <w:tc>
          <w:tcPr>
            <w:tcW w:w="4751" w:type="dxa"/>
          </w:tcPr>
          <w:p w:rsidR="00715FEA" w:rsidRPr="00273045" w:rsidRDefault="00715FEA" w:rsidP="00715FEA">
            <w:pPr>
              <w:numPr>
                <w:ilvl w:val="0"/>
                <w:numId w:val="7"/>
              </w:numPr>
              <w:tabs>
                <w:tab w:val="clear" w:pos="1138"/>
                <w:tab w:val="num" w:pos="287"/>
                <w:tab w:val="num" w:pos="567"/>
              </w:tabs>
              <w:spacing w:after="0" w:line="240" w:lineRule="auto"/>
              <w:ind w:left="567" w:hanging="250"/>
              <w:jc w:val="both"/>
              <w:rPr>
                <w:i/>
                <w:lang w:val="pt-BR"/>
              </w:rPr>
            </w:pPr>
            <w:r w:rsidRPr="00273045">
              <w:rPr>
                <w:lang w:val="sv-SE"/>
              </w:rPr>
              <w:t>Phần mềm máy tính</w:t>
            </w:r>
          </w:p>
        </w:tc>
        <w:tc>
          <w:tcPr>
            <w:tcW w:w="4570" w:type="dxa"/>
          </w:tcPr>
          <w:p w:rsidR="00715FEA" w:rsidRPr="00273045" w:rsidRDefault="00715FEA" w:rsidP="00715FEA">
            <w:pPr>
              <w:jc w:val="center"/>
              <w:rPr>
                <w:i/>
                <w:lang w:val="pt-BR"/>
              </w:rPr>
            </w:pPr>
            <w:r w:rsidRPr="00273045">
              <w:rPr>
                <w:lang w:val="pt-BR"/>
              </w:rPr>
              <w:t>3</w:t>
            </w:r>
          </w:p>
        </w:tc>
      </w:tr>
    </w:tbl>
    <w:p w:rsidR="00715FEA" w:rsidRPr="00273045" w:rsidRDefault="00715FEA" w:rsidP="00715FEA">
      <w:pPr>
        <w:ind w:left="1440"/>
        <w:jc w:val="both"/>
        <w:rPr>
          <w:b/>
          <w:bCs/>
          <w:sz w:val="16"/>
          <w:szCs w:val="16"/>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lang w:val="nl-NL"/>
        </w:rPr>
        <w:t>Nguyên tắc ghi nhận và phân bổ các khoản chi phí trả trước</w:t>
      </w:r>
    </w:p>
    <w:p w:rsidR="00715FEA" w:rsidRPr="00273045" w:rsidRDefault="00715FEA" w:rsidP="00715FEA">
      <w:pPr>
        <w:jc w:val="both"/>
        <w:rPr>
          <w:b/>
          <w:bCs/>
          <w:sz w:val="20"/>
          <w:szCs w:val="20"/>
          <w:lang w:val="fr-FR"/>
        </w:rPr>
      </w:pPr>
    </w:p>
    <w:p w:rsidR="00715FEA" w:rsidRPr="00273045" w:rsidRDefault="00715FEA" w:rsidP="00715FEA">
      <w:pPr>
        <w:ind w:left="454"/>
        <w:jc w:val="both"/>
        <w:rPr>
          <w:lang w:val="pt-BR"/>
        </w:rPr>
      </w:pPr>
      <w:r w:rsidRPr="00273045">
        <w:rPr>
          <w:lang w:val="fr-FR"/>
        </w:rPr>
        <w:t>Chi phí trả trước bao gồm các chi phí thực tế đã phát sinh nhưng có liên quan đến kết quả hoạt động sản xuất kinh doanh của nhiều kỳ kế toán. Chi phí trả trước bao gồm khoản trả trước tiền thuê đất, chi phí mua keg bia và các khoản chi phí trả trước khác</w:t>
      </w:r>
      <w:r w:rsidRPr="00273045">
        <w:rPr>
          <w:lang w:val="pt-BR"/>
        </w:rPr>
        <w:t xml:space="preserve">. </w:t>
      </w:r>
      <w:r w:rsidRPr="00273045">
        <w:rPr>
          <w:lang w:val="fr-FR"/>
        </w:rPr>
        <w:t>các khoản chi phí trả trước khác bao gồm giá trị công cụ, dụng cụ, linh kiện loại nhỏ đã xuất dùng. Các chi phí này được vốn hóa dưới hình thức các khoản trả trước và được phân bổ vào Báo cáo kết quả hoạt động kinh doanh, sử dụng phương pháp đường thẳng theo các quy định kế toán hiện hành. Riêng tiền thuê đất trả trước được phân bổ theo thời hạn thuê.</w:t>
      </w:r>
    </w:p>
    <w:p w:rsidR="00715FEA" w:rsidRPr="00273045" w:rsidRDefault="00715FEA" w:rsidP="00715FEA">
      <w:pPr>
        <w:ind w:left="456" w:right="-11"/>
        <w:jc w:val="both"/>
        <w:rPr>
          <w:sz w:val="20"/>
          <w:szCs w:val="20"/>
          <w:lang w:val="pt-BR"/>
        </w:rPr>
      </w:pPr>
    </w:p>
    <w:p w:rsidR="00715FEA" w:rsidRPr="00273045" w:rsidRDefault="00715FEA" w:rsidP="00715FEA">
      <w:pPr>
        <w:numPr>
          <w:ilvl w:val="1"/>
          <w:numId w:val="5"/>
        </w:numPr>
        <w:tabs>
          <w:tab w:val="clear" w:pos="1440"/>
          <w:tab w:val="num" w:pos="456"/>
        </w:tabs>
        <w:spacing w:after="0" w:line="240" w:lineRule="auto"/>
        <w:ind w:hanging="1440"/>
        <w:jc w:val="both"/>
        <w:rPr>
          <w:b/>
          <w:lang w:val="pt-BR"/>
        </w:rPr>
      </w:pPr>
      <w:r w:rsidRPr="00273045">
        <w:rPr>
          <w:b/>
        </w:rPr>
        <w:t>Nguyên tắc kế toán nợ phải trả</w:t>
      </w:r>
    </w:p>
    <w:p w:rsidR="00715FEA" w:rsidRPr="00273045" w:rsidRDefault="00715FEA" w:rsidP="00715FEA">
      <w:pPr>
        <w:ind w:left="426"/>
        <w:jc w:val="both"/>
      </w:pPr>
    </w:p>
    <w:p w:rsidR="00715FEA" w:rsidRPr="00273045" w:rsidRDefault="00715FEA" w:rsidP="00715FEA">
      <w:pPr>
        <w:ind w:left="426"/>
        <w:jc w:val="both"/>
      </w:pPr>
      <w:r w:rsidRPr="00273045">
        <w:lastRenderedPageBreak/>
        <w:t>Nợ phải trả bao gồm các khoản phải trả người bán và phải trả khác. Nợ phải trả không thấp hơn giá trị phải thanh toán.</w:t>
      </w:r>
    </w:p>
    <w:p w:rsidR="00715FEA" w:rsidRPr="00273045" w:rsidRDefault="00715FEA" w:rsidP="00715FEA">
      <w:pPr>
        <w:ind w:left="426"/>
        <w:jc w:val="both"/>
      </w:pPr>
    </w:p>
    <w:p w:rsidR="00715FEA" w:rsidRPr="00273045" w:rsidRDefault="00715FEA" w:rsidP="00715FEA">
      <w:pPr>
        <w:ind w:left="426"/>
        <w:jc w:val="both"/>
      </w:pPr>
      <w:r w:rsidRPr="00273045">
        <w:t>Phải trả người bán gồm các khoản phải trả mang tính chất thương mại phát sinh từ giao dịch mua hàng hóa, dịch vụ, tài sản. Phải trả khác gồm các khoản phải trả không có tính thương mại, không liên quan đến giao dịch mua bán, cung cấp hàng hóa dịch vụ.</w:t>
      </w:r>
    </w:p>
    <w:p w:rsidR="00715FEA" w:rsidRPr="00273045" w:rsidRDefault="00715FEA" w:rsidP="00715FEA">
      <w:pPr>
        <w:ind w:left="426"/>
        <w:jc w:val="both"/>
      </w:pPr>
    </w:p>
    <w:p w:rsidR="00715FEA" w:rsidRPr="00273045" w:rsidRDefault="00715FEA" w:rsidP="00715FEA">
      <w:pPr>
        <w:ind w:left="426"/>
        <w:jc w:val="both"/>
      </w:pPr>
      <w:r w:rsidRPr="00273045">
        <w:t>Các khoản nợ phải trả được theo dõi chi tiết theo kỳ hạn phải trả, đối tượng phải trả, loại nguyên tệ phải trả và các yếu tố theo nhu cầu quản lý của doanh nghiệp.</w:t>
      </w:r>
    </w:p>
    <w:p w:rsidR="00715FEA" w:rsidRPr="00273045" w:rsidRDefault="00715FEA" w:rsidP="00715FEA">
      <w:pPr>
        <w:ind w:left="426"/>
        <w:jc w:val="both"/>
      </w:pPr>
    </w:p>
    <w:p w:rsidR="00715FEA" w:rsidRPr="00273045" w:rsidRDefault="00715FEA" w:rsidP="00715FEA">
      <w:pPr>
        <w:ind w:left="426"/>
        <w:jc w:val="both"/>
      </w:pPr>
      <w:r w:rsidRPr="00273045">
        <w:t>Công ty không có các khoản nợ phải trả có gốc ngoại tệ.</w:t>
      </w:r>
    </w:p>
    <w:p w:rsidR="00715FEA" w:rsidRPr="00273045" w:rsidRDefault="00715FEA" w:rsidP="00715FEA">
      <w:pPr>
        <w:jc w:val="both"/>
        <w:rPr>
          <w:b/>
          <w:lang w:val="pt-BR"/>
        </w:rPr>
      </w:pPr>
    </w:p>
    <w:p w:rsidR="00715FEA" w:rsidRPr="00273045" w:rsidRDefault="00715FEA" w:rsidP="00715FEA">
      <w:pPr>
        <w:numPr>
          <w:ilvl w:val="1"/>
          <w:numId w:val="5"/>
        </w:numPr>
        <w:tabs>
          <w:tab w:val="clear" w:pos="1440"/>
          <w:tab w:val="num" w:pos="456"/>
        </w:tabs>
        <w:spacing w:after="0" w:line="240" w:lineRule="auto"/>
        <w:ind w:hanging="1440"/>
        <w:jc w:val="both"/>
        <w:rPr>
          <w:b/>
          <w:lang w:val="pt-BR"/>
        </w:rPr>
      </w:pPr>
      <w:r w:rsidRPr="00273045">
        <w:rPr>
          <w:b/>
          <w:lang w:val="pt-BR"/>
        </w:rPr>
        <w:t>Nguyên tắc ghi nhận chi phí phải trả</w:t>
      </w:r>
    </w:p>
    <w:p w:rsidR="00715FEA" w:rsidRPr="00273045" w:rsidRDefault="00715FEA" w:rsidP="00715FEA">
      <w:pPr>
        <w:ind w:left="456" w:right="-11"/>
        <w:jc w:val="both"/>
        <w:rPr>
          <w:sz w:val="20"/>
          <w:szCs w:val="20"/>
          <w:lang w:val="pt-BR"/>
        </w:rPr>
      </w:pPr>
    </w:p>
    <w:p w:rsidR="00715FEA" w:rsidRPr="00273045" w:rsidRDefault="00715FEA" w:rsidP="00715FEA">
      <w:pPr>
        <w:ind w:left="456" w:right="-11"/>
        <w:jc w:val="both"/>
        <w:rPr>
          <w:lang w:val="pt-BR"/>
        </w:rPr>
      </w:pPr>
      <w:r w:rsidRPr="00273045">
        <w:rPr>
          <w:lang w:val="pt-BR"/>
        </w:rPr>
        <w:t xml:space="preserve">Chi phí phải trả bao gồm các chi phí thuê văn phòng, kho bãi...phục vụ quá trình kinh doanh đã phát sinh nhưng </w:t>
      </w:r>
      <w:r w:rsidRPr="00273045">
        <w:t>thực tế chưa chi nhưng được ước tính để ghi nhận vào chi phí sản xuất, kinh doanh của kỳ báo cáo</w:t>
      </w:r>
      <w:r w:rsidRPr="00273045">
        <w:rPr>
          <w:lang w:val="pt-BR"/>
        </w:rPr>
        <w:t xml:space="preserve">. Các chi phí này được ghi nhận dựa trên Hợp đồng kinh tế nhằm đảm bảo nguyên tắc phù hợp giữa doanh thu và chi phí. </w:t>
      </w:r>
    </w:p>
    <w:p w:rsidR="00715FEA" w:rsidRPr="00273045" w:rsidRDefault="00715FEA" w:rsidP="00715FEA">
      <w:pPr>
        <w:ind w:left="456" w:right="-11"/>
        <w:jc w:val="both"/>
        <w:rPr>
          <w:sz w:val="20"/>
          <w:szCs w:val="20"/>
          <w:lang w:val="pt-BR"/>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Nguyên tắc ghi nhận vốn chủ sở hữu</w:t>
      </w:r>
    </w:p>
    <w:p w:rsidR="00715FEA" w:rsidRPr="00273045" w:rsidRDefault="00715FEA" w:rsidP="00715FEA">
      <w:pPr>
        <w:ind w:left="454"/>
        <w:jc w:val="both"/>
        <w:rPr>
          <w:sz w:val="20"/>
          <w:szCs w:val="20"/>
          <w:lang w:val="fr-FR"/>
        </w:rPr>
      </w:pPr>
    </w:p>
    <w:p w:rsidR="00715FEA" w:rsidRPr="00273045" w:rsidRDefault="00715FEA" w:rsidP="00715FEA">
      <w:pPr>
        <w:ind w:left="454"/>
        <w:jc w:val="both"/>
        <w:rPr>
          <w:lang w:val="fr-FR"/>
        </w:rPr>
      </w:pPr>
      <w:r w:rsidRPr="00273045">
        <w:rPr>
          <w:lang w:val="fr-FR"/>
        </w:rPr>
        <w:t>Vốn đầu tư của chủ sở hữu của Công ty được ghi nhận theo số vốn thực góp của chủ sở hữu.</w:t>
      </w:r>
    </w:p>
    <w:p w:rsidR="00715FEA" w:rsidRPr="00273045" w:rsidRDefault="00715FEA" w:rsidP="00715FEA">
      <w:pPr>
        <w:ind w:left="454"/>
        <w:jc w:val="both"/>
        <w:rPr>
          <w:sz w:val="20"/>
          <w:szCs w:val="20"/>
          <w:lang w:val="fr-FR"/>
        </w:rPr>
      </w:pPr>
    </w:p>
    <w:p w:rsidR="00715FEA" w:rsidRPr="00273045" w:rsidRDefault="00715FEA" w:rsidP="00715FEA">
      <w:pPr>
        <w:ind w:left="454"/>
        <w:jc w:val="both"/>
        <w:rPr>
          <w:lang w:val="fr-FR"/>
        </w:rPr>
      </w:pPr>
      <w:r w:rsidRPr="00273045">
        <w:rPr>
          <w:lang w:val="fr-FR"/>
        </w:rPr>
        <w:t xml:space="preserve">Lợi nhuận sau thuế chưa phân phối là số lợi nhuận (lãi) từ hoạt động của doanh nghiệp. </w:t>
      </w:r>
    </w:p>
    <w:p w:rsidR="00715FEA" w:rsidRPr="00273045" w:rsidRDefault="00715FEA" w:rsidP="00715FEA">
      <w:pPr>
        <w:ind w:left="454"/>
        <w:jc w:val="both"/>
        <w:rPr>
          <w:sz w:val="20"/>
          <w:szCs w:val="20"/>
          <w:lang w:val="fr-FR"/>
        </w:rPr>
      </w:pPr>
    </w:p>
    <w:p w:rsidR="00715FEA" w:rsidRPr="00273045" w:rsidRDefault="00715FEA" w:rsidP="00715FEA">
      <w:pPr>
        <w:ind w:left="454"/>
        <w:jc w:val="both"/>
        <w:rPr>
          <w:bCs/>
          <w:iCs/>
        </w:rPr>
      </w:pPr>
      <w:r w:rsidRPr="00273045">
        <w:t xml:space="preserve">Nguyên tắc phân phối lợi nhuận, cổ tức: Công ty thực hiện việc phân phối lợi nhuận, chia cổ tức theo </w:t>
      </w:r>
      <w:r w:rsidRPr="00273045">
        <w:rPr>
          <w:bCs/>
          <w:iCs/>
        </w:rPr>
        <w:t>Nghị quyết đại hội đồng cổ đông số 01/NQ-ĐHĐCĐ.HAT ngày 14/04/2015. Theo đó, mức chia cổ tức là 30% vốn điều lệ, trích quỹ đầu tư phát triển bằng 38,17%, quỹ khen thưởng phúc lợi bằng 15% và quỹ thưởng ban điều hành, quỹ an sinh, thù lao HĐQT, BKS…bằng 2,74% lợi nhuận sau thuế.</w:t>
      </w:r>
    </w:p>
    <w:p w:rsidR="00715FEA" w:rsidRPr="00273045" w:rsidRDefault="00715FEA" w:rsidP="00715FEA">
      <w:pPr>
        <w:ind w:left="1440"/>
        <w:jc w:val="both"/>
        <w:rPr>
          <w:b/>
          <w:bCs/>
          <w:sz w:val="20"/>
          <w:szCs w:val="20"/>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Nguyên tắc và phương pháp ghi nhận doanh thu, thu nhập khác</w:t>
      </w:r>
    </w:p>
    <w:p w:rsidR="00715FEA" w:rsidRPr="00273045" w:rsidRDefault="00715FEA" w:rsidP="00715FEA">
      <w:pPr>
        <w:rPr>
          <w:b/>
          <w:bCs/>
          <w:sz w:val="20"/>
          <w:szCs w:val="20"/>
          <w:lang w:val="fr-FR"/>
        </w:rPr>
      </w:pPr>
    </w:p>
    <w:p w:rsidR="00715FEA" w:rsidRPr="00273045" w:rsidRDefault="00715FEA" w:rsidP="00715FEA">
      <w:pPr>
        <w:ind w:left="426"/>
        <w:jc w:val="both"/>
        <w:rPr>
          <w:lang w:val="pt-BR"/>
        </w:rPr>
      </w:pPr>
      <w:r w:rsidRPr="00273045">
        <w:rPr>
          <w:lang w:val="pt-BR"/>
        </w:rPr>
        <w:t>Doanh thu của Công ty là doanh thu từ hoạt động bán hàng hóa (bia hơi, bia chai...), cung cấp dịch vụ cho thuê kho bãi, bốc xếp hàng hóa, doanh thu từ lãi tiền gửi ngân hàng và thu nhập khác.</w:t>
      </w:r>
    </w:p>
    <w:p w:rsidR="00715FEA" w:rsidRPr="00273045" w:rsidRDefault="00715FEA" w:rsidP="00715FEA">
      <w:pPr>
        <w:pStyle w:val="BodyTextIndent"/>
        <w:ind w:left="426"/>
        <w:rPr>
          <w:rFonts w:ascii="Times New Roman" w:hAnsi="Times New Roman"/>
          <w:sz w:val="22"/>
          <w:szCs w:val="22"/>
        </w:rPr>
      </w:pPr>
    </w:p>
    <w:p w:rsidR="00715FEA" w:rsidRPr="00273045" w:rsidRDefault="00715FEA" w:rsidP="00715FEA">
      <w:pPr>
        <w:pStyle w:val="BodyTextIndent"/>
        <w:ind w:left="426"/>
        <w:rPr>
          <w:rFonts w:ascii="Times New Roman" w:hAnsi="Times New Roman"/>
          <w:sz w:val="22"/>
          <w:szCs w:val="22"/>
        </w:rPr>
      </w:pPr>
      <w:r w:rsidRPr="00273045">
        <w:rPr>
          <w:rFonts w:ascii="Times New Roman" w:hAnsi="Times New Roman"/>
          <w:sz w:val="22"/>
          <w:szCs w:val="22"/>
        </w:rPr>
        <w:t>Doanh thu bán hàng được ghi nhận khi đồng thời thỏa mãn tất cả năm (5) điều kiện sau:</w:t>
      </w:r>
    </w:p>
    <w:p w:rsidR="00715FEA" w:rsidRPr="00273045" w:rsidRDefault="00715FEA" w:rsidP="00715FEA">
      <w:pPr>
        <w:pStyle w:val="BodyTextIndent"/>
        <w:ind w:left="426"/>
        <w:rPr>
          <w:rFonts w:ascii="Times New Roman" w:hAnsi="Times New Roman"/>
          <w:sz w:val="22"/>
          <w:szCs w:val="22"/>
        </w:rPr>
      </w:pPr>
    </w:p>
    <w:p w:rsidR="00715FEA" w:rsidRPr="00273045" w:rsidRDefault="00715FEA" w:rsidP="00715FEA">
      <w:pPr>
        <w:numPr>
          <w:ilvl w:val="0"/>
          <w:numId w:val="8"/>
        </w:numPr>
        <w:spacing w:after="0" w:line="240" w:lineRule="auto"/>
        <w:ind w:left="851" w:hanging="425"/>
        <w:jc w:val="both"/>
        <w:rPr>
          <w:lang w:val="nl-NL"/>
        </w:rPr>
      </w:pPr>
      <w:r w:rsidRPr="00273045">
        <w:rPr>
          <w:lang w:val="nl-NL"/>
        </w:rPr>
        <w:t>Công ty đã chuyển giao phần lớn rủi ro và lợi ích gắn liền với quyền sở hữu sản phẩm hoặc hàng hóa cho người mua;</w:t>
      </w:r>
    </w:p>
    <w:p w:rsidR="00715FEA" w:rsidRPr="00273045" w:rsidRDefault="00715FEA" w:rsidP="00715FEA">
      <w:pPr>
        <w:numPr>
          <w:ilvl w:val="0"/>
          <w:numId w:val="8"/>
        </w:numPr>
        <w:spacing w:after="0" w:line="240" w:lineRule="auto"/>
        <w:ind w:left="851" w:hanging="425"/>
        <w:jc w:val="both"/>
        <w:rPr>
          <w:lang w:val="nl-NL"/>
        </w:rPr>
      </w:pPr>
      <w:r w:rsidRPr="00273045">
        <w:rPr>
          <w:lang w:val="nl-NL"/>
        </w:rPr>
        <w:t>Công ty không còn nắm giữ quyền quản lý hàng hóa như người sở hữu hàng hóa hoặc quyền kiểm soát hàng hóa;</w:t>
      </w:r>
    </w:p>
    <w:p w:rsidR="00715FEA" w:rsidRPr="00273045" w:rsidRDefault="00715FEA" w:rsidP="00715FEA">
      <w:pPr>
        <w:numPr>
          <w:ilvl w:val="0"/>
          <w:numId w:val="8"/>
        </w:numPr>
        <w:spacing w:after="0" w:line="240" w:lineRule="auto"/>
        <w:ind w:left="851" w:hanging="425"/>
        <w:jc w:val="both"/>
        <w:rPr>
          <w:lang w:val="nl-NL"/>
        </w:rPr>
      </w:pPr>
      <w:r w:rsidRPr="00273045">
        <w:rPr>
          <w:lang w:val="nl-NL"/>
        </w:rPr>
        <w:t>Doanh thu được xác định tương đối chắc chắn;</w:t>
      </w:r>
    </w:p>
    <w:p w:rsidR="00715FEA" w:rsidRPr="00273045" w:rsidRDefault="00715FEA" w:rsidP="00715FEA">
      <w:pPr>
        <w:numPr>
          <w:ilvl w:val="0"/>
          <w:numId w:val="8"/>
        </w:numPr>
        <w:spacing w:after="0" w:line="240" w:lineRule="auto"/>
        <w:ind w:left="851" w:hanging="425"/>
        <w:jc w:val="both"/>
        <w:rPr>
          <w:lang w:val="nl-NL"/>
        </w:rPr>
      </w:pPr>
      <w:r w:rsidRPr="00273045">
        <w:rPr>
          <w:lang w:val="nl-NL"/>
        </w:rPr>
        <w:t>Công ty sẽ thu được lợi ích kinh tế từ giao dịch bán hàng; và</w:t>
      </w:r>
    </w:p>
    <w:p w:rsidR="00715FEA" w:rsidRPr="00273045" w:rsidRDefault="00715FEA" w:rsidP="00715FEA">
      <w:pPr>
        <w:ind w:left="851" w:hanging="425"/>
        <w:jc w:val="both"/>
        <w:rPr>
          <w:lang w:val="nl-NL"/>
        </w:rPr>
      </w:pPr>
      <w:r w:rsidRPr="00273045">
        <w:rPr>
          <w:lang w:val="nl-NL"/>
        </w:rPr>
        <w:t xml:space="preserve">(e) </w:t>
      </w:r>
      <w:r w:rsidRPr="00273045">
        <w:rPr>
          <w:lang w:val="nl-NL"/>
        </w:rPr>
        <w:tab/>
        <w:t>Xác định được chi phí liên quan đến giao dịch bán hàng.</w:t>
      </w:r>
    </w:p>
    <w:p w:rsidR="00715FEA" w:rsidRPr="00273045" w:rsidRDefault="00715FEA" w:rsidP="00715FEA">
      <w:pPr>
        <w:ind w:left="426"/>
        <w:jc w:val="both"/>
        <w:rPr>
          <w:lang w:val="nl-NL"/>
        </w:rPr>
      </w:pPr>
    </w:p>
    <w:p w:rsidR="00715FEA" w:rsidRPr="00273045" w:rsidRDefault="00715FEA" w:rsidP="00715FEA">
      <w:pPr>
        <w:ind w:left="426"/>
        <w:jc w:val="both"/>
        <w:rPr>
          <w:lang w:val="nl-NL"/>
        </w:rPr>
      </w:pPr>
      <w:r w:rsidRPr="00273045">
        <w:rPr>
          <w:lang w:val="nl-NL"/>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715FEA" w:rsidRPr="00273045" w:rsidRDefault="00715FEA" w:rsidP="00715FEA">
      <w:pPr>
        <w:ind w:left="426"/>
        <w:jc w:val="both"/>
        <w:rPr>
          <w:lang w:val="nl-NL"/>
        </w:rPr>
      </w:pPr>
    </w:p>
    <w:p w:rsidR="00715FEA" w:rsidRPr="00273045" w:rsidRDefault="00715FEA" w:rsidP="00715FEA">
      <w:pPr>
        <w:ind w:left="851" w:hanging="425"/>
        <w:jc w:val="both"/>
        <w:rPr>
          <w:lang w:val="nl-NL"/>
        </w:rPr>
      </w:pPr>
      <w:r w:rsidRPr="00273045">
        <w:rPr>
          <w:lang w:val="nl-NL"/>
        </w:rPr>
        <w:t>(a)</w:t>
      </w:r>
      <w:r w:rsidRPr="00273045">
        <w:rPr>
          <w:lang w:val="nl-NL"/>
        </w:rPr>
        <w:tab/>
        <w:t>Doanh thu được xác định tương đối chắc chắn;</w:t>
      </w:r>
    </w:p>
    <w:p w:rsidR="00715FEA" w:rsidRPr="00273045" w:rsidRDefault="00715FEA" w:rsidP="00715FEA">
      <w:pPr>
        <w:ind w:left="851" w:hanging="425"/>
        <w:jc w:val="both"/>
        <w:rPr>
          <w:lang w:val="nl-NL"/>
        </w:rPr>
      </w:pPr>
      <w:r w:rsidRPr="00273045">
        <w:rPr>
          <w:lang w:val="nl-NL"/>
        </w:rPr>
        <w:t xml:space="preserve">(b) </w:t>
      </w:r>
      <w:r w:rsidRPr="00273045">
        <w:rPr>
          <w:lang w:val="nl-NL"/>
        </w:rPr>
        <w:tab/>
        <w:t>Có khả năng thu được lợi ích kinh tế từ giao dịch cung cấp dịch vụ đó;</w:t>
      </w:r>
    </w:p>
    <w:p w:rsidR="00715FEA" w:rsidRPr="00273045" w:rsidRDefault="00715FEA" w:rsidP="00715FEA">
      <w:pPr>
        <w:ind w:left="851" w:hanging="425"/>
        <w:jc w:val="both"/>
        <w:rPr>
          <w:lang w:val="nl-NL"/>
        </w:rPr>
      </w:pPr>
      <w:r w:rsidRPr="00273045">
        <w:rPr>
          <w:lang w:val="nl-NL"/>
        </w:rPr>
        <w:t xml:space="preserve">(c) </w:t>
      </w:r>
      <w:r w:rsidRPr="00273045">
        <w:rPr>
          <w:lang w:val="nl-NL"/>
        </w:rPr>
        <w:tab/>
        <w:t>Xác định được phần công việc đã hoàn thành tại ngày của Bảng cân đối kế toán; và</w:t>
      </w:r>
    </w:p>
    <w:p w:rsidR="00715FEA" w:rsidRPr="00273045" w:rsidRDefault="00715FEA" w:rsidP="00715FEA">
      <w:pPr>
        <w:ind w:left="851" w:hanging="425"/>
        <w:jc w:val="both"/>
        <w:rPr>
          <w:lang w:val="nl-NL"/>
        </w:rPr>
      </w:pPr>
      <w:r w:rsidRPr="00273045">
        <w:rPr>
          <w:lang w:val="nl-NL"/>
        </w:rPr>
        <w:t xml:space="preserve">(d) </w:t>
      </w:r>
      <w:r w:rsidRPr="00273045">
        <w:rPr>
          <w:lang w:val="nl-NL"/>
        </w:rPr>
        <w:tab/>
        <w:t>Xác định được chi phí phát sinh cho giao dịch và chi phí để hoàn thành giao dịch cung cấp dịch vụ đó.</w:t>
      </w:r>
    </w:p>
    <w:p w:rsidR="00715FEA" w:rsidRPr="00273045" w:rsidRDefault="00715FEA" w:rsidP="00715FEA">
      <w:pPr>
        <w:ind w:left="426"/>
        <w:jc w:val="both"/>
        <w:rPr>
          <w:lang w:val="pt-BR"/>
        </w:rPr>
      </w:pPr>
    </w:p>
    <w:p w:rsidR="00715FEA" w:rsidRPr="00273045" w:rsidRDefault="00715FEA" w:rsidP="00715FEA">
      <w:pPr>
        <w:ind w:left="454"/>
        <w:jc w:val="both"/>
        <w:rPr>
          <w:spacing w:val="-2"/>
          <w:lang w:val="nl-NL"/>
        </w:rPr>
      </w:pPr>
      <w:r w:rsidRPr="00273045">
        <w:rPr>
          <w:spacing w:val="-2"/>
          <w:lang w:val="nl-NL"/>
        </w:rPr>
        <w:t>Các khoản nhận trước của khách hàng không được ghi nhận là doanh thu trong kỳ.</w:t>
      </w:r>
    </w:p>
    <w:p w:rsidR="00715FEA" w:rsidRPr="00273045" w:rsidRDefault="00715FEA" w:rsidP="00715FEA">
      <w:pPr>
        <w:ind w:left="454"/>
        <w:jc w:val="both"/>
        <w:rPr>
          <w:spacing w:val="-2"/>
          <w:lang w:val="nl-NL"/>
        </w:rPr>
      </w:pPr>
    </w:p>
    <w:p w:rsidR="00715FEA" w:rsidRPr="00273045" w:rsidRDefault="00715FEA" w:rsidP="00715FEA">
      <w:pPr>
        <w:ind w:left="426"/>
        <w:jc w:val="both"/>
        <w:rPr>
          <w:spacing w:val="-2"/>
        </w:rPr>
      </w:pPr>
      <w:r w:rsidRPr="00273045">
        <w:rPr>
          <w:spacing w:val="-2"/>
        </w:rPr>
        <w:t>Thu nhập khác của Công ty là khoản thu nhập từ tiền nhà cung cấp hỗ trợ tiêu thụ sản phẩm và tiền khách hàng nộp phạt do chậm trả cược vỏ thùng bia…, được ghi nhận trên cơ sở biên bản làm việc và số tiền thực tế nhận được.</w:t>
      </w:r>
    </w:p>
    <w:p w:rsidR="00715FEA" w:rsidRPr="00273045" w:rsidRDefault="00715FEA" w:rsidP="00715FEA">
      <w:pPr>
        <w:ind w:left="426"/>
        <w:jc w:val="both"/>
        <w:rPr>
          <w:lang w:val="pt-BR"/>
        </w:rPr>
      </w:pPr>
    </w:p>
    <w:p w:rsidR="00715FEA" w:rsidRPr="00273045" w:rsidRDefault="00715FEA" w:rsidP="00715FEA">
      <w:pPr>
        <w:ind w:left="426"/>
        <w:jc w:val="both"/>
        <w:rPr>
          <w:spacing w:val="-2"/>
          <w:lang w:val="it-IT"/>
        </w:rPr>
      </w:pPr>
      <w:r w:rsidRPr="00273045">
        <w:rPr>
          <w:lang w:val="pt-BR"/>
        </w:rPr>
        <w:t>Doanh thu từ lãi tiền gửi ngân hàng được ghi nhận trên cơ sở thời gian và lãi suất thực tế từng kỳ, phù hợp với 2 điều kiện ghi nhận doanh thu phát sinh từ tiền lãi, tiền bản quyền, cổ tức và lợi nhuận được chia quy định tại Chuẩn mực kế toán Việt Nam số 14 - "Doanh thu và thu nhập khác"</w:t>
      </w:r>
      <w:r w:rsidRPr="00273045">
        <w:rPr>
          <w:spacing w:val="-2"/>
          <w:lang w:val="it-IT"/>
        </w:rPr>
        <w:t>.</w:t>
      </w:r>
    </w:p>
    <w:p w:rsidR="00715FEA" w:rsidRPr="00273045" w:rsidRDefault="00715FEA" w:rsidP="00715FEA">
      <w:pPr>
        <w:ind w:left="454"/>
        <w:jc w:val="both"/>
        <w:rPr>
          <w:spacing w:val="-2"/>
          <w:lang w:val="it-IT"/>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lang w:val="nl-NL"/>
        </w:rPr>
        <w:t>Nguyên tắc ghi nhận giá vốn hàng bán</w:t>
      </w:r>
    </w:p>
    <w:p w:rsidR="00715FEA" w:rsidRPr="00273045" w:rsidRDefault="00715FEA" w:rsidP="00715FEA">
      <w:pPr>
        <w:ind w:left="1440"/>
        <w:jc w:val="both"/>
        <w:rPr>
          <w:b/>
          <w:bCs/>
          <w:lang w:val="nl-NL"/>
        </w:rPr>
      </w:pPr>
    </w:p>
    <w:p w:rsidR="00715FEA" w:rsidRPr="00273045" w:rsidRDefault="00715FEA" w:rsidP="00715FEA">
      <w:pPr>
        <w:ind w:left="454" w:right="58"/>
        <w:jc w:val="both"/>
      </w:pPr>
      <w:r w:rsidRPr="00273045">
        <w:t>Giá vốn hàng bán được ghi nhận và tập hợp theo giá trị và số lượng thành phẩm, hàng hoá, vật tư xuất bán cho khách hàng, phù hợp với doanh thu ghi nhận trong kỳ.</w:t>
      </w:r>
    </w:p>
    <w:p w:rsidR="00715FEA" w:rsidRPr="00273045" w:rsidRDefault="00715FEA" w:rsidP="00715FEA">
      <w:pPr>
        <w:ind w:left="454" w:right="58"/>
        <w:jc w:val="both"/>
      </w:pPr>
    </w:p>
    <w:p w:rsidR="00715FEA" w:rsidRPr="00273045" w:rsidRDefault="00715FEA" w:rsidP="00715FEA">
      <w:pPr>
        <w:ind w:left="426"/>
        <w:jc w:val="both"/>
      </w:pPr>
      <w:r w:rsidRPr="00273045">
        <w:lastRenderedPageBreak/>
        <w:t>Giá vốn dịch vụ được ghi nhận theo chi phí thực tế phát sinh để hoàn thành dịch vụ, phù hợp với doanh thu ghi nhận trong kỳ.</w:t>
      </w:r>
    </w:p>
    <w:p w:rsidR="00715FEA" w:rsidRPr="00273045" w:rsidRDefault="00715FEA" w:rsidP="00715FEA">
      <w:pPr>
        <w:tabs>
          <w:tab w:val="num" w:pos="456"/>
        </w:tabs>
        <w:ind w:left="1440"/>
        <w:jc w:val="both"/>
        <w:rPr>
          <w:b/>
          <w:bCs/>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Nguyên tắc và phương pháp ghi nhận chi phí thuế thu nhập doanh nghiệp hiện hành</w:t>
      </w:r>
    </w:p>
    <w:p w:rsidR="00715FEA" w:rsidRPr="00273045" w:rsidRDefault="00715FEA" w:rsidP="00715FEA">
      <w:pPr>
        <w:ind w:left="1440"/>
        <w:jc w:val="both"/>
        <w:rPr>
          <w:b/>
          <w:bCs/>
          <w:sz w:val="16"/>
          <w:szCs w:val="16"/>
        </w:rPr>
      </w:pPr>
    </w:p>
    <w:p w:rsidR="00715FEA" w:rsidRPr="00273045" w:rsidRDefault="00715FEA" w:rsidP="00715FEA">
      <w:pPr>
        <w:tabs>
          <w:tab w:val="left" w:pos="426"/>
        </w:tabs>
        <w:ind w:left="426" w:firstLine="28"/>
        <w:jc w:val="both"/>
        <w:rPr>
          <w:spacing w:val="-2"/>
        </w:rPr>
      </w:pPr>
      <w:r w:rsidRPr="00273045">
        <w:rPr>
          <w:spacing w:val="-2"/>
        </w:rPr>
        <w:t>Chi phí thuế thu nhập doanh nghiệp hiện hành được xác định trên cơ sở thu nhập chịu thuế và thuế suất thuế TNDN trong năm hiện hành.</w:t>
      </w:r>
    </w:p>
    <w:p w:rsidR="00715FEA" w:rsidRPr="00273045" w:rsidRDefault="00715FEA" w:rsidP="00715FEA">
      <w:pPr>
        <w:ind w:left="1440"/>
        <w:jc w:val="both"/>
        <w:rPr>
          <w:b/>
          <w:bCs/>
          <w:sz w:val="16"/>
          <w:szCs w:val="16"/>
        </w:rPr>
      </w:pPr>
    </w:p>
    <w:p w:rsidR="00715FEA" w:rsidRPr="00273045" w:rsidRDefault="00715FEA" w:rsidP="00715FEA">
      <w:pPr>
        <w:numPr>
          <w:ilvl w:val="1"/>
          <w:numId w:val="5"/>
        </w:numPr>
        <w:tabs>
          <w:tab w:val="clear" w:pos="1440"/>
          <w:tab w:val="num" w:pos="456"/>
        </w:tabs>
        <w:spacing w:after="0" w:line="240" w:lineRule="auto"/>
        <w:ind w:hanging="1440"/>
        <w:jc w:val="both"/>
        <w:rPr>
          <w:b/>
          <w:bCs/>
        </w:rPr>
      </w:pPr>
      <w:r w:rsidRPr="00273045">
        <w:rPr>
          <w:b/>
          <w:bCs/>
        </w:rPr>
        <w:t>Các nguyên tắc và phương pháp kế toán khác</w:t>
      </w:r>
    </w:p>
    <w:p w:rsidR="00715FEA" w:rsidRPr="00273045" w:rsidRDefault="00715FEA" w:rsidP="00715FEA">
      <w:pPr>
        <w:ind w:left="765" w:right="57"/>
        <w:jc w:val="both"/>
        <w:rPr>
          <w:b/>
          <w:bCs/>
          <w:i/>
          <w:iCs/>
          <w:sz w:val="16"/>
          <w:szCs w:val="16"/>
          <w:lang w:val="it-IT"/>
        </w:rPr>
      </w:pPr>
    </w:p>
    <w:p w:rsidR="00715FEA" w:rsidRPr="00273045" w:rsidRDefault="00715FEA" w:rsidP="00715FEA">
      <w:pPr>
        <w:ind w:firstLine="454"/>
        <w:rPr>
          <w:b/>
          <w:bCs/>
          <w:iCs/>
        </w:rPr>
      </w:pPr>
      <w:r w:rsidRPr="00273045">
        <w:rPr>
          <w:b/>
          <w:bCs/>
          <w:iCs/>
        </w:rPr>
        <w:t>Các nghĩa vụ về thuế</w:t>
      </w:r>
    </w:p>
    <w:p w:rsidR="00715FEA" w:rsidRPr="00273045" w:rsidRDefault="00715FEA" w:rsidP="00715FEA">
      <w:pPr>
        <w:ind w:left="454" w:right="57"/>
        <w:jc w:val="both"/>
        <w:rPr>
          <w:b/>
          <w:bCs/>
          <w:i/>
          <w:iCs/>
          <w:sz w:val="16"/>
          <w:szCs w:val="16"/>
        </w:rPr>
      </w:pPr>
    </w:p>
    <w:p w:rsidR="00715FEA" w:rsidRPr="00273045" w:rsidRDefault="00715FEA" w:rsidP="00715FEA">
      <w:pPr>
        <w:ind w:left="454" w:right="57"/>
        <w:jc w:val="both"/>
        <w:rPr>
          <w:b/>
          <w:bCs/>
          <w:i/>
          <w:iCs/>
        </w:rPr>
      </w:pPr>
      <w:r w:rsidRPr="00273045">
        <w:rPr>
          <w:b/>
          <w:bCs/>
          <w:i/>
          <w:iCs/>
        </w:rPr>
        <w:t>Thuế giá trị gia tăng (GTGT)</w:t>
      </w:r>
    </w:p>
    <w:p w:rsidR="00715FEA" w:rsidRPr="00273045" w:rsidRDefault="00715FEA" w:rsidP="00715FEA">
      <w:pPr>
        <w:ind w:left="454" w:right="57"/>
        <w:jc w:val="both"/>
        <w:rPr>
          <w:b/>
          <w:bCs/>
          <w:i/>
          <w:iCs/>
          <w:sz w:val="16"/>
          <w:szCs w:val="16"/>
        </w:rPr>
      </w:pPr>
    </w:p>
    <w:p w:rsidR="00715FEA" w:rsidRPr="00273045" w:rsidRDefault="00715FEA" w:rsidP="00715FEA">
      <w:pPr>
        <w:ind w:left="454"/>
        <w:jc w:val="both"/>
      </w:pPr>
      <w:r w:rsidRPr="00273045">
        <w:t>Công ty áp dụng các chính sách thuế theo quy định của các luật thuế hiện hành tại Việt Nam với mức thuế suất thuế GTGT 10% đối với các sản phẩm bia lon, bia chai…và dịch vụ cho thuê kho bãi</w:t>
      </w:r>
      <w:r w:rsidRPr="00273045">
        <w:rPr>
          <w:lang w:val="pt-BR"/>
        </w:rPr>
        <w:t>.</w:t>
      </w:r>
    </w:p>
    <w:p w:rsidR="00715FEA" w:rsidRPr="00273045" w:rsidRDefault="00715FEA" w:rsidP="00715FEA">
      <w:pPr>
        <w:tabs>
          <w:tab w:val="left" w:pos="3945"/>
        </w:tabs>
        <w:ind w:left="454" w:firstLine="329"/>
        <w:jc w:val="both"/>
        <w:rPr>
          <w:i/>
          <w:iCs/>
          <w:sz w:val="16"/>
          <w:szCs w:val="16"/>
        </w:rPr>
      </w:pPr>
    </w:p>
    <w:p w:rsidR="00715FEA" w:rsidRPr="00273045" w:rsidRDefault="00715FEA" w:rsidP="00715FEA">
      <w:pPr>
        <w:ind w:left="454" w:right="57"/>
        <w:jc w:val="both"/>
        <w:rPr>
          <w:b/>
          <w:bCs/>
          <w:i/>
          <w:iCs/>
        </w:rPr>
      </w:pPr>
      <w:r w:rsidRPr="00273045">
        <w:rPr>
          <w:b/>
          <w:bCs/>
          <w:i/>
          <w:iCs/>
        </w:rPr>
        <w:t>Thuế thu nhập doanh nghiệp</w:t>
      </w:r>
    </w:p>
    <w:p w:rsidR="00715FEA" w:rsidRPr="00273045" w:rsidRDefault="00715FEA" w:rsidP="00715FEA">
      <w:pPr>
        <w:ind w:left="454" w:right="57"/>
        <w:jc w:val="both"/>
        <w:rPr>
          <w:sz w:val="16"/>
          <w:szCs w:val="16"/>
        </w:rPr>
      </w:pPr>
    </w:p>
    <w:p w:rsidR="00715FEA" w:rsidRPr="00273045" w:rsidRDefault="00715FEA" w:rsidP="00715FEA">
      <w:pPr>
        <w:ind w:left="454" w:right="57"/>
        <w:jc w:val="both"/>
      </w:pPr>
      <w:r w:rsidRPr="00273045">
        <w:t>Công ty áp dụng mức thuế suất thuế thu nhập doanh nghiệp là 22% trên lợi nhuận chịu thuế.</w:t>
      </w:r>
    </w:p>
    <w:p w:rsidR="00715FEA" w:rsidRPr="00273045" w:rsidRDefault="00715FEA" w:rsidP="00715FEA">
      <w:pPr>
        <w:ind w:left="456" w:right="57"/>
        <w:jc w:val="both"/>
        <w:rPr>
          <w:lang w:val="nl-NL"/>
        </w:rPr>
      </w:pPr>
    </w:p>
    <w:p w:rsidR="00715FEA" w:rsidRPr="00273045" w:rsidRDefault="00715FEA" w:rsidP="00715FEA">
      <w:pPr>
        <w:ind w:left="454"/>
        <w:jc w:val="both"/>
      </w:pPr>
      <w:r w:rsidRPr="00273045">
        <w:t>Việc xác định thuế Thu nhập doanh nghiệp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715FEA" w:rsidRPr="00273045" w:rsidRDefault="00715FEA" w:rsidP="00715FEA">
      <w:pPr>
        <w:ind w:left="454"/>
        <w:jc w:val="both"/>
      </w:pPr>
    </w:p>
    <w:p w:rsidR="00715FEA" w:rsidRPr="00273045" w:rsidRDefault="00715FEA" w:rsidP="00715FEA">
      <w:pPr>
        <w:ind w:left="454" w:right="57"/>
        <w:jc w:val="both"/>
        <w:rPr>
          <w:b/>
          <w:bCs/>
          <w:i/>
          <w:iCs/>
        </w:rPr>
      </w:pPr>
      <w:r w:rsidRPr="00273045">
        <w:rPr>
          <w:b/>
          <w:bCs/>
          <w:i/>
          <w:iCs/>
        </w:rPr>
        <w:t>Thuế khác</w:t>
      </w:r>
      <w:r w:rsidRPr="00273045">
        <w:rPr>
          <w:b/>
          <w:bCs/>
          <w:i/>
          <w:iCs/>
        </w:rPr>
        <w:tab/>
      </w:r>
    </w:p>
    <w:p w:rsidR="00715FEA" w:rsidRPr="00273045" w:rsidRDefault="00715FEA" w:rsidP="00715FEA">
      <w:pPr>
        <w:ind w:left="454" w:right="57"/>
        <w:jc w:val="both"/>
      </w:pPr>
    </w:p>
    <w:p w:rsidR="00715FEA" w:rsidRPr="00273045" w:rsidRDefault="00715FEA" w:rsidP="00715FEA">
      <w:pPr>
        <w:ind w:left="454"/>
        <w:jc w:val="both"/>
      </w:pPr>
      <w:r w:rsidRPr="00273045">
        <w:t>Các loại thuế, phí khác doanh nghiệp thực hiện kê khai và nộp cho cơ quan thuế địa phương theo các luật thuế hiện hành tại Việt Nam.</w:t>
      </w:r>
    </w:p>
    <w:p w:rsidR="00715FEA" w:rsidRPr="00273045" w:rsidRDefault="00715FEA" w:rsidP="00715FEA">
      <w:pPr>
        <w:ind w:left="454"/>
        <w:jc w:val="both"/>
      </w:pPr>
    </w:p>
    <w:p w:rsidR="00715FEA" w:rsidRPr="00273045" w:rsidRDefault="00715FEA" w:rsidP="00715FEA">
      <w:pPr>
        <w:ind w:left="454"/>
        <w:jc w:val="both"/>
      </w:pPr>
    </w:p>
    <w:p w:rsidR="00CF51D4" w:rsidRDefault="00CF51D4"/>
    <w:sectPr w:rsidR="00CF51D4" w:rsidSect="00715FEA">
      <w:headerReference w:type="default" r:id="rId8"/>
      <w:footerReference w:type="even" r:id="rId9"/>
      <w:footerReference w:type="default" r:id="rId10"/>
      <w:headerReference w:type="first" r:id="rId11"/>
      <w:footerReference w:type="first" r:id="rId12"/>
      <w:pgSz w:w="11907" w:h="16840" w:code="9"/>
      <w:pgMar w:top="851" w:right="680" w:bottom="680" w:left="1134" w:header="425" w:footer="215"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E8" w:rsidRDefault="00097FE8">
      <w:pPr>
        <w:spacing w:after="0" w:line="240" w:lineRule="auto"/>
      </w:pPr>
      <w:r>
        <w:separator/>
      </w:r>
    </w:p>
  </w:endnote>
  <w:endnote w:type="continuationSeparator" w:id="0">
    <w:p w:rsidR="00097FE8" w:rsidRDefault="0009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EA" w:rsidRDefault="00715FEA" w:rsidP="00715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FEA" w:rsidRDefault="00715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EA" w:rsidRPr="00821EF6" w:rsidRDefault="00715FEA" w:rsidP="00715FEA">
    <w:pPr>
      <w:pStyle w:val="Footer"/>
      <w:framePr w:wrap="around" w:vAnchor="text" w:hAnchor="margin" w:xAlign="center" w:y="1"/>
      <w:rPr>
        <w:rStyle w:val="PageNumber"/>
        <w:color w:val="auto"/>
        <w:sz w:val="20"/>
        <w:szCs w:val="20"/>
      </w:rPr>
    </w:pPr>
    <w:r w:rsidRPr="00821EF6">
      <w:rPr>
        <w:rStyle w:val="PageNumber"/>
        <w:color w:val="auto"/>
        <w:sz w:val="20"/>
        <w:szCs w:val="20"/>
      </w:rPr>
      <w:fldChar w:fldCharType="begin"/>
    </w:r>
    <w:r w:rsidRPr="00821EF6">
      <w:rPr>
        <w:rStyle w:val="PageNumber"/>
        <w:color w:val="auto"/>
        <w:sz w:val="20"/>
        <w:szCs w:val="20"/>
      </w:rPr>
      <w:instrText xml:space="preserve">PAGE  </w:instrText>
    </w:r>
    <w:r w:rsidRPr="00821EF6">
      <w:rPr>
        <w:rStyle w:val="PageNumber"/>
        <w:color w:val="auto"/>
        <w:sz w:val="20"/>
        <w:szCs w:val="20"/>
      </w:rPr>
      <w:fldChar w:fldCharType="separate"/>
    </w:r>
    <w:r w:rsidR="008E7F01">
      <w:rPr>
        <w:rStyle w:val="PageNumber"/>
        <w:noProof/>
        <w:color w:val="auto"/>
        <w:sz w:val="20"/>
        <w:szCs w:val="20"/>
      </w:rPr>
      <w:t>9</w:t>
    </w:r>
    <w:r w:rsidRPr="00821EF6">
      <w:rPr>
        <w:rStyle w:val="PageNumber"/>
        <w:color w:val="auto"/>
        <w:sz w:val="20"/>
        <w:szCs w:val="20"/>
      </w:rPr>
      <w:fldChar w:fldCharType="end"/>
    </w:r>
  </w:p>
  <w:p w:rsidR="00715FEA" w:rsidRDefault="00715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EA" w:rsidRPr="00B708C0" w:rsidRDefault="00715FEA">
    <w:pPr>
      <w:pStyle w:val="Footer"/>
      <w:jc w:val="center"/>
      <w:rPr>
        <w:sz w:val="20"/>
        <w:szCs w:val="20"/>
      </w:rPr>
    </w:pPr>
    <w:r w:rsidRPr="00B708C0">
      <w:rPr>
        <w:sz w:val="20"/>
        <w:szCs w:val="20"/>
      </w:rPr>
      <w:fldChar w:fldCharType="begin"/>
    </w:r>
    <w:r w:rsidRPr="00B708C0">
      <w:rPr>
        <w:sz w:val="20"/>
        <w:szCs w:val="20"/>
      </w:rPr>
      <w:instrText xml:space="preserve"> PAGE   \* MERGEFORMAT </w:instrText>
    </w:r>
    <w:r w:rsidRPr="00B708C0">
      <w:rPr>
        <w:sz w:val="20"/>
        <w:szCs w:val="20"/>
      </w:rPr>
      <w:fldChar w:fldCharType="separate"/>
    </w:r>
    <w:r w:rsidR="008E7F01">
      <w:rPr>
        <w:noProof/>
        <w:sz w:val="20"/>
        <w:szCs w:val="20"/>
      </w:rPr>
      <w:t>5</w:t>
    </w:r>
    <w:r w:rsidRPr="00B708C0">
      <w:rPr>
        <w:sz w:val="20"/>
        <w:szCs w:val="20"/>
      </w:rPr>
      <w:fldChar w:fldCharType="end"/>
    </w:r>
  </w:p>
  <w:p w:rsidR="00715FEA" w:rsidRPr="00F63637" w:rsidRDefault="00715FEA" w:rsidP="00715FEA">
    <w:pPr>
      <w:pStyle w:val="Footer"/>
      <w:jc w:val="center"/>
      <w:rPr>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E8" w:rsidRDefault="00097FE8">
      <w:pPr>
        <w:spacing w:after="0" w:line="240" w:lineRule="auto"/>
      </w:pPr>
      <w:r>
        <w:separator/>
      </w:r>
    </w:p>
  </w:footnote>
  <w:footnote w:type="continuationSeparator" w:id="0">
    <w:p w:rsidR="00097FE8" w:rsidRDefault="0009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bottom w:val="single" w:sz="4" w:space="0" w:color="auto"/>
      </w:tblBorders>
      <w:tblLayout w:type="fixed"/>
      <w:tblLook w:val="0000" w:firstRow="0" w:lastRow="0" w:firstColumn="0" w:lastColumn="0" w:noHBand="0" w:noVBand="0"/>
    </w:tblPr>
    <w:tblGrid>
      <w:gridCol w:w="5529"/>
      <w:gridCol w:w="4394"/>
    </w:tblGrid>
    <w:tr w:rsidR="00715FEA" w:rsidRPr="00FF1826" w:rsidTr="00715FEA">
      <w:tblPrEx>
        <w:tblCellMar>
          <w:top w:w="0" w:type="dxa"/>
          <w:bottom w:w="0" w:type="dxa"/>
        </w:tblCellMar>
      </w:tblPrEx>
      <w:trPr>
        <w:trHeight w:val="720"/>
      </w:trPr>
      <w:tc>
        <w:tcPr>
          <w:tcW w:w="5529" w:type="dxa"/>
          <w:tcBorders>
            <w:bottom w:val="single" w:sz="4" w:space="0" w:color="auto"/>
          </w:tcBorders>
        </w:tcPr>
        <w:p w:rsidR="00715FEA" w:rsidRPr="001B1826" w:rsidRDefault="00715FEA" w:rsidP="00715FEA">
          <w:pPr>
            <w:rPr>
              <w:b/>
              <w:sz w:val="20"/>
              <w:szCs w:val="20"/>
              <w:lang w:val="fr-FR"/>
            </w:rPr>
          </w:pPr>
          <w:r w:rsidRPr="001B1826">
            <w:rPr>
              <w:b/>
              <w:sz w:val="20"/>
              <w:szCs w:val="20"/>
              <w:lang w:val="fr-FR"/>
            </w:rPr>
            <w:t>CÔNG TY CỔ PHẦN THƯƠNG MẠI BIA HÀ NỘI</w:t>
          </w:r>
        </w:p>
        <w:p w:rsidR="00715FEA" w:rsidRPr="00FC3F1B" w:rsidRDefault="00715FEA" w:rsidP="00715FEA">
          <w:pPr>
            <w:pStyle w:val="Header"/>
            <w:tabs>
              <w:tab w:val="clear" w:pos="4320"/>
              <w:tab w:val="clear" w:pos="8640"/>
            </w:tabs>
            <w:rPr>
              <w:b/>
              <w:bCs/>
              <w:color w:val="auto"/>
              <w:sz w:val="20"/>
              <w:szCs w:val="20"/>
              <w:lang w:val="en-US" w:eastAsia="en-US"/>
            </w:rPr>
          </w:pPr>
          <w:r>
            <w:rPr>
              <w:sz w:val="20"/>
              <w:szCs w:val="20"/>
              <w:lang w:val="fr-FR"/>
            </w:rPr>
            <w:t xml:space="preserve"> </w:t>
          </w:r>
          <w:r w:rsidRPr="001B1826">
            <w:rPr>
              <w:sz w:val="20"/>
              <w:szCs w:val="20"/>
              <w:lang w:val="fr-FR"/>
            </w:rPr>
            <w:t>Địa chỉ: Số 183 Hoàng Hoa Thám, Ngọc Hà, Ba Đình, Hà Nội</w:t>
          </w:r>
        </w:p>
      </w:tc>
      <w:tc>
        <w:tcPr>
          <w:tcW w:w="4394" w:type="dxa"/>
          <w:tcBorders>
            <w:bottom w:val="single" w:sz="4" w:space="0" w:color="auto"/>
          </w:tcBorders>
        </w:tcPr>
        <w:p w:rsidR="00715FEA" w:rsidRPr="000966CA" w:rsidRDefault="00715FEA" w:rsidP="00715FEA">
          <w:pPr>
            <w:pStyle w:val="Header"/>
            <w:tabs>
              <w:tab w:val="clear" w:pos="4320"/>
              <w:tab w:val="clear" w:pos="8640"/>
            </w:tabs>
            <w:ind w:right="-51"/>
            <w:jc w:val="right"/>
            <w:rPr>
              <w:b/>
              <w:bCs/>
              <w:color w:val="auto"/>
              <w:sz w:val="20"/>
              <w:szCs w:val="20"/>
              <w:lang w:val="en-US" w:eastAsia="en-US"/>
            </w:rPr>
          </w:pPr>
          <w:r w:rsidRPr="00FC3F1B">
            <w:rPr>
              <w:b/>
              <w:bCs/>
              <w:color w:val="auto"/>
              <w:sz w:val="20"/>
              <w:szCs w:val="20"/>
              <w:lang w:val="en-US" w:eastAsia="en-US"/>
            </w:rPr>
            <w:t>B</w:t>
          </w:r>
          <w:r>
            <w:rPr>
              <w:b/>
              <w:bCs/>
              <w:color w:val="auto"/>
              <w:sz w:val="20"/>
              <w:szCs w:val="20"/>
              <w:lang w:val="en-US" w:eastAsia="en-US"/>
            </w:rPr>
            <w:t>áo cáo Tài chính Quý IV – Năm 2015</w:t>
          </w:r>
        </w:p>
        <w:p w:rsidR="00715FEA" w:rsidRPr="00672E2D" w:rsidRDefault="00715FEA" w:rsidP="00715FEA">
          <w:pPr>
            <w:pStyle w:val="Header"/>
            <w:tabs>
              <w:tab w:val="clear" w:pos="4320"/>
              <w:tab w:val="clear" w:pos="8640"/>
            </w:tabs>
            <w:ind w:right="-39"/>
            <w:jc w:val="right"/>
            <w:rPr>
              <w:b/>
              <w:bCs/>
              <w:color w:val="auto"/>
              <w:sz w:val="10"/>
              <w:szCs w:val="10"/>
              <w:lang w:val="it-IT" w:eastAsia="en-US"/>
            </w:rPr>
          </w:pPr>
        </w:p>
      </w:tc>
    </w:tr>
  </w:tbl>
  <w:p w:rsidR="00715FEA" w:rsidRPr="00ED517E" w:rsidRDefault="00715FEA" w:rsidP="00715FEA">
    <w:pPr>
      <w:pStyle w:val="Header"/>
      <w:jc w:val="right"/>
      <w:rPr>
        <w:b/>
        <w:bCs/>
        <w:color w:val="auto"/>
        <w:sz w:val="2"/>
        <w:szCs w:val="2"/>
        <w:lang w:val="it-IT"/>
      </w:rPr>
    </w:pPr>
  </w:p>
  <w:p w:rsidR="00715FEA" w:rsidRPr="00312DA0" w:rsidRDefault="00715FEA" w:rsidP="00715FEA">
    <w:pPr>
      <w:pStyle w:val="Header"/>
      <w:jc w:val="right"/>
      <w:rPr>
        <w:b/>
        <w:bCs/>
        <w:color w:val="auto"/>
        <w:sz w:val="10"/>
        <w:szCs w:val="22"/>
        <w:lang w:val="it-IT"/>
      </w:rPr>
    </w:pPr>
  </w:p>
  <w:p w:rsidR="00715FEA" w:rsidRPr="00672E2D" w:rsidRDefault="00715FEA" w:rsidP="00715FEA">
    <w:pPr>
      <w:pStyle w:val="Header"/>
      <w:jc w:val="center"/>
      <w:rPr>
        <w:b/>
        <w:bCs/>
        <w:color w:val="auto"/>
        <w:sz w:val="16"/>
        <w:szCs w:val="24"/>
        <w:lang w:val="en-US"/>
      </w:rPr>
    </w:pPr>
  </w:p>
  <w:p w:rsidR="00715FEA" w:rsidRPr="00174F87" w:rsidRDefault="00715FEA" w:rsidP="00715FEA">
    <w:pPr>
      <w:pStyle w:val="Header"/>
      <w:tabs>
        <w:tab w:val="left" w:pos="142"/>
        <w:tab w:val="center" w:pos="5189"/>
      </w:tabs>
      <w:jc w:val="both"/>
      <w:rPr>
        <w:b/>
        <w:bCs/>
        <w:color w:val="auto"/>
        <w:sz w:val="22"/>
        <w:szCs w:val="22"/>
      </w:rPr>
    </w:pPr>
    <w:r>
      <w:rPr>
        <w:b/>
        <w:bCs/>
        <w:color w:val="auto"/>
        <w:sz w:val="22"/>
        <w:szCs w:val="22"/>
      </w:rPr>
      <w:tab/>
      <w:t xml:space="preserve">BẢN </w:t>
    </w:r>
    <w:r w:rsidRPr="00174F87">
      <w:rPr>
        <w:b/>
        <w:bCs/>
        <w:color w:val="auto"/>
        <w:sz w:val="22"/>
        <w:szCs w:val="22"/>
      </w:rPr>
      <w:t>THUYẾT MINH BÁO CÁO TÀI CHÍNH</w:t>
    </w:r>
    <w:r>
      <w:rPr>
        <w:b/>
        <w:bCs/>
        <w:color w:val="auto"/>
        <w:sz w:val="22"/>
        <w:szCs w:val="22"/>
      </w:rPr>
      <w:t xml:space="preserve"> </w:t>
    </w:r>
    <w:r>
      <w:rPr>
        <w:b/>
        <w:bCs/>
        <w:color w:val="auto"/>
        <w:sz w:val="22"/>
        <w:szCs w:val="22"/>
        <w:lang w:val="en-US"/>
      </w:rPr>
      <w:t xml:space="preserve">QUÝ IV/2015 </w:t>
    </w:r>
    <w:r w:rsidRPr="003324D3">
      <w:rPr>
        <w:bCs/>
        <w:i/>
        <w:color w:val="auto"/>
        <w:sz w:val="22"/>
        <w:szCs w:val="22"/>
      </w:rPr>
      <w:t>(</w:t>
    </w:r>
    <w:r w:rsidRPr="003324D3">
      <w:rPr>
        <w:bCs/>
        <w:i/>
        <w:iCs/>
        <w:color w:val="auto"/>
        <w:sz w:val="22"/>
        <w:szCs w:val="22"/>
      </w:rPr>
      <w:t>tiếp theo</w:t>
    </w:r>
    <w:r w:rsidRPr="003324D3">
      <w:rPr>
        <w:bCs/>
        <w:i/>
        <w:color w:val="auto"/>
        <w:sz w:val="22"/>
        <w:szCs w:val="22"/>
      </w:rPr>
      <w:t>)</w:t>
    </w:r>
  </w:p>
  <w:p w:rsidR="00715FEA" w:rsidRPr="00EB1AD7" w:rsidRDefault="00715FEA" w:rsidP="00715FEA">
    <w:pPr>
      <w:pStyle w:val="Header"/>
      <w:jc w:val="center"/>
      <w:rPr>
        <w:rFonts w:ascii=".VnTime" w:hAnsi=".VnTime"/>
        <w:color w:val="auto"/>
        <w:sz w:val="10"/>
      </w:rPr>
    </w:pPr>
  </w:p>
  <w:p w:rsidR="00715FEA" w:rsidRPr="00E158D6" w:rsidRDefault="00715FEA" w:rsidP="00715FEA">
    <w:pPr>
      <w:pStyle w:val="Header"/>
      <w:jc w:val="cent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50" w:type="dxa"/>
      <w:tblBorders>
        <w:bottom w:val="single" w:sz="4" w:space="0" w:color="auto"/>
      </w:tblBorders>
      <w:tblLayout w:type="fixed"/>
      <w:tblLook w:val="0000" w:firstRow="0" w:lastRow="0" w:firstColumn="0" w:lastColumn="0" w:noHBand="0" w:noVBand="0"/>
    </w:tblPr>
    <w:tblGrid>
      <w:gridCol w:w="5528"/>
      <w:gridCol w:w="4395"/>
    </w:tblGrid>
    <w:tr w:rsidR="00715FEA" w:rsidRPr="00862959" w:rsidTr="00715FEA">
      <w:tblPrEx>
        <w:tblCellMar>
          <w:top w:w="0" w:type="dxa"/>
          <w:bottom w:w="0" w:type="dxa"/>
        </w:tblCellMar>
      </w:tblPrEx>
      <w:trPr>
        <w:trHeight w:val="727"/>
      </w:trPr>
      <w:tc>
        <w:tcPr>
          <w:tcW w:w="5528" w:type="dxa"/>
          <w:tcBorders>
            <w:bottom w:val="single" w:sz="4" w:space="0" w:color="auto"/>
          </w:tcBorders>
        </w:tcPr>
        <w:p w:rsidR="00715FEA" w:rsidRPr="001B1826" w:rsidRDefault="00715FEA" w:rsidP="00715FEA">
          <w:pPr>
            <w:ind w:hanging="108"/>
            <w:rPr>
              <w:b/>
              <w:sz w:val="20"/>
              <w:szCs w:val="20"/>
              <w:lang w:val="fr-FR"/>
            </w:rPr>
          </w:pPr>
          <w:r w:rsidRPr="001B1826">
            <w:rPr>
              <w:b/>
              <w:sz w:val="20"/>
              <w:szCs w:val="20"/>
              <w:lang w:val="fr-FR"/>
            </w:rPr>
            <w:t>CÔNG TY CỔ PHẦN THƯƠNG MẠI BIA HÀ NỘI</w:t>
          </w:r>
        </w:p>
        <w:p w:rsidR="00715FEA" w:rsidRPr="00FC3F1B" w:rsidRDefault="00715FEA" w:rsidP="00715FEA">
          <w:pPr>
            <w:pStyle w:val="Header"/>
            <w:tabs>
              <w:tab w:val="clear" w:pos="4320"/>
              <w:tab w:val="clear" w:pos="8640"/>
            </w:tabs>
            <w:ind w:hanging="146"/>
            <w:rPr>
              <w:b/>
              <w:bCs/>
              <w:color w:val="auto"/>
              <w:sz w:val="20"/>
              <w:szCs w:val="20"/>
              <w:lang w:val="en-US" w:eastAsia="en-US"/>
            </w:rPr>
          </w:pPr>
          <w:r>
            <w:rPr>
              <w:sz w:val="20"/>
              <w:szCs w:val="20"/>
              <w:lang w:val="fr-FR"/>
            </w:rPr>
            <w:t xml:space="preserve"> </w:t>
          </w:r>
          <w:r w:rsidRPr="001B1826">
            <w:rPr>
              <w:sz w:val="20"/>
              <w:szCs w:val="20"/>
              <w:lang w:val="fr-FR"/>
            </w:rPr>
            <w:t>Địa chỉ: Số 183 Hoàng Hoa Thám, Ngọc Hà, Ba Đình, Hà Nội</w:t>
          </w:r>
        </w:p>
      </w:tc>
      <w:tc>
        <w:tcPr>
          <w:tcW w:w="4395" w:type="dxa"/>
          <w:tcBorders>
            <w:bottom w:val="single" w:sz="4" w:space="0" w:color="auto"/>
          </w:tcBorders>
        </w:tcPr>
        <w:p w:rsidR="00715FEA" w:rsidRPr="00FC3F1B" w:rsidRDefault="00715FEA" w:rsidP="00715FEA">
          <w:pPr>
            <w:pStyle w:val="Header"/>
            <w:tabs>
              <w:tab w:val="clear" w:pos="4320"/>
              <w:tab w:val="clear" w:pos="8640"/>
            </w:tabs>
            <w:ind w:right="-40"/>
            <w:jc w:val="right"/>
            <w:rPr>
              <w:b/>
              <w:bCs/>
              <w:color w:val="auto"/>
              <w:sz w:val="20"/>
              <w:szCs w:val="20"/>
              <w:lang w:val="en-US" w:eastAsia="en-US"/>
            </w:rPr>
          </w:pPr>
          <w:r w:rsidRPr="00FC3F1B">
            <w:rPr>
              <w:b/>
              <w:bCs/>
              <w:color w:val="auto"/>
              <w:sz w:val="20"/>
              <w:szCs w:val="20"/>
              <w:lang w:val="en-US" w:eastAsia="en-US"/>
            </w:rPr>
            <w:t>B</w:t>
          </w:r>
          <w:r>
            <w:rPr>
              <w:b/>
              <w:bCs/>
              <w:color w:val="auto"/>
              <w:sz w:val="20"/>
              <w:szCs w:val="20"/>
              <w:lang w:val="en-US" w:eastAsia="en-US"/>
            </w:rPr>
            <w:t>áo cáo Tài chính Quý IV – Năm 2015</w:t>
          </w:r>
          <w:r w:rsidRPr="00FC3F1B">
            <w:rPr>
              <w:b/>
              <w:bCs/>
              <w:color w:val="auto"/>
              <w:sz w:val="20"/>
              <w:szCs w:val="20"/>
              <w:lang w:val="en-US" w:eastAsia="en-US"/>
            </w:rPr>
            <w:t xml:space="preserve"> </w:t>
          </w:r>
        </w:p>
        <w:p w:rsidR="00715FEA" w:rsidRPr="00672E2D" w:rsidRDefault="00715FEA" w:rsidP="00715FEA">
          <w:pPr>
            <w:pStyle w:val="Header"/>
            <w:tabs>
              <w:tab w:val="clear" w:pos="4320"/>
              <w:tab w:val="clear" w:pos="8640"/>
            </w:tabs>
            <w:ind w:right="-39"/>
            <w:jc w:val="right"/>
            <w:rPr>
              <w:b/>
              <w:bCs/>
              <w:color w:val="auto"/>
              <w:sz w:val="2"/>
              <w:szCs w:val="20"/>
              <w:lang w:val="it-IT" w:eastAsia="en-US"/>
            </w:rPr>
          </w:pPr>
        </w:p>
      </w:tc>
    </w:tr>
  </w:tbl>
  <w:p w:rsidR="00715FEA" w:rsidRPr="00ED517E" w:rsidRDefault="00715FEA" w:rsidP="00715FEA">
    <w:pPr>
      <w:pStyle w:val="Header"/>
      <w:jc w:val="right"/>
      <w:rPr>
        <w:b/>
        <w:bCs/>
        <w:color w:val="auto"/>
        <w:sz w:val="2"/>
        <w:szCs w:val="2"/>
        <w:lang w:val="it-IT"/>
      </w:rPr>
    </w:pPr>
  </w:p>
  <w:p w:rsidR="00715FEA" w:rsidRPr="00312DA0" w:rsidRDefault="00715FEA" w:rsidP="00715FEA">
    <w:pPr>
      <w:pStyle w:val="Header"/>
      <w:jc w:val="right"/>
      <w:rPr>
        <w:b/>
        <w:bCs/>
        <w:color w:val="auto"/>
        <w:sz w:val="10"/>
        <w:szCs w:val="22"/>
        <w:lang w:val="it-IT"/>
      </w:rPr>
    </w:pPr>
  </w:p>
  <w:p w:rsidR="00715FEA" w:rsidRPr="00672E2D" w:rsidRDefault="00715FEA" w:rsidP="00715FEA">
    <w:pPr>
      <w:pStyle w:val="Header"/>
      <w:spacing w:line="280" w:lineRule="exact"/>
      <w:jc w:val="center"/>
      <w:rPr>
        <w:b/>
        <w:bCs/>
        <w:color w:val="auto"/>
        <w:sz w:val="12"/>
        <w:szCs w:val="24"/>
        <w:lang w:val="it-IT"/>
      </w:rPr>
    </w:pPr>
  </w:p>
  <w:p w:rsidR="00715FEA" w:rsidRPr="00ED517E" w:rsidRDefault="00715FEA" w:rsidP="00715FEA">
    <w:pPr>
      <w:pStyle w:val="Header"/>
      <w:spacing w:line="280" w:lineRule="exact"/>
      <w:ind w:firstLine="142"/>
      <w:rPr>
        <w:b/>
        <w:bCs/>
        <w:color w:val="auto"/>
        <w:sz w:val="24"/>
        <w:szCs w:val="24"/>
        <w:lang w:val="it-IT"/>
      </w:rPr>
    </w:pPr>
    <w:r w:rsidRPr="00ED517E">
      <w:rPr>
        <w:b/>
        <w:bCs/>
        <w:color w:val="auto"/>
        <w:sz w:val="24"/>
        <w:szCs w:val="24"/>
        <w:lang w:val="it-IT"/>
      </w:rPr>
      <w:t>BẢN THUYẾT MINH BÁO CÁO TÀI CHÍNH</w:t>
    </w:r>
    <w:r>
      <w:rPr>
        <w:b/>
        <w:bCs/>
        <w:color w:val="auto"/>
        <w:sz w:val="24"/>
        <w:szCs w:val="24"/>
        <w:lang w:val="it-IT"/>
      </w:rPr>
      <w:t xml:space="preserve"> QUÝ IV/ 2015</w:t>
    </w:r>
  </w:p>
  <w:p w:rsidR="00715FEA" w:rsidRPr="00312DA0" w:rsidRDefault="00715FEA" w:rsidP="00715FEA">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99E"/>
    <w:multiLevelType w:val="hybridMultilevel"/>
    <w:tmpl w:val="E1DC6B66"/>
    <w:lvl w:ilvl="0" w:tplc="879CE86C">
      <w:start w:val="1"/>
      <w:numFmt w:val="decimal"/>
      <w:lvlText w:val="%1."/>
      <w:lvlJc w:val="left"/>
      <w:pPr>
        <w:tabs>
          <w:tab w:val="num" w:pos="454"/>
        </w:tabs>
        <w:ind w:left="76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9665D"/>
    <w:multiLevelType w:val="hybridMultilevel"/>
    <w:tmpl w:val="84D43222"/>
    <w:lvl w:ilvl="0" w:tplc="6ADE256E">
      <w:start w:val="1"/>
      <w:numFmt w:val="decimal"/>
      <w:lvlText w:val="%1."/>
      <w:lvlJc w:val="left"/>
      <w:pPr>
        <w:tabs>
          <w:tab w:val="num" w:pos="454"/>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C5643A"/>
    <w:multiLevelType w:val="hybridMultilevel"/>
    <w:tmpl w:val="D88E3C52"/>
    <w:lvl w:ilvl="0" w:tplc="DFA42370">
      <w:start w:val="1"/>
      <w:numFmt w:val="upperRoman"/>
      <w:lvlText w:val="%1."/>
      <w:lvlJc w:val="left"/>
      <w:pPr>
        <w:tabs>
          <w:tab w:val="num" w:pos="454"/>
        </w:tabs>
        <w:ind w:left="765" w:hanging="765"/>
      </w:pPr>
      <w:rPr>
        <w:rFonts w:hint="default"/>
      </w:rPr>
    </w:lvl>
    <w:lvl w:ilvl="1" w:tplc="DB526760">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61392B"/>
    <w:multiLevelType w:val="singleLevel"/>
    <w:tmpl w:val="8D6030D2"/>
    <w:lvl w:ilvl="0">
      <w:numFmt w:val="bullet"/>
      <w:lvlText w:val="-"/>
      <w:lvlJc w:val="left"/>
      <w:pPr>
        <w:tabs>
          <w:tab w:val="num" w:pos="1138"/>
        </w:tabs>
        <w:ind w:left="1138" w:hanging="397"/>
      </w:pPr>
      <w:rPr>
        <w:rFonts w:ascii="Times New Roman" w:hAnsi="Times New Roman" w:hint="default"/>
      </w:rPr>
    </w:lvl>
  </w:abstractNum>
  <w:abstractNum w:abstractNumId="4">
    <w:nsid w:val="4CE93D80"/>
    <w:multiLevelType w:val="hybridMultilevel"/>
    <w:tmpl w:val="146A63B2"/>
    <w:lvl w:ilvl="0" w:tplc="FFFFFFFF">
      <w:start w:val="2"/>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AC506D"/>
    <w:multiLevelType w:val="hybridMultilevel"/>
    <w:tmpl w:val="5AACF304"/>
    <w:lvl w:ilvl="0" w:tplc="FB7A2216">
      <w:start w:val="1"/>
      <w:numFmt w:val="decimal"/>
      <w:lvlText w:val="%1."/>
      <w:lvlJc w:val="left"/>
      <w:pPr>
        <w:tabs>
          <w:tab w:val="num" w:pos="454"/>
        </w:tabs>
        <w:ind w:left="765" w:hanging="76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2162E1"/>
    <w:multiLevelType w:val="hybridMultilevel"/>
    <w:tmpl w:val="A598623C"/>
    <w:lvl w:ilvl="0" w:tplc="04090013">
      <w:start w:val="1"/>
      <w:numFmt w:val="upperRoman"/>
      <w:lvlText w:val="%1."/>
      <w:lvlJc w:val="right"/>
      <w:pPr>
        <w:tabs>
          <w:tab w:val="num" w:pos="720"/>
        </w:tabs>
        <w:ind w:left="720" w:hanging="180"/>
      </w:pPr>
    </w:lvl>
    <w:lvl w:ilvl="1" w:tplc="FE106350">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lvlOverride w:ilv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EA"/>
    <w:rsid w:val="00097FE8"/>
    <w:rsid w:val="00715FEA"/>
    <w:rsid w:val="008E7F01"/>
    <w:rsid w:val="00C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FEA"/>
    <w:pPr>
      <w:tabs>
        <w:tab w:val="center" w:pos="4320"/>
        <w:tab w:val="right" w:pos="8640"/>
      </w:tabs>
      <w:spacing w:after="0" w:line="240" w:lineRule="auto"/>
    </w:pPr>
    <w:rPr>
      <w:rFonts w:ascii="Times New Roman" w:eastAsia="Times New Roman" w:hAnsi="Times New Roman"/>
      <w:color w:val="0000FF"/>
      <w:sz w:val="28"/>
      <w:szCs w:val="28"/>
      <w:lang w:val="x-none" w:eastAsia="x-none"/>
    </w:rPr>
  </w:style>
  <w:style w:type="character" w:customStyle="1" w:styleId="HeaderChar">
    <w:name w:val="Header Char"/>
    <w:link w:val="Header"/>
    <w:rsid w:val="00715FEA"/>
    <w:rPr>
      <w:rFonts w:ascii="Times New Roman" w:eastAsia="Times New Roman" w:hAnsi="Times New Roman"/>
      <w:color w:val="0000FF"/>
      <w:sz w:val="28"/>
      <w:szCs w:val="28"/>
      <w:lang w:val="x-none" w:eastAsia="x-none"/>
    </w:rPr>
  </w:style>
  <w:style w:type="paragraph" w:styleId="Footer">
    <w:name w:val="footer"/>
    <w:basedOn w:val="Normal"/>
    <w:link w:val="FooterChar"/>
    <w:uiPriority w:val="99"/>
    <w:rsid w:val="00715FEA"/>
    <w:pPr>
      <w:tabs>
        <w:tab w:val="center" w:pos="4320"/>
        <w:tab w:val="right" w:pos="8640"/>
      </w:tabs>
      <w:spacing w:after="0" w:line="240" w:lineRule="auto"/>
    </w:pPr>
    <w:rPr>
      <w:rFonts w:ascii="Times New Roman" w:eastAsia="Times New Roman" w:hAnsi="Times New Roman"/>
      <w:color w:val="0000FF"/>
      <w:sz w:val="28"/>
      <w:szCs w:val="28"/>
    </w:rPr>
  </w:style>
  <w:style w:type="character" w:customStyle="1" w:styleId="FooterChar">
    <w:name w:val="Footer Char"/>
    <w:link w:val="Footer"/>
    <w:uiPriority w:val="99"/>
    <w:rsid w:val="00715FEA"/>
    <w:rPr>
      <w:rFonts w:ascii="Times New Roman" w:eastAsia="Times New Roman" w:hAnsi="Times New Roman"/>
      <w:color w:val="0000FF"/>
      <w:sz w:val="28"/>
      <w:szCs w:val="28"/>
    </w:rPr>
  </w:style>
  <w:style w:type="character" w:styleId="PageNumber">
    <w:name w:val="page number"/>
    <w:rsid w:val="00715FEA"/>
  </w:style>
  <w:style w:type="paragraph" w:styleId="BodyTextIndent">
    <w:name w:val="Body Text Indent"/>
    <w:basedOn w:val="Normal"/>
    <w:link w:val="BodyTextIndentChar"/>
    <w:rsid w:val="00715FEA"/>
    <w:pPr>
      <w:tabs>
        <w:tab w:val="num" w:pos="0"/>
      </w:tabs>
      <w:spacing w:after="0" w:line="240" w:lineRule="auto"/>
      <w:ind w:hanging="6"/>
      <w:jc w:val="both"/>
    </w:pPr>
    <w:rPr>
      <w:rFonts w:ascii=".VnTime" w:eastAsia="Times New Roman" w:hAnsi=".VnTime"/>
      <w:bCs/>
      <w:sz w:val="24"/>
      <w:szCs w:val="24"/>
      <w:lang w:val="nl-NL"/>
    </w:rPr>
  </w:style>
  <w:style w:type="character" w:customStyle="1" w:styleId="BodyTextIndentChar">
    <w:name w:val="Body Text Indent Char"/>
    <w:link w:val="BodyTextIndent"/>
    <w:rsid w:val="00715FEA"/>
    <w:rPr>
      <w:rFonts w:ascii=".VnTime" w:eastAsia="Times New Roman" w:hAnsi=".VnTime"/>
      <w:bCs/>
      <w:sz w:val="24"/>
      <w:szCs w:val="24"/>
      <w:lang w:val="nl-NL"/>
    </w:rPr>
  </w:style>
  <w:style w:type="paragraph" w:styleId="BodyTextIndent2">
    <w:name w:val="Body Text Indent 2"/>
    <w:basedOn w:val="Normal"/>
    <w:link w:val="BodyTextIndent2Char"/>
    <w:rsid w:val="00715FEA"/>
    <w:pPr>
      <w:spacing w:after="0" w:line="240" w:lineRule="auto"/>
      <w:ind w:left="360"/>
      <w:jc w:val="both"/>
    </w:pPr>
    <w:rPr>
      <w:rFonts w:ascii=".VnTime" w:eastAsia="Times New Roman" w:hAnsi=".VnTime"/>
      <w:color w:val="000000"/>
      <w:szCs w:val="24"/>
      <w:lang w:val="nl-NL" w:eastAsia="x-none"/>
    </w:rPr>
  </w:style>
  <w:style w:type="character" w:customStyle="1" w:styleId="BodyTextIndent2Char">
    <w:name w:val="Body Text Indent 2 Char"/>
    <w:link w:val="BodyTextIndent2"/>
    <w:rsid w:val="00715FEA"/>
    <w:rPr>
      <w:rFonts w:ascii=".VnTime" w:eastAsia="Times New Roman" w:hAnsi=".VnTime"/>
      <w:color w:val="000000"/>
      <w:sz w:val="22"/>
      <w:szCs w:val="24"/>
      <w:lang w:val="nl-NL" w:eastAsia="x-none"/>
    </w:rPr>
  </w:style>
  <w:style w:type="paragraph" w:styleId="ListParagraph">
    <w:name w:val="List Paragraph"/>
    <w:basedOn w:val="Normal"/>
    <w:uiPriority w:val="34"/>
    <w:qFormat/>
    <w:rsid w:val="00715FEA"/>
    <w:pPr>
      <w:spacing w:after="0" w:line="240" w:lineRule="auto"/>
      <w:ind w:left="720"/>
    </w:pPr>
    <w:rPr>
      <w:rFonts w:ascii="VNI-Times" w:eastAsia="Batang" w:hAnsi="VNI-Times"/>
      <w:sz w:val="24"/>
      <w:szCs w:val="24"/>
      <w:lang w:eastAsia="ko-KR"/>
    </w:rPr>
  </w:style>
  <w:style w:type="paragraph" w:customStyle="1" w:styleId="Level0">
    <w:name w:val="Level 0"/>
    <w:basedOn w:val="Normal"/>
    <w:rsid w:val="00715FEA"/>
    <w:pPr>
      <w:tabs>
        <w:tab w:val="left" w:pos="576"/>
        <w:tab w:val="left" w:pos="1152"/>
        <w:tab w:val="left" w:pos="1728"/>
        <w:tab w:val="left" w:pos="2304"/>
      </w:tabs>
      <w:spacing w:before="120" w:after="0" w:line="240" w:lineRule="atLeast"/>
      <w:ind w:left="576" w:hanging="576"/>
    </w:pPr>
    <w:rPr>
      <w:rFonts w:ascii="Times New Roman" w:eastAsia="PMingLiU" w:hAnsi="Times New Roman"/>
      <w:sz w:val="18"/>
      <w:szCs w:val="20"/>
      <w:lang w:val="en-GB"/>
    </w:rPr>
  </w:style>
  <w:style w:type="paragraph" w:styleId="BlockText">
    <w:name w:val="Block Text"/>
    <w:basedOn w:val="Normal"/>
    <w:uiPriority w:val="99"/>
    <w:rsid w:val="00715FEA"/>
    <w:pPr>
      <w:spacing w:after="0" w:line="240" w:lineRule="auto"/>
      <w:ind w:left="360" w:right="-16"/>
      <w:jc w:val="both"/>
    </w:pPr>
    <w:rPr>
      <w:rFonts w:ascii="Times New Roman" w:eastAsia="PMingLiU"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FEA"/>
    <w:pPr>
      <w:tabs>
        <w:tab w:val="center" w:pos="4320"/>
        <w:tab w:val="right" w:pos="8640"/>
      </w:tabs>
      <w:spacing w:after="0" w:line="240" w:lineRule="auto"/>
    </w:pPr>
    <w:rPr>
      <w:rFonts w:ascii="Times New Roman" w:eastAsia="Times New Roman" w:hAnsi="Times New Roman"/>
      <w:color w:val="0000FF"/>
      <w:sz w:val="28"/>
      <w:szCs w:val="28"/>
      <w:lang w:val="x-none" w:eastAsia="x-none"/>
    </w:rPr>
  </w:style>
  <w:style w:type="character" w:customStyle="1" w:styleId="HeaderChar">
    <w:name w:val="Header Char"/>
    <w:link w:val="Header"/>
    <w:rsid w:val="00715FEA"/>
    <w:rPr>
      <w:rFonts w:ascii="Times New Roman" w:eastAsia="Times New Roman" w:hAnsi="Times New Roman"/>
      <w:color w:val="0000FF"/>
      <w:sz w:val="28"/>
      <w:szCs w:val="28"/>
      <w:lang w:val="x-none" w:eastAsia="x-none"/>
    </w:rPr>
  </w:style>
  <w:style w:type="paragraph" w:styleId="Footer">
    <w:name w:val="footer"/>
    <w:basedOn w:val="Normal"/>
    <w:link w:val="FooterChar"/>
    <w:uiPriority w:val="99"/>
    <w:rsid w:val="00715FEA"/>
    <w:pPr>
      <w:tabs>
        <w:tab w:val="center" w:pos="4320"/>
        <w:tab w:val="right" w:pos="8640"/>
      </w:tabs>
      <w:spacing w:after="0" w:line="240" w:lineRule="auto"/>
    </w:pPr>
    <w:rPr>
      <w:rFonts w:ascii="Times New Roman" w:eastAsia="Times New Roman" w:hAnsi="Times New Roman"/>
      <w:color w:val="0000FF"/>
      <w:sz w:val="28"/>
      <w:szCs w:val="28"/>
    </w:rPr>
  </w:style>
  <w:style w:type="character" w:customStyle="1" w:styleId="FooterChar">
    <w:name w:val="Footer Char"/>
    <w:link w:val="Footer"/>
    <w:uiPriority w:val="99"/>
    <w:rsid w:val="00715FEA"/>
    <w:rPr>
      <w:rFonts w:ascii="Times New Roman" w:eastAsia="Times New Roman" w:hAnsi="Times New Roman"/>
      <w:color w:val="0000FF"/>
      <w:sz w:val="28"/>
      <w:szCs w:val="28"/>
    </w:rPr>
  </w:style>
  <w:style w:type="character" w:styleId="PageNumber">
    <w:name w:val="page number"/>
    <w:rsid w:val="00715FEA"/>
  </w:style>
  <w:style w:type="paragraph" w:styleId="BodyTextIndent">
    <w:name w:val="Body Text Indent"/>
    <w:basedOn w:val="Normal"/>
    <w:link w:val="BodyTextIndentChar"/>
    <w:rsid w:val="00715FEA"/>
    <w:pPr>
      <w:tabs>
        <w:tab w:val="num" w:pos="0"/>
      </w:tabs>
      <w:spacing w:after="0" w:line="240" w:lineRule="auto"/>
      <w:ind w:hanging="6"/>
      <w:jc w:val="both"/>
    </w:pPr>
    <w:rPr>
      <w:rFonts w:ascii=".VnTime" w:eastAsia="Times New Roman" w:hAnsi=".VnTime"/>
      <w:bCs/>
      <w:sz w:val="24"/>
      <w:szCs w:val="24"/>
      <w:lang w:val="nl-NL"/>
    </w:rPr>
  </w:style>
  <w:style w:type="character" w:customStyle="1" w:styleId="BodyTextIndentChar">
    <w:name w:val="Body Text Indent Char"/>
    <w:link w:val="BodyTextIndent"/>
    <w:rsid w:val="00715FEA"/>
    <w:rPr>
      <w:rFonts w:ascii=".VnTime" w:eastAsia="Times New Roman" w:hAnsi=".VnTime"/>
      <w:bCs/>
      <w:sz w:val="24"/>
      <w:szCs w:val="24"/>
      <w:lang w:val="nl-NL"/>
    </w:rPr>
  </w:style>
  <w:style w:type="paragraph" w:styleId="BodyTextIndent2">
    <w:name w:val="Body Text Indent 2"/>
    <w:basedOn w:val="Normal"/>
    <w:link w:val="BodyTextIndent2Char"/>
    <w:rsid w:val="00715FEA"/>
    <w:pPr>
      <w:spacing w:after="0" w:line="240" w:lineRule="auto"/>
      <w:ind w:left="360"/>
      <w:jc w:val="both"/>
    </w:pPr>
    <w:rPr>
      <w:rFonts w:ascii=".VnTime" w:eastAsia="Times New Roman" w:hAnsi=".VnTime"/>
      <w:color w:val="000000"/>
      <w:szCs w:val="24"/>
      <w:lang w:val="nl-NL" w:eastAsia="x-none"/>
    </w:rPr>
  </w:style>
  <w:style w:type="character" w:customStyle="1" w:styleId="BodyTextIndent2Char">
    <w:name w:val="Body Text Indent 2 Char"/>
    <w:link w:val="BodyTextIndent2"/>
    <w:rsid w:val="00715FEA"/>
    <w:rPr>
      <w:rFonts w:ascii=".VnTime" w:eastAsia="Times New Roman" w:hAnsi=".VnTime"/>
      <w:color w:val="000000"/>
      <w:sz w:val="22"/>
      <w:szCs w:val="24"/>
      <w:lang w:val="nl-NL" w:eastAsia="x-none"/>
    </w:rPr>
  </w:style>
  <w:style w:type="paragraph" w:styleId="ListParagraph">
    <w:name w:val="List Paragraph"/>
    <w:basedOn w:val="Normal"/>
    <w:uiPriority w:val="34"/>
    <w:qFormat/>
    <w:rsid w:val="00715FEA"/>
    <w:pPr>
      <w:spacing w:after="0" w:line="240" w:lineRule="auto"/>
      <w:ind w:left="720"/>
    </w:pPr>
    <w:rPr>
      <w:rFonts w:ascii="VNI-Times" w:eastAsia="Batang" w:hAnsi="VNI-Times"/>
      <w:sz w:val="24"/>
      <w:szCs w:val="24"/>
      <w:lang w:eastAsia="ko-KR"/>
    </w:rPr>
  </w:style>
  <w:style w:type="paragraph" w:customStyle="1" w:styleId="Level0">
    <w:name w:val="Level 0"/>
    <w:basedOn w:val="Normal"/>
    <w:rsid w:val="00715FEA"/>
    <w:pPr>
      <w:tabs>
        <w:tab w:val="left" w:pos="576"/>
        <w:tab w:val="left" w:pos="1152"/>
        <w:tab w:val="left" w:pos="1728"/>
        <w:tab w:val="left" w:pos="2304"/>
      </w:tabs>
      <w:spacing w:before="120" w:after="0" w:line="240" w:lineRule="atLeast"/>
      <w:ind w:left="576" w:hanging="576"/>
    </w:pPr>
    <w:rPr>
      <w:rFonts w:ascii="Times New Roman" w:eastAsia="PMingLiU" w:hAnsi="Times New Roman"/>
      <w:sz w:val="18"/>
      <w:szCs w:val="20"/>
      <w:lang w:val="en-GB"/>
    </w:rPr>
  </w:style>
  <w:style w:type="paragraph" w:styleId="BlockText">
    <w:name w:val="Block Text"/>
    <w:basedOn w:val="Normal"/>
    <w:uiPriority w:val="99"/>
    <w:rsid w:val="00715FEA"/>
    <w:pPr>
      <w:spacing w:after="0" w:line="240" w:lineRule="auto"/>
      <w:ind w:left="360" w:right="-16"/>
      <w:jc w:val="both"/>
    </w:pPr>
    <w:rPr>
      <w:rFonts w:ascii="Times New Roman" w:eastAsia="PMingLiU"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dcterms:created xsi:type="dcterms:W3CDTF">2016-01-21T08:15:00Z</dcterms:created>
  <dcterms:modified xsi:type="dcterms:W3CDTF">2016-01-21T08:15:00Z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b7006502fbb4e11afc50d58665b12c0.psdsxs" Id="R46eca1a074b845bf" /></Relationships>
</file>