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3293e1e33c9485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743" w:type="dxa"/>
        <w:tblLook w:val="01E0" w:firstRow="1" w:lastRow="1" w:firstColumn="1" w:lastColumn="1" w:noHBand="0" w:noVBand="0"/>
      </w:tblPr>
      <w:tblGrid>
        <w:gridCol w:w="4537"/>
        <w:gridCol w:w="5554"/>
      </w:tblGrid>
      <w:tr w:rsidR="000148BC" w:rsidRPr="005F7261" w:rsidTr="000148BC">
        <w:tc>
          <w:tcPr>
            <w:tcW w:w="4537" w:type="dxa"/>
          </w:tcPr>
          <w:p w:rsidR="000148BC" w:rsidRDefault="000148BC" w:rsidP="007F6B4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148BC" w:rsidRDefault="000148BC" w:rsidP="007F6B4E">
            <w:pPr>
              <w:jc w:val="center"/>
              <w:rPr>
                <w:b/>
              </w:rPr>
            </w:pPr>
            <w:r w:rsidRPr="003B612A">
              <w:rPr>
                <w:b/>
              </w:rPr>
              <w:t>CÔNG TY CỔ PHẦN</w:t>
            </w:r>
            <w:r>
              <w:rPr>
                <w:b/>
              </w:rPr>
              <w:t xml:space="preserve"> </w:t>
            </w:r>
          </w:p>
          <w:p w:rsidR="000148BC" w:rsidRPr="003B612A" w:rsidRDefault="000148BC" w:rsidP="007F6B4E">
            <w:pPr>
              <w:jc w:val="center"/>
              <w:rPr>
                <w:b/>
              </w:rPr>
            </w:pPr>
            <w:r>
              <w:rPr>
                <w:b/>
              </w:rPr>
              <w:t>KHOÁNG SẢN QUANG ANH</w:t>
            </w:r>
          </w:p>
          <w:p w:rsidR="000148BC" w:rsidRDefault="004716F3" w:rsidP="007F6B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45719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pt,3.6pt" to="13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"/>
                  </w:pict>
                </mc:Fallback>
              </mc:AlternateContent>
            </w:r>
          </w:p>
          <w:p w:rsidR="000148BC" w:rsidRPr="003B612A" w:rsidRDefault="000148BC" w:rsidP="007F6B4E">
            <w:pPr>
              <w:jc w:val="center"/>
            </w:pPr>
            <w:r>
              <w:t xml:space="preserve">Số: </w:t>
            </w:r>
            <w:r w:rsidR="0054640C">
              <w:t>201</w:t>
            </w:r>
            <w:r>
              <w:t>/</w:t>
            </w:r>
            <w:r w:rsidR="00C66A32">
              <w:t>2016/GT</w:t>
            </w:r>
            <w:r>
              <w:t>-KSQ</w:t>
            </w:r>
          </w:p>
          <w:p w:rsidR="000148BC" w:rsidRPr="004E5DD2" w:rsidRDefault="000148BC" w:rsidP="007F6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4" w:type="dxa"/>
          </w:tcPr>
          <w:p w:rsidR="000148BC" w:rsidRDefault="000148BC" w:rsidP="007F6B4E">
            <w:pPr>
              <w:jc w:val="center"/>
              <w:rPr>
                <w:b/>
              </w:rPr>
            </w:pPr>
          </w:p>
          <w:p w:rsidR="000148BC" w:rsidRPr="003B612A" w:rsidRDefault="000148BC" w:rsidP="007F6B4E">
            <w:pPr>
              <w:jc w:val="center"/>
              <w:rPr>
                <w:b/>
              </w:rPr>
            </w:pPr>
            <w:r w:rsidRPr="003B612A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B612A">
                  <w:rPr>
                    <w:b/>
                  </w:rPr>
                  <w:t>NAM</w:t>
                </w:r>
              </w:smartTag>
            </w:smartTag>
          </w:p>
          <w:p w:rsidR="000148BC" w:rsidRDefault="000148BC" w:rsidP="007F6B4E">
            <w:pPr>
              <w:jc w:val="center"/>
              <w:rPr>
                <w:b/>
                <w:sz w:val="26"/>
                <w:szCs w:val="26"/>
              </w:rPr>
            </w:pPr>
            <w:r w:rsidRPr="00653D59">
              <w:rPr>
                <w:rFonts w:hint="eastAsia"/>
                <w:b/>
                <w:sz w:val="26"/>
                <w:szCs w:val="26"/>
              </w:rPr>
              <w:t>Đ</w:t>
            </w:r>
            <w:r w:rsidRPr="00653D59">
              <w:rPr>
                <w:b/>
                <w:sz w:val="26"/>
                <w:szCs w:val="26"/>
              </w:rPr>
              <w:t>ộc</w:t>
            </w:r>
            <w:r>
              <w:rPr>
                <w:b/>
                <w:sz w:val="26"/>
                <w:szCs w:val="26"/>
              </w:rPr>
              <w:t xml:space="preserve"> l</w:t>
            </w:r>
            <w:r w:rsidRPr="00653D59">
              <w:rPr>
                <w:b/>
                <w:sz w:val="26"/>
                <w:szCs w:val="26"/>
              </w:rPr>
              <w:t>ập</w:t>
            </w:r>
            <w:r>
              <w:rPr>
                <w:b/>
                <w:sz w:val="26"/>
                <w:szCs w:val="26"/>
              </w:rPr>
              <w:t xml:space="preserve"> - T</w:t>
            </w:r>
            <w:r w:rsidRPr="00653D59"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do - H</w:t>
            </w:r>
            <w:r w:rsidRPr="00653D59">
              <w:rPr>
                <w:b/>
                <w:sz w:val="26"/>
                <w:szCs w:val="26"/>
              </w:rPr>
              <w:t>ạnh</w:t>
            </w:r>
            <w:r>
              <w:rPr>
                <w:b/>
                <w:sz w:val="26"/>
                <w:szCs w:val="26"/>
              </w:rPr>
              <w:t xml:space="preserve"> ph</w:t>
            </w:r>
            <w:r w:rsidRPr="00653D59">
              <w:rPr>
                <w:b/>
                <w:sz w:val="26"/>
                <w:szCs w:val="26"/>
              </w:rPr>
              <w:t>úc</w:t>
            </w:r>
          </w:p>
          <w:p w:rsidR="000148BC" w:rsidRDefault="004716F3" w:rsidP="007F6B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73024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6pt,5.75pt" to="216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"/>
                  </w:pict>
                </mc:Fallback>
              </mc:AlternateContent>
            </w:r>
            <w:r w:rsidR="000148BC">
              <w:rPr>
                <w:b/>
                <w:sz w:val="26"/>
                <w:szCs w:val="26"/>
              </w:rPr>
              <w:t xml:space="preserve">        </w:t>
            </w:r>
          </w:p>
          <w:p w:rsidR="000148BC" w:rsidRPr="003B612A" w:rsidRDefault="000148BC" w:rsidP="0054640C">
            <w:pPr>
              <w:jc w:val="right"/>
              <w:rPr>
                <w:i/>
              </w:rPr>
            </w:pPr>
            <w:r w:rsidRPr="003B612A">
              <w:rPr>
                <w:i/>
              </w:rPr>
              <w:t>Hà Nội, ngày</w:t>
            </w:r>
            <w:r w:rsidR="0054640C">
              <w:rPr>
                <w:i/>
              </w:rPr>
              <w:t xml:space="preserve"> 20</w:t>
            </w:r>
            <w:r>
              <w:rPr>
                <w:i/>
              </w:rPr>
              <w:t xml:space="preserve">  </w:t>
            </w:r>
            <w:r w:rsidRPr="003B612A">
              <w:rPr>
                <w:i/>
              </w:rPr>
              <w:t xml:space="preserve">tháng </w:t>
            </w:r>
            <w:r w:rsidR="0054640C">
              <w:rPr>
                <w:i/>
              </w:rPr>
              <w:t>1</w:t>
            </w:r>
            <w:r>
              <w:rPr>
                <w:i/>
              </w:rPr>
              <w:t xml:space="preserve">   </w:t>
            </w:r>
            <w:r w:rsidRPr="003B612A">
              <w:rPr>
                <w:i/>
              </w:rPr>
              <w:t>n</w:t>
            </w:r>
            <w:r w:rsidRPr="003B612A">
              <w:rPr>
                <w:rFonts w:hint="eastAsia"/>
                <w:i/>
              </w:rPr>
              <w:t>ă</w:t>
            </w:r>
            <w:r w:rsidR="00C66A32">
              <w:rPr>
                <w:i/>
              </w:rPr>
              <w:t>m 2016</w:t>
            </w:r>
          </w:p>
        </w:tc>
      </w:tr>
    </w:tbl>
    <w:p w:rsidR="000148BC" w:rsidRPr="007E7219" w:rsidRDefault="000148BC" w:rsidP="007857BB">
      <w:pPr>
        <w:pStyle w:val="Title"/>
        <w:rPr>
          <w:rFonts w:ascii="Times New Roman" w:hAnsi="Times New Roman"/>
          <w:sz w:val="28"/>
          <w:szCs w:val="28"/>
        </w:rPr>
      </w:pPr>
      <w:r w:rsidRPr="007E7219">
        <w:rPr>
          <w:rFonts w:ascii="Times New Roman" w:hAnsi="Times New Roman"/>
          <w:sz w:val="28"/>
          <w:szCs w:val="28"/>
        </w:rPr>
        <w:t xml:space="preserve">GIẢI TRÌNH </w:t>
      </w:r>
      <w:r w:rsidR="00637ABE" w:rsidRPr="007E7219">
        <w:rPr>
          <w:rFonts w:ascii="Times New Roman" w:hAnsi="Times New Roman"/>
          <w:sz w:val="28"/>
          <w:szCs w:val="28"/>
        </w:rPr>
        <w:t xml:space="preserve">CHÊNH LỆCH </w:t>
      </w:r>
      <w:r w:rsidR="007857BB" w:rsidRPr="007E7219">
        <w:rPr>
          <w:rFonts w:ascii="Times New Roman" w:hAnsi="Times New Roman"/>
          <w:sz w:val="28"/>
          <w:szCs w:val="28"/>
        </w:rPr>
        <w:t>LỢI NHUẬN</w:t>
      </w:r>
      <w:r w:rsidR="00637ABE" w:rsidRPr="007E7219">
        <w:rPr>
          <w:rFonts w:ascii="Times New Roman" w:hAnsi="Times New Roman"/>
          <w:sz w:val="28"/>
          <w:szCs w:val="28"/>
        </w:rPr>
        <w:t xml:space="preserve"> QUÝ </w:t>
      </w:r>
      <w:r w:rsidR="00637ABE" w:rsidRPr="004100E7">
        <w:rPr>
          <w:rFonts w:ascii="Times New Roman" w:hAnsi="Times New Roman"/>
          <w:sz w:val="28"/>
          <w:szCs w:val="28"/>
        </w:rPr>
        <w:t>I</w:t>
      </w:r>
      <w:r w:rsidR="003F5D2C" w:rsidRPr="004100E7">
        <w:rPr>
          <w:rFonts w:ascii="Times New Roman" w:hAnsi="Times New Roman"/>
          <w:sz w:val="28"/>
          <w:szCs w:val="28"/>
        </w:rPr>
        <w:t>V</w:t>
      </w:r>
      <w:r w:rsidR="00637ABE" w:rsidRPr="007E7219">
        <w:rPr>
          <w:rFonts w:ascii="Times New Roman" w:hAnsi="Times New Roman"/>
          <w:sz w:val="28"/>
          <w:szCs w:val="28"/>
        </w:rPr>
        <w:t>/2015</w:t>
      </w:r>
    </w:p>
    <w:p w:rsidR="000148BC" w:rsidRDefault="000148BC" w:rsidP="000148BC">
      <w:pPr>
        <w:pStyle w:val="Title"/>
        <w:jc w:val="both"/>
        <w:rPr>
          <w:rFonts w:ascii="Times New Roman" w:hAnsi="Times New Roman"/>
          <w:sz w:val="26"/>
          <w:szCs w:val="26"/>
        </w:rPr>
      </w:pPr>
    </w:p>
    <w:tbl>
      <w:tblPr>
        <w:tblW w:w="778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6230"/>
      </w:tblGrid>
      <w:tr w:rsidR="000148BC" w:rsidRPr="003B612A" w:rsidTr="007857BB">
        <w:trPr>
          <w:trHeight w:val="297"/>
        </w:trPr>
        <w:tc>
          <w:tcPr>
            <w:tcW w:w="1559" w:type="dxa"/>
          </w:tcPr>
          <w:p w:rsidR="000148BC" w:rsidRPr="007857BB" w:rsidRDefault="000148BC" w:rsidP="007F6B4E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7857BB">
              <w:rPr>
                <w:b/>
                <w:i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6230" w:type="dxa"/>
          </w:tcPr>
          <w:p w:rsidR="000148BC" w:rsidRPr="003B612A" w:rsidRDefault="000148BC" w:rsidP="007F6B4E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 w:rsidRPr="003B612A">
              <w:rPr>
                <w:b/>
                <w:sz w:val="26"/>
                <w:szCs w:val="26"/>
              </w:rPr>
              <w:t xml:space="preserve"> Ủy ban Chứng khoán Nhà nước</w:t>
            </w:r>
            <w:r>
              <w:rPr>
                <w:b/>
                <w:sz w:val="26"/>
                <w:szCs w:val="26"/>
              </w:rPr>
              <w:t>;</w:t>
            </w:r>
          </w:p>
        </w:tc>
      </w:tr>
      <w:tr w:rsidR="000148BC" w:rsidRPr="003B612A" w:rsidTr="007857BB">
        <w:trPr>
          <w:trHeight w:val="297"/>
        </w:trPr>
        <w:tc>
          <w:tcPr>
            <w:tcW w:w="1559" w:type="dxa"/>
          </w:tcPr>
          <w:p w:rsidR="000148BC" w:rsidRPr="003B612A" w:rsidRDefault="000148BC" w:rsidP="007F6B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0" w:type="dxa"/>
          </w:tcPr>
          <w:p w:rsidR="000148BC" w:rsidRPr="003B612A" w:rsidRDefault="000148BC" w:rsidP="007F6B4E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3B612A">
              <w:rPr>
                <w:b/>
                <w:bCs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7857BB" w:rsidRDefault="007857BB" w:rsidP="000148BC"/>
    <w:p w:rsidR="000148BC" w:rsidRDefault="007857BB" w:rsidP="003F5D2C">
      <w:pPr>
        <w:ind w:firstLine="720"/>
      </w:pPr>
      <w:r>
        <w:t>Công ty cổ phần khoán</w:t>
      </w:r>
      <w:r w:rsidR="003F5D2C">
        <w:t>g sản Quang Anh(HNX:</w:t>
      </w:r>
      <w:r>
        <w:t>KSQ</w:t>
      </w:r>
      <w:r w:rsidR="003F5D2C">
        <w:t>)</w:t>
      </w:r>
      <w:r>
        <w:t>, xin giải trình về việc</w:t>
      </w:r>
      <w:r w:rsidR="00D80CF3">
        <w:t xml:space="preserve"> </w:t>
      </w:r>
      <w:r w:rsidR="003F5D2C">
        <w:t xml:space="preserve">chênh lệch </w:t>
      </w:r>
      <w:r w:rsidR="00C43FA2" w:rsidRPr="004100E7">
        <w:t xml:space="preserve">lợi nhuận sau thuế </w:t>
      </w:r>
      <w:r w:rsidR="00D80CF3" w:rsidRPr="004100E7">
        <w:t>quý IV</w:t>
      </w:r>
      <w:r w:rsidRPr="004100E7">
        <w:t xml:space="preserve">/2015 </w:t>
      </w:r>
      <w:r w:rsidR="00D80CF3" w:rsidRPr="004100E7">
        <w:t>so với quý IV</w:t>
      </w:r>
      <w:r w:rsidRPr="004100E7">
        <w:t>/2014.</w:t>
      </w:r>
      <w:r>
        <w:t xml:space="preserve"> </w:t>
      </w:r>
    </w:p>
    <w:p w:rsidR="000148BC" w:rsidRDefault="000148BC" w:rsidP="000148BC"/>
    <w:p w:rsidR="000148BC" w:rsidRPr="001C4557" w:rsidRDefault="00D80CF3" w:rsidP="000148BC">
      <w:pPr>
        <w:rPr>
          <w:b/>
          <w:u w:val="single"/>
        </w:rPr>
      </w:pPr>
      <w:r>
        <w:rPr>
          <w:b/>
          <w:u w:val="single"/>
        </w:rPr>
        <w:t xml:space="preserve">Giảm lợi nhuận sau thuế </w:t>
      </w:r>
      <w:r w:rsidR="000148BC" w:rsidRPr="001C4557">
        <w:rPr>
          <w:b/>
          <w:u w:val="single"/>
        </w:rPr>
        <w:t>so với cùng kỳ năm trước:</w:t>
      </w:r>
    </w:p>
    <w:p w:rsidR="000148BC" w:rsidRDefault="000148BC" w:rsidP="000148BC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2250"/>
        <w:gridCol w:w="1710"/>
        <w:gridCol w:w="1260"/>
      </w:tblGrid>
      <w:tr w:rsidR="00D80CF3" w:rsidTr="00C43FA2">
        <w:trPr>
          <w:trHeight w:val="282"/>
        </w:trPr>
        <w:tc>
          <w:tcPr>
            <w:tcW w:w="2430" w:type="dxa"/>
            <w:vMerge w:val="restart"/>
            <w:shd w:val="clear" w:color="auto" w:fill="auto"/>
            <w:noWrap/>
            <w:vAlign w:val="center"/>
          </w:tcPr>
          <w:p w:rsidR="00D80CF3" w:rsidRPr="004100E7" w:rsidRDefault="00D80CF3" w:rsidP="00D80CF3">
            <w:pPr>
              <w:jc w:val="center"/>
              <w:rPr>
                <w:sz w:val="22"/>
                <w:szCs w:val="22"/>
              </w:rPr>
            </w:pPr>
            <w:r w:rsidRPr="004100E7">
              <w:rPr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center"/>
          </w:tcPr>
          <w:p w:rsidR="00D80CF3" w:rsidRPr="004100E7" w:rsidRDefault="00D80CF3" w:rsidP="00D80CF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100E7">
              <w:rPr>
                <w:b/>
                <w:bCs/>
                <w:sz w:val="22"/>
                <w:szCs w:val="22"/>
              </w:rPr>
              <w:t>Quý IV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80CF3" w:rsidRPr="004100E7" w:rsidRDefault="00D80CF3" w:rsidP="00D80CF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100E7">
              <w:rPr>
                <w:b/>
                <w:bCs/>
                <w:sz w:val="22"/>
                <w:szCs w:val="22"/>
              </w:rPr>
              <w:t>Chênh lệch</w:t>
            </w:r>
          </w:p>
        </w:tc>
      </w:tr>
      <w:tr w:rsidR="00D80CF3" w:rsidTr="00C43FA2">
        <w:trPr>
          <w:trHeight w:val="330"/>
        </w:trPr>
        <w:tc>
          <w:tcPr>
            <w:tcW w:w="2430" w:type="dxa"/>
            <w:vMerge/>
            <w:shd w:val="clear" w:color="auto" w:fill="auto"/>
            <w:vAlign w:val="center"/>
          </w:tcPr>
          <w:p w:rsidR="00D80CF3" w:rsidRPr="004100E7" w:rsidRDefault="00D80CF3" w:rsidP="007F6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CF3" w:rsidRPr="004100E7" w:rsidRDefault="00D80CF3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Năm nay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0CF3" w:rsidRPr="004100E7" w:rsidRDefault="00D80CF3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Năm trước</w:t>
            </w:r>
          </w:p>
        </w:tc>
        <w:tc>
          <w:tcPr>
            <w:tcW w:w="2970" w:type="dxa"/>
            <w:gridSpan w:val="2"/>
            <w:vMerge/>
          </w:tcPr>
          <w:p w:rsidR="00D80CF3" w:rsidRPr="004100E7" w:rsidRDefault="00D80CF3" w:rsidP="007F6B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FA2" w:rsidTr="00C43FA2">
        <w:trPr>
          <w:trHeight w:val="300"/>
        </w:trPr>
        <w:tc>
          <w:tcPr>
            <w:tcW w:w="2430" w:type="dxa"/>
            <w:vMerge/>
            <w:shd w:val="clear" w:color="auto" w:fill="auto"/>
            <w:noWrap/>
            <w:vAlign w:val="bottom"/>
          </w:tcPr>
          <w:p w:rsidR="00C43FA2" w:rsidRPr="004100E7" w:rsidRDefault="00C43FA2" w:rsidP="007F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43FA2" w:rsidRPr="004100E7" w:rsidRDefault="00C43FA2" w:rsidP="00D80CF3">
            <w:pPr>
              <w:jc w:val="center"/>
              <w:rPr>
                <w:sz w:val="22"/>
                <w:szCs w:val="22"/>
              </w:rPr>
            </w:pPr>
            <w:r w:rsidRPr="004100E7">
              <w:rPr>
                <w:sz w:val="22"/>
                <w:szCs w:val="22"/>
              </w:rPr>
              <w:t>(vnd)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3FA2" w:rsidRPr="004100E7" w:rsidRDefault="00C43FA2" w:rsidP="00D80CF3">
            <w:pPr>
              <w:jc w:val="center"/>
              <w:rPr>
                <w:sz w:val="22"/>
                <w:szCs w:val="22"/>
              </w:rPr>
            </w:pPr>
            <w:r w:rsidRPr="004100E7">
              <w:rPr>
                <w:sz w:val="22"/>
                <w:szCs w:val="22"/>
              </w:rPr>
              <w:t>(vnd)</w:t>
            </w:r>
          </w:p>
        </w:tc>
        <w:tc>
          <w:tcPr>
            <w:tcW w:w="1710" w:type="dxa"/>
            <w:vAlign w:val="center"/>
          </w:tcPr>
          <w:p w:rsidR="00C43FA2" w:rsidRPr="004100E7" w:rsidRDefault="00C43FA2" w:rsidP="00D80CF3">
            <w:pPr>
              <w:jc w:val="center"/>
              <w:rPr>
                <w:sz w:val="22"/>
                <w:szCs w:val="22"/>
              </w:rPr>
            </w:pPr>
            <w:r w:rsidRPr="004100E7">
              <w:rPr>
                <w:sz w:val="22"/>
                <w:szCs w:val="22"/>
              </w:rPr>
              <w:t>(vnd)</w:t>
            </w:r>
          </w:p>
        </w:tc>
        <w:tc>
          <w:tcPr>
            <w:tcW w:w="1260" w:type="dxa"/>
            <w:vAlign w:val="center"/>
          </w:tcPr>
          <w:p w:rsidR="00C43FA2" w:rsidRPr="004100E7" w:rsidRDefault="00C43FA2" w:rsidP="00D80CF3">
            <w:pPr>
              <w:jc w:val="center"/>
              <w:rPr>
                <w:sz w:val="22"/>
                <w:szCs w:val="22"/>
              </w:rPr>
            </w:pPr>
            <w:r w:rsidRPr="004100E7">
              <w:rPr>
                <w:sz w:val="22"/>
                <w:szCs w:val="22"/>
              </w:rPr>
              <w:t>(%)</w:t>
            </w:r>
          </w:p>
        </w:tc>
      </w:tr>
      <w:tr w:rsidR="00C43FA2" w:rsidTr="00C43FA2">
        <w:trPr>
          <w:trHeight w:val="300"/>
        </w:trPr>
        <w:tc>
          <w:tcPr>
            <w:tcW w:w="2430" w:type="dxa"/>
            <w:shd w:val="clear" w:color="auto" w:fill="auto"/>
            <w:noWrap/>
            <w:vAlign w:val="center"/>
          </w:tcPr>
          <w:p w:rsidR="00C43FA2" w:rsidRPr="004100E7" w:rsidRDefault="00C43FA2" w:rsidP="00C4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4100E7">
              <w:rPr>
                <w:b/>
                <w:bCs/>
                <w:sz w:val="22"/>
                <w:szCs w:val="22"/>
              </w:rPr>
              <w:t xml:space="preserve">Lợi nhuận sau thuế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43FA2" w:rsidRPr="004100E7" w:rsidRDefault="00C43FA2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250,125,370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3FA2" w:rsidRPr="004100E7" w:rsidRDefault="00C43FA2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2,714,321,956</w:t>
            </w:r>
          </w:p>
        </w:tc>
        <w:tc>
          <w:tcPr>
            <w:tcW w:w="1710" w:type="dxa"/>
            <w:vAlign w:val="center"/>
          </w:tcPr>
          <w:p w:rsidR="00C43FA2" w:rsidRPr="004100E7" w:rsidRDefault="00C43FA2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2,464,196,586</w:t>
            </w:r>
          </w:p>
        </w:tc>
        <w:tc>
          <w:tcPr>
            <w:tcW w:w="1260" w:type="dxa"/>
            <w:vAlign w:val="center"/>
          </w:tcPr>
          <w:p w:rsidR="00C43FA2" w:rsidRPr="004100E7" w:rsidRDefault="00C43FA2" w:rsidP="00D80CF3">
            <w:pPr>
              <w:jc w:val="center"/>
              <w:rPr>
                <w:bCs/>
                <w:sz w:val="22"/>
                <w:szCs w:val="22"/>
              </w:rPr>
            </w:pPr>
            <w:r w:rsidRPr="004100E7">
              <w:rPr>
                <w:bCs/>
                <w:sz w:val="22"/>
                <w:szCs w:val="22"/>
              </w:rPr>
              <w:t>90.7</w:t>
            </w:r>
          </w:p>
        </w:tc>
      </w:tr>
    </w:tbl>
    <w:p w:rsidR="000148BC" w:rsidRDefault="000148BC" w:rsidP="000148BC">
      <w:r>
        <w:t xml:space="preserve"> </w:t>
      </w:r>
    </w:p>
    <w:p w:rsidR="00D80CF3" w:rsidRDefault="003F5D2C" w:rsidP="00D46D0C">
      <w:pPr>
        <w:ind w:firstLine="720"/>
        <w:jc w:val="both"/>
      </w:pPr>
      <w:r>
        <w:t>C</w:t>
      </w:r>
      <w:r w:rsidR="003E28DE">
        <w:t xml:space="preserve">uối quý III </w:t>
      </w:r>
      <w:r w:rsidR="003E28DE" w:rsidRPr="004100E7">
        <w:t xml:space="preserve">đầu </w:t>
      </w:r>
      <w:r w:rsidR="00D80CF3" w:rsidRPr="004100E7">
        <w:t xml:space="preserve">quý IV năm 2015, do ảnh hưởng của cơn bão số 1 và 3, gây lũ quét và sạt lở đất tại hai khu mỏ của công ty là Lai Châu và Tuyên Quang, gây ảnh hưởng nghiêm trọng </w:t>
      </w:r>
      <w:r w:rsidRPr="004100E7">
        <w:t>và thiệt hại nặng nề tới máy móc</w:t>
      </w:r>
      <w:r w:rsidR="003E28DE" w:rsidRPr="004100E7">
        <w:t>, nhà xưởng</w:t>
      </w:r>
      <w:r w:rsidR="00D80CF3" w:rsidRPr="004100E7">
        <w:t xml:space="preserve"> trong khu vực của khu mỏ, </w:t>
      </w:r>
      <w:r w:rsidR="003E28DE" w:rsidRPr="004100E7">
        <w:t xml:space="preserve">dẫn đến </w:t>
      </w:r>
      <w:r w:rsidR="005F394A" w:rsidRPr="004100E7">
        <w:t xml:space="preserve">rất nhiều tài sản </w:t>
      </w:r>
      <w:r w:rsidR="003E28DE" w:rsidRPr="004100E7">
        <w:t>không có k</w:t>
      </w:r>
      <w:r w:rsidR="00C66A32" w:rsidRPr="004100E7">
        <w:t xml:space="preserve">hả năng </w:t>
      </w:r>
      <w:r w:rsidR="005F394A" w:rsidRPr="004100E7">
        <w:t xml:space="preserve">sửa chữa, </w:t>
      </w:r>
      <w:r w:rsidR="00C66A32" w:rsidRPr="004100E7">
        <w:t>phục</w:t>
      </w:r>
      <w:r w:rsidR="005F394A" w:rsidRPr="004100E7">
        <w:t xml:space="preserve"> hồi để đưa</w:t>
      </w:r>
      <w:r w:rsidR="00C66A32" w:rsidRPr="004100E7">
        <w:t xml:space="preserve"> vào </w:t>
      </w:r>
      <w:r w:rsidR="003E28DE" w:rsidRPr="004100E7">
        <w:t>sử dụng. C</w:t>
      </w:r>
      <w:r w:rsidR="00D80CF3" w:rsidRPr="004100E7">
        <w:t xml:space="preserve">ông ty </w:t>
      </w:r>
      <w:r w:rsidR="003E28DE" w:rsidRPr="004100E7">
        <w:t xml:space="preserve">bắt buộc phải </w:t>
      </w:r>
      <w:r w:rsidR="00D80CF3" w:rsidRPr="004100E7">
        <w:t>đưa ra phương án xử lý, t</w:t>
      </w:r>
      <w:r w:rsidR="005F394A" w:rsidRPr="004100E7">
        <w:t xml:space="preserve">hanh lý các tài sản bị </w:t>
      </w:r>
      <w:r w:rsidRPr="004100E7">
        <w:t>đó nên</w:t>
      </w:r>
      <w:r>
        <w:t xml:space="preserve"> </w:t>
      </w:r>
      <w:r w:rsidR="005F394A">
        <w:t xml:space="preserve">ảnh hưởng lớn đến lợi </w:t>
      </w:r>
      <w:r w:rsidR="001D07CA">
        <w:t>nhuận sau thuế của doanh nghiệp, số lỗ từ việc thanh lý là 7.396.247.396 đồng.</w:t>
      </w:r>
    </w:p>
    <w:p w:rsidR="001D07CA" w:rsidRDefault="001D07CA" w:rsidP="00D46D0C">
      <w:pPr>
        <w:ind w:firstLine="720"/>
        <w:jc w:val="both"/>
      </w:pPr>
    </w:p>
    <w:p w:rsidR="000148BC" w:rsidRDefault="00C66A32" w:rsidP="00C66A32">
      <w:pPr>
        <w:jc w:val="both"/>
      </w:pPr>
      <w:r>
        <w:t xml:space="preserve">      </w:t>
      </w:r>
      <w:r w:rsidR="000148BC">
        <w:t xml:space="preserve">      Trên đây là toàn bộ nội dung giải trình của Công ty cổ phần khoáng sản Quang Anh </w:t>
      </w:r>
      <w:r>
        <w:t xml:space="preserve">kính gửi Sở giao dịch Chứng khoán Hà Nội, và Ủy ban chứng khoán Nhà Nước, </w:t>
      </w:r>
      <w:r w:rsidR="000148BC">
        <w:t>liên quan đến việc kết quả sản xuất kinh doanh Quý I</w:t>
      </w:r>
      <w:r>
        <w:t>V</w:t>
      </w:r>
      <w:r w:rsidR="00EB21A1">
        <w:t>/2015</w:t>
      </w:r>
      <w:r w:rsidR="000148BC">
        <w:t xml:space="preserve"> có chênh lệch so với Quý I</w:t>
      </w:r>
      <w:r>
        <w:t>V</w:t>
      </w:r>
      <w:r w:rsidR="00EB21A1">
        <w:t>/2014</w:t>
      </w:r>
      <w:r w:rsidR="000148BC">
        <w:t xml:space="preserve"> </w:t>
      </w:r>
    </w:p>
    <w:p w:rsidR="00EB21A1" w:rsidRDefault="00EB21A1" w:rsidP="000148BC">
      <w:pPr>
        <w:jc w:val="both"/>
      </w:pPr>
    </w:p>
    <w:p w:rsidR="00C66A32" w:rsidRDefault="000148BC" w:rsidP="000148BC">
      <w:pPr>
        <w:jc w:val="both"/>
        <w:rPr>
          <w:i/>
        </w:rPr>
      </w:pPr>
      <w:r w:rsidRPr="00882453">
        <w:rPr>
          <w:i/>
        </w:rPr>
        <w:t xml:space="preserve">      Trân trọng!</w:t>
      </w:r>
      <w:r w:rsidR="007857BB">
        <w:rPr>
          <w:i/>
        </w:rPr>
        <w:tab/>
      </w:r>
      <w:r w:rsidR="007857BB">
        <w:rPr>
          <w:i/>
        </w:rPr>
        <w:tab/>
      </w:r>
      <w:r w:rsidR="007857BB">
        <w:rPr>
          <w:i/>
        </w:rPr>
        <w:tab/>
      </w:r>
      <w:r w:rsidR="007857BB">
        <w:rPr>
          <w:i/>
        </w:rPr>
        <w:tab/>
      </w:r>
      <w:r w:rsidR="007857BB">
        <w:rPr>
          <w:i/>
        </w:rPr>
        <w:tab/>
      </w:r>
    </w:p>
    <w:p w:rsidR="00C66A32" w:rsidRDefault="00C66A32" w:rsidP="000148BC">
      <w:pPr>
        <w:jc w:val="both"/>
        <w:rPr>
          <w:i/>
        </w:rPr>
      </w:pPr>
    </w:p>
    <w:p w:rsidR="000148BC" w:rsidRPr="007857BB" w:rsidRDefault="007857BB" w:rsidP="00C66A32">
      <w:pPr>
        <w:ind w:left="4320" w:firstLine="720"/>
        <w:jc w:val="both"/>
        <w:rPr>
          <w:b/>
        </w:rPr>
      </w:pPr>
      <w:r>
        <w:rPr>
          <w:b/>
        </w:rPr>
        <w:t xml:space="preserve">TỔNG GIÁM ĐỐC </w:t>
      </w:r>
    </w:p>
    <w:p w:rsidR="000148BC" w:rsidRDefault="000148BC" w:rsidP="000148BC">
      <w:pPr>
        <w:ind w:left="2880"/>
        <w:jc w:val="both"/>
        <w:rPr>
          <w:b/>
        </w:rPr>
      </w:pPr>
    </w:p>
    <w:p w:rsidR="000148BC" w:rsidRDefault="000148BC" w:rsidP="007857BB">
      <w:pPr>
        <w:ind w:left="2880"/>
        <w:jc w:val="both"/>
        <w:rPr>
          <w:b/>
        </w:rPr>
      </w:pPr>
      <w:r>
        <w:rPr>
          <w:b/>
        </w:rPr>
        <w:t xml:space="preserve">    </w:t>
      </w:r>
    </w:p>
    <w:p w:rsidR="000148BC" w:rsidRPr="00645D52" w:rsidRDefault="000148BC" w:rsidP="000148BC">
      <w:pPr>
        <w:jc w:val="both"/>
        <w:rPr>
          <w:i/>
          <w:sz w:val="18"/>
          <w:u w:val="single"/>
        </w:rPr>
      </w:pPr>
      <w:r w:rsidRPr="00645D52">
        <w:rPr>
          <w:i/>
          <w:sz w:val="18"/>
          <w:u w:val="single"/>
        </w:rPr>
        <w:t>Nơi nhận:</w:t>
      </w:r>
    </w:p>
    <w:p w:rsidR="000148BC" w:rsidRPr="00645D52" w:rsidRDefault="000148BC" w:rsidP="000148BC">
      <w:pPr>
        <w:numPr>
          <w:ilvl w:val="0"/>
          <w:numId w:val="2"/>
        </w:numPr>
        <w:jc w:val="both"/>
        <w:rPr>
          <w:i/>
          <w:sz w:val="18"/>
        </w:rPr>
      </w:pPr>
      <w:r w:rsidRPr="00645D52">
        <w:rPr>
          <w:i/>
          <w:sz w:val="18"/>
        </w:rPr>
        <w:t>Như trên.</w:t>
      </w:r>
    </w:p>
    <w:p w:rsidR="000148BC" w:rsidRPr="00645D52" w:rsidRDefault="000148BC" w:rsidP="000148BC">
      <w:pPr>
        <w:numPr>
          <w:ilvl w:val="0"/>
          <w:numId w:val="2"/>
        </w:numPr>
        <w:jc w:val="both"/>
        <w:rPr>
          <w:i/>
          <w:sz w:val="18"/>
        </w:rPr>
      </w:pPr>
      <w:r w:rsidRPr="00645D52">
        <w:rPr>
          <w:i/>
          <w:sz w:val="18"/>
        </w:rPr>
        <w:t>Lưu TC-KT</w:t>
      </w:r>
    </w:p>
    <w:p w:rsidR="00D44FD8" w:rsidRDefault="00D44FD8"/>
    <w:sectPr w:rsidR="00D44FD8" w:rsidSect="007F6B4E">
      <w:pgSz w:w="11907" w:h="16840" w:code="9"/>
      <w:pgMar w:top="761" w:right="1134" w:bottom="114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8146E"/>
    <w:multiLevelType w:val="hybridMultilevel"/>
    <w:tmpl w:val="050ABBE6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C"/>
    <w:rsid w:val="000148BC"/>
    <w:rsid w:val="00150F71"/>
    <w:rsid w:val="001D07CA"/>
    <w:rsid w:val="00235864"/>
    <w:rsid w:val="0026484F"/>
    <w:rsid w:val="003E28DE"/>
    <w:rsid w:val="003F5D2C"/>
    <w:rsid w:val="004100E7"/>
    <w:rsid w:val="004716F3"/>
    <w:rsid w:val="004B5EB3"/>
    <w:rsid w:val="004F329B"/>
    <w:rsid w:val="0054640C"/>
    <w:rsid w:val="005F394A"/>
    <w:rsid w:val="00637ABE"/>
    <w:rsid w:val="00743975"/>
    <w:rsid w:val="007857BB"/>
    <w:rsid w:val="00793403"/>
    <w:rsid w:val="007E3171"/>
    <w:rsid w:val="007E7219"/>
    <w:rsid w:val="007F6B4E"/>
    <w:rsid w:val="008B0EF2"/>
    <w:rsid w:val="00A046BB"/>
    <w:rsid w:val="00B114D7"/>
    <w:rsid w:val="00C43FA2"/>
    <w:rsid w:val="00C66A32"/>
    <w:rsid w:val="00D44FD8"/>
    <w:rsid w:val="00D46D0C"/>
    <w:rsid w:val="00D80CF3"/>
    <w:rsid w:val="00DC6289"/>
    <w:rsid w:val="00EB21A1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48BC"/>
    <w:pPr>
      <w:jc w:val="both"/>
    </w:pPr>
    <w:rPr>
      <w:rFonts w:ascii=".VnTimeH" w:hAnsi=".VnTimeH"/>
      <w:snapToGrid w:val="0"/>
      <w:sz w:val="28"/>
      <w:szCs w:val="20"/>
      <w:lang w:eastAsia="x-none"/>
    </w:rPr>
  </w:style>
  <w:style w:type="character" w:customStyle="1" w:styleId="BodyTextChar">
    <w:name w:val="Body Text Char"/>
    <w:link w:val="BodyText"/>
    <w:rsid w:val="000148BC"/>
    <w:rPr>
      <w:rFonts w:ascii=".VnTimeH" w:eastAsia="Times New Roman" w:hAnsi=".VnTimeH" w:cs="Times New Roman"/>
      <w:snapToGrid w:val="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0148BC"/>
    <w:pPr>
      <w:jc w:val="center"/>
    </w:pPr>
    <w:rPr>
      <w:rFonts w:ascii=".VnTimeH" w:hAnsi=".VnTimeH"/>
      <w:b/>
      <w:snapToGrid w:val="0"/>
      <w:szCs w:val="20"/>
      <w:lang w:eastAsia="x-none"/>
    </w:rPr>
  </w:style>
  <w:style w:type="character" w:customStyle="1" w:styleId="TitleChar">
    <w:name w:val="Title Char"/>
    <w:link w:val="Title"/>
    <w:rsid w:val="000148BC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01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F7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48BC"/>
    <w:pPr>
      <w:jc w:val="both"/>
    </w:pPr>
    <w:rPr>
      <w:rFonts w:ascii=".VnTimeH" w:hAnsi=".VnTimeH"/>
      <w:snapToGrid w:val="0"/>
      <w:sz w:val="28"/>
      <w:szCs w:val="20"/>
      <w:lang w:eastAsia="x-none"/>
    </w:rPr>
  </w:style>
  <w:style w:type="character" w:customStyle="1" w:styleId="BodyTextChar">
    <w:name w:val="Body Text Char"/>
    <w:link w:val="BodyText"/>
    <w:rsid w:val="000148BC"/>
    <w:rPr>
      <w:rFonts w:ascii=".VnTimeH" w:eastAsia="Times New Roman" w:hAnsi=".VnTimeH" w:cs="Times New Roman"/>
      <w:snapToGrid w:val="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0148BC"/>
    <w:pPr>
      <w:jc w:val="center"/>
    </w:pPr>
    <w:rPr>
      <w:rFonts w:ascii=".VnTimeH" w:hAnsi=".VnTimeH"/>
      <w:b/>
      <w:snapToGrid w:val="0"/>
      <w:szCs w:val="20"/>
      <w:lang w:eastAsia="x-none"/>
    </w:rPr>
  </w:style>
  <w:style w:type="character" w:customStyle="1" w:styleId="TitleChar">
    <w:name w:val="Title Char"/>
    <w:link w:val="Title"/>
    <w:rsid w:val="000148BC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01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F7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Xuka</dc:creator>
  <cp:keywords/>
  <cp:lastModifiedBy>Trinh Thi Lan</cp:lastModifiedBy>
  <cp:revision>2</cp:revision>
  <dcterms:created xsi:type="dcterms:W3CDTF">2016-01-20T04:38:00Z</dcterms:created>
  <dcterms:modified xsi:type="dcterms:W3CDTF">2016-01-20T04:38:00Z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05f1a7f015448228d3a0f6c612db402.psdsxs" Id="R88bc80637af44485" /></Relationships>
</file>