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A2" w:rsidRDefault="008962A2" w:rsidP="008962A2">
      <w:pPr>
        <w:rPr>
          <w:b/>
        </w:rPr>
      </w:pPr>
      <w:r>
        <w:rPr>
          <w:b/>
        </w:rPr>
        <w:t>CÔNG TY CỔ PHẦN CƠ KHÍ          CỘNG HÒA XÃ HỘI CHỦ NGHĨA VIỆT NAM</w:t>
      </w:r>
    </w:p>
    <w:p w:rsidR="008962A2" w:rsidRDefault="008962A2" w:rsidP="008962A2">
      <w:pPr>
        <w:rPr>
          <w:b/>
          <w:sz w:val="26"/>
          <w:szCs w:val="26"/>
        </w:rPr>
      </w:pPr>
      <w:r>
        <w:rPr>
          <w:b/>
        </w:rPr>
        <w:t xml:space="preserve">VÀ KHOÁNG SẢN HÀ GIANG                        </w:t>
      </w:r>
      <w:r w:rsidRPr="00056D8B">
        <w:rPr>
          <w:b/>
          <w:sz w:val="26"/>
          <w:szCs w:val="26"/>
        </w:rPr>
        <w:t>Độc lập – Tự do – Hạnh phúc</w:t>
      </w:r>
    </w:p>
    <w:p w:rsidR="008962A2" w:rsidRPr="00056D8B" w:rsidRDefault="00341959" w:rsidP="008962A2">
      <w:pPr>
        <w:rPr>
          <w:b/>
        </w:rPr>
      </w:pPr>
      <w:r w:rsidRPr="00341959">
        <w:rPr>
          <w:noProof/>
          <w:sz w:val="26"/>
          <w:szCs w:val="26"/>
        </w:rPr>
        <w:pict>
          <v:line id="_x0000_s1026" style="position:absolute;z-index:251660288" from="240pt,3.15pt" to="396pt,3.15pt" strokeweight="1pt"/>
        </w:pict>
      </w:r>
      <w:r w:rsidRPr="00341959">
        <w:rPr>
          <w:noProof/>
          <w:sz w:val="26"/>
          <w:szCs w:val="26"/>
        </w:rPr>
        <w:pict>
          <v:line id="_x0000_s1027" style="position:absolute;z-index:251661312" from="48pt,3.15pt" to="120pt,3.15pt" strokeweight="1pt"/>
        </w:pict>
      </w:r>
    </w:p>
    <w:p w:rsidR="008962A2" w:rsidRDefault="000D718E" w:rsidP="008962A2">
      <w:pPr>
        <w:rPr>
          <w:i/>
          <w:sz w:val="26"/>
          <w:szCs w:val="26"/>
        </w:rPr>
      </w:pPr>
      <w:r>
        <w:rPr>
          <w:sz w:val="26"/>
          <w:szCs w:val="26"/>
        </w:rPr>
        <w:t xml:space="preserve">          Số: 02</w:t>
      </w:r>
      <w:r w:rsidR="008962A2">
        <w:rPr>
          <w:sz w:val="26"/>
          <w:szCs w:val="26"/>
        </w:rPr>
        <w:t xml:space="preserve"> /GT</w:t>
      </w:r>
      <w:r w:rsidR="008962A2" w:rsidRPr="000F663F">
        <w:rPr>
          <w:sz w:val="26"/>
          <w:szCs w:val="26"/>
        </w:rPr>
        <w:t xml:space="preserve"> – HGM                      </w:t>
      </w:r>
      <w:r w:rsidR="00E40D9E">
        <w:rPr>
          <w:sz w:val="26"/>
          <w:szCs w:val="26"/>
        </w:rPr>
        <w:t xml:space="preserve">              </w:t>
      </w:r>
      <w:r w:rsidR="008962A2">
        <w:rPr>
          <w:sz w:val="26"/>
          <w:szCs w:val="26"/>
        </w:rPr>
        <w:t xml:space="preserve"> </w:t>
      </w:r>
      <w:r w:rsidR="008962A2">
        <w:rPr>
          <w:i/>
          <w:sz w:val="26"/>
          <w:szCs w:val="26"/>
        </w:rPr>
        <w:t>Hà Giang, ngày 18 tháng 04 năm 2016</w:t>
      </w:r>
    </w:p>
    <w:p w:rsidR="008962A2" w:rsidRPr="000F663F" w:rsidRDefault="008962A2" w:rsidP="008962A2">
      <w:pPr>
        <w:rPr>
          <w:i/>
          <w:sz w:val="26"/>
          <w:szCs w:val="26"/>
        </w:rPr>
      </w:pPr>
    </w:p>
    <w:p w:rsidR="008962A2" w:rsidRDefault="008962A2" w:rsidP="008962A2">
      <w:pPr>
        <w:spacing w:line="360" w:lineRule="auto"/>
        <w:rPr>
          <w:i/>
        </w:rPr>
      </w:pPr>
      <w:r w:rsidRPr="000F663F">
        <w:rPr>
          <w:i/>
        </w:rPr>
        <w:t xml:space="preserve">“V/v  </w:t>
      </w:r>
      <w:r>
        <w:rPr>
          <w:i/>
        </w:rPr>
        <w:t>Giải trình BCTC</w:t>
      </w:r>
      <w:r w:rsidRPr="000F663F">
        <w:rPr>
          <w:i/>
        </w:rPr>
        <w:t xml:space="preserve"> </w:t>
      </w:r>
      <w:r>
        <w:rPr>
          <w:i/>
        </w:rPr>
        <w:t>quý I năm 2016</w:t>
      </w:r>
      <w:r w:rsidRPr="000F663F">
        <w:rPr>
          <w:i/>
        </w:rPr>
        <w:t>”</w:t>
      </w:r>
    </w:p>
    <w:p w:rsidR="008962A2" w:rsidRDefault="008962A2" w:rsidP="008962A2">
      <w:pPr>
        <w:spacing w:line="360" w:lineRule="auto"/>
        <w:rPr>
          <w:i/>
        </w:rPr>
      </w:pPr>
    </w:p>
    <w:p w:rsidR="008962A2" w:rsidRPr="001C1E0D" w:rsidRDefault="008962A2" w:rsidP="008962A2">
      <w:pPr>
        <w:spacing w:line="276" w:lineRule="auto"/>
        <w:rPr>
          <w:sz w:val="28"/>
          <w:szCs w:val="28"/>
        </w:rPr>
      </w:pPr>
      <w:r w:rsidRPr="001C1E0D">
        <w:rPr>
          <w:sz w:val="28"/>
          <w:szCs w:val="28"/>
        </w:rPr>
        <w:t xml:space="preserve">                                     Kính gửi: - Ủy ban Chứng khoán Nhà nước</w:t>
      </w:r>
    </w:p>
    <w:p w:rsidR="008962A2" w:rsidRPr="001C1E0D" w:rsidRDefault="008962A2" w:rsidP="008962A2">
      <w:pPr>
        <w:spacing w:line="276" w:lineRule="auto"/>
        <w:rPr>
          <w:sz w:val="28"/>
          <w:szCs w:val="28"/>
        </w:rPr>
      </w:pPr>
      <w:r w:rsidRPr="001C1E0D">
        <w:rPr>
          <w:sz w:val="28"/>
          <w:szCs w:val="28"/>
        </w:rPr>
        <w:t xml:space="preserve">                      </w:t>
      </w:r>
      <w:r>
        <w:rPr>
          <w:sz w:val="28"/>
          <w:szCs w:val="28"/>
        </w:rPr>
        <w:t xml:space="preserve">                              </w:t>
      </w:r>
      <w:r w:rsidRPr="001C1E0D">
        <w:rPr>
          <w:sz w:val="28"/>
          <w:szCs w:val="28"/>
        </w:rPr>
        <w:t xml:space="preserve"> -  Sở Giao dịch Chứng khoán Hà Nội</w:t>
      </w:r>
    </w:p>
    <w:p w:rsidR="008962A2" w:rsidRPr="001C1E0D" w:rsidRDefault="008962A2" w:rsidP="008962A2">
      <w:pPr>
        <w:spacing w:line="276" w:lineRule="auto"/>
        <w:jc w:val="both"/>
        <w:rPr>
          <w:sz w:val="28"/>
          <w:szCs w:val="28"/>
        </w:rPr>
      </w:pPr>
      <w:r w:rsidRPr="001C1E0D">
        <w:rPr>
          <w:sz w:val="28"/>
          <w:szCs w:val="28"/>
        </w:rPr>
        <w:tab/>
        <w:t>1. Tên Công ty: Công ty cổ phần Cơ khí và Khoáng sản Hà Giang.</w:t>
      </w:r>
    </w:p>
    <w:p w:rsidR="008962A2" w:rsidRPr="001C1E0D" w:rsidRDefault="008962A2" w:rsidP="008962A2">
      <w:pPr>
        <w:spacing w:line="276" w:lineRule="auto"/>
        <w:jc w:val="both"/>
        <w:rPr>
          <w:sz w:val="28"/>
          <w:szCs w:val="28"/>
        </w:rPr>
      </w:pPr>
      <w:r w:rsidRPr="001C1E0D">
        <w:rPr>
          <w:sz w:val="28"/>
          <w:szCs w:val="28"/>
        </w:rPr>
        <w:tab/>
        <w:t>2. Mã chứng khoán:  HGM</w:t>
      </w:r>
    </w:p>
    <w:p w:rsidR="008962A2" w:rsidRPr="001C1E0D" w:rsidRDefault="008962A2" w:rsidP="008962A2">
      <w:pPr>
        <w:spacing w:line="276" w:lineRule="auto"/>
        <w:ind w:left="720"/>
        <w:jc w:val="both"/>
        <w:rPr>
          <w:spacing w:val="-10"/>
          <w:sz w:val="28"/>
          <w:szCs w:val="28"/>
        </w:rPr>
      </w:pPr>
      <w:r w:rsidRPr="001C1E0D">
        <w:rPr>
          <w:sz w:val="28"/>
          <w:szCs w:val="28"/>
        </w:rPr>
        <w:t xml:space="preserve">3. </w:t>
      </w:r>
      <w:r w:rsidRPr="001C1E0D">
        <w:rPr>
          <w:spacing w:val="-10"/>
          <w:sz w:val="28"/>
          <w:szCs w:val="28"/>
        </w:rPr>
        <w:t>Địa chỉ trụ sở chính: Số 390, đường Nguyễn Trãi, thành phố Hà Giang, tỉnh Hà Giang.</w:t>
      </w:r>
    </w:p>
    <w:p w:rsidR="008962A2" w:rsidRPr="001C1E0D" w:rsidRDefault="008962A2" w:rsidP="008962A2">
      <w:pPr>
        <w:spacing w:line="276" w:lineRule="auto"/>
        <w:ind w:firstLine="720"/>
        <w:jc w:val="both"/>
        <w:rPr>
          <w:sz w:val="28"/>
          <w:szCs w:val="28"/>
        </w:rPr>
      </w:pPr>
      <w:r w:rsidRPr="001C1E0D">
        <w:rPr>
          <w:sz w:val="28"/>
          <w:szCs w:val="28"/>
        </w:rPr>
        <w:t>4. Điện thoại:</w:t>
      </w:r>
      <w:r w:rsidRPr="001C1E0D">
        <w:rPr>
          <w:sz w:val="28"/>
          <w:szCs w:val="28"/>
        </w:rPr>
        <w:tab/>
        <w:t>02193 867 533, 02193 866 708  - Fax: 02193 867 068</w:t>
      </w:r>
    </w:p>
    <w:p w:rsidR="008962A2" w:rsidRPr="001C1E0D" w:rsidRDefault="008962A2" w:rsidP="008962A2">
      <w:pPr>
        <w:spacing w:line="276" w:lineRule="auto"/>
        <w:ind w:firstLine="720"/>
        <w:jc w:val="both"/>
        <w:rPr>
          <w:sz w:val="28"/>
          <w:szCs w:val="28"/>
        </w:rPr>
      </w:pPr>
      <w:r>
        <w:rPr>
          <w:sz w:val="28"/>
          <w:szCs w:val="28"/>
        </w:rPr>
        <w:t xml:space="preserve">Căn cứ vào kết quả Báo cáo tài chính quý I năm 2016  </w:t>
      </w:r>
      <w:r w:rsidRPr="001C1E0D">
        <w:rPr>
          <w:sz w:val="28"/>
          <w:szCs w:val="28"/>
        </w:rPr>
        <w:t xml:space="preserve">Công ty cổ phần Cơ khí và Khoáng sản Hà Giang, giải trình về lợi nhuận </w:t>
      </w:r>
      <w:r>
        <w:rPr>
          <w:sz w:val="28"/>
          <w:szCs w:val="28"/>
        </w:rPr>
        <w:t>sau thuế quý I năm 2016 chênh lệch giảm so với quý I năm 2015</w:t>
      </w:r>
      <w:r w:rsidRPr="001C1E0D">
        <w:rPr>
          <w:sz w:val="28"/>
          <w:szCs w:val="28"/>
        </w:rPr>
        <w:t xml:space="preserve"> như sau:</w:t>
      </w:r>
    </w:p>
    <w:p w:rsidR="008962A2" w:rsidRDefault="008962A2" w:rsidP="008962A2">
      <w:pPr>
        <w:spacing w:line="276" w:lineRule="auto"/>
        <w:ind w:firstLine="720"/>
        <w:jc w:val="both"/>
        <w:rPr>
          <w:sz w:val="28"/>
          <w:szCs w:val="28"/>
        </w:rPr>
      </w:pPr>
      <w:r w:rsidRPr="001C1E0D">
        <w:rPr>
          <w:sz w:val="28"/>
          <w:szCs w:val="28"/>
        </w:rPr>
        <w:t xml:space="preserve">* Nguyên nhân chủ yếu </w:t>
      </w:r>
      <w:r>
        <w:rPr>
          <w:sz w:val="28"/>
          <w:szCs w:val="28"/>
        </w:rPr>
        <w:t>:</w:t>
      </w:r>
    </w:p>
    <w:p w:rsidR="008962A2" w:rsidRDefault="008962A2" w:rsidP="008962A2">
      <w:pPr>
        <w:spacing w:line="276" w:lineRule="auto"/>
        <w:ind w:firstLine="720"/>
        <w:jc w:val="both"/>
        <w:rPr>
          <w:sz w:val="28"/>
          <w:szCs w:val="28"/>
        </w:rPr>
      </w:pPr>
      <w:r>
        <w:rPr>
          <w:sz w:val="28"/>
          <w:szCs w:val="28"/>
        </w:rPr>
        <w:t>1. Doanh thu bán hàng quý I năm 2016 giảm 21,16%  so với quý I năm 2015 bởi các yếu sau:</w:t>
      </w:r>
    </w:p>
    <w:p w:rsidR="008962A2" w:rsidRDefault="008962A2" w:rsidP="008962A2">
      <w:pPr>
        <w:spacing w:line="276" w:lineRule="auto"/>
        <w:ind w:firstLine="720"/>
        <w:jc w:val="both"/>
        <w:rPr>
          <w:sz w:val="28"/>
          <w:szCs w:val="28"/>
        </w:rPr>
      </w:pPr>
      <w:r>
        <w:rPr>
          <w:sz w:val="28"/>
          <w:szCs w:val="28"/>
        </w:rPr>
        <w:t>- Về giá bán: Do giá bán kim loại trên thị trường thế giới liên tục giảm va kéo dài làm cho doanh thu bán hàng của Công ty sụt giảm mạnh. Mức giá bán bình quân  quý I năm 2016 giảm 27,51%  so với quý I năm 2015;</w:t>
      </w:r>
    </w:p>
    <w:p w:rsidR="008962A2" w:rsidRDefault="008962A2" w:rsidP="008962A2">
      <w:pPr>
        <w:spacing w:line="276" w:lineRule="auto"/>
        <w:ind w:firstLine="720"/>
        <w:jc w:val="both"/>
        <w:rPr>
          <w:sz w:val="28"/>
          <w:szCs w:val="28"/>
        </w:rPr>
      </w:pPr>
      <w:r>
        <w:rPr>
          <w:sz w:val="28"/>
          <w:szCs w:val="28"/>
        </w:rPr>
        <w:t>- Về giá vốn: Giá vốn quý I năm 2016 tăng 22,38% so với quý I năm 2015. Do chi phí khai thác tăng.</w:t>
      </w:r>
    </w:p>
    <w:p w:rsidR="008962A2" w:rsidRPr="001C1E0D" w:rsidRDefault="008962A2" w:rsidP="008962A2">
      <w:pPr>
        <w:spacing w:line="276" w:lineRule="auto"/>
        <w:ind w:firstLine="720"/>
        <w:jc w:val="both"/>
        <w:rPr>
          <w:sz w:val="28"/>
          <w:szCs w:val="28"/>
        </w:rPr>
      </w:pPr>
      <w:r>
        <w:rPr>
          <w:sz w:val="28"/>
          <w:szCs w:val="28"/>
        </w:rPr>
        <w:t>2. Thu nhập từ hoạt động tài chính quý I năm 2016 giảm: 30,79% so với quý I năm 2015 do khối lượng đầu tư giảm và biến động lãi suất giảm.</w:t>
      </w:r>
    </w:p>
    <w:p w:rsidR="008962A2" w:rsidRPr="001C1E0D" w:rsidRDefault="008962A2" w:rsidP="008962A2">
      <w:pPr>
        <w:spacing w:line="276" w:lineRule="auto"/>
        <w:ind w:firstLine="720"/>
        <w:jc w:val="both"/>
        <w:rPr>
          <w:sz w:val="28"/>
          <w:szCs w:val="28"/>
        </w:rPr>
      </w:pPr>
      <w:r w:rsidRPr="001C1E0D">
        <w:rPr>
          <w:sz w:val="28"/>
          <w:szCs w:val="28"/>
        </w:rPr>
        <w:t>Từ các nguyên nhân trên là</w:t>
      </w:r>
      <w:r>
        <w:rPr>
          <w:sz w:val="28"/>
          <w:szCs w:val="28"/>
        </w:rPr>
        <w:t>m cho lợi nhuận sau thuế quý 1</w:t>
      </w:r>
      <w:r w:rsidRPr="001C1E0D">
        <w:rPr>
          <w:sz w:val="28"/>
          <w:szCs w:val="28"/>
        </w:rPr>
        <w:t xml:space="preserve"> năm 2</w:t>
      </w:r>
      <w:r w:rsidR="00E40D9E">
        <w:rPr>
          <w:sz w:val="28"/>
          <w:szCs w:val="28"/>
        </w:rPr>
        <w:t>016 giảm 89,4%</w:t>
      </w:r>
      <w:r>
        <w:rPr>
          <w:sz w:val="28"/>
          <w:szCs w:val="28"/>
        </w:rPr>
        <w:t xml:space="preserve"> so với </w:t>
      </w:r>
      <w:r w:rsidR="00E40D9E">
        <w:rPr>
          <w:sz w:val="28"/>
          <w:szCs w:val="28"/>
        </w:rPr>
        <w:t>quý I năm 2015</w:t>
      </w:r>
      <w:r w:rsidRPr="001C1E0D">
        <w:rPr>
          <w:sz w:val="28"/>
          <w:szCs w:val="28"/>
        </w:rPr>
        <w:t>, các hoạt động khác trong quý bình thường.</w:t>
      </w:r>
    </w:p>
    <w:p w:rsidR="008962A2" w:rsidRDefault="008962A2" w:rsidP="008962A2">
      <w:pPr>
        <w:spacing w:line="276" w:lineRule="auto"/>
        <w:ind w:firstLine="720"/>
        <w:jc w:val="both"/>
        <w:rPr>
          <w:sz w:val="28"/>
          <w:szCs w:val="28"/>
        </w:rPr>
      </w:pPr>
      <w:r w:rsidRPr="001C1E0D">
        <w:rPr>
          <w:sz w:val="28"/>
          <w:szCs w:val="28"/>
        </w:rPr>
        <w:t>Vậy Công ty cổ phần Cơ khí và Khoáng sản Hà Giang báo cáo giải trình để quý UBCK Nhà nước và Sở giao dịch Chứng khoán Hà Nội được rõ./.</w:t>
      </w:r>
    </w:p>
    <w:p w:rsidR="008962A2" w:rsidRPr="001C1E0D" w:rsidRDefault="008962A2" w:rsidP="008962A2">
      <w:pPr>
        <w:spacing w:line="276" w:lineRule="auto"/>
        <w:ind w:firstLine="720"/>
        <w:jc w:val="both"/>
        <w:rPr>
          <w:sz w:val="28"/>
          <w:szCs w:val="28"/>
        </w:rPr>
      </w:pPr>
    </w:p>
    <w:p w:rsidR="008962A2" w:rsidRPr="00E15F68" w:rsidRDefault="008962A2" w:rsidP="008962A2">
      <w:pPr>
        <w:spacing w:line="276" w:lineRule="auto"/>
        <w:ind w:left="720"/>
        <w:jc w:val="both"/>
        <w:rPr>
          <w:b/>
          <w:sz w:val="26"/>
          <w:szCs w:val="26"/>
        </w:rPr>
      </w:pPr>
      <w:r w:rsidRPr="00E15F68">
        <w:rPr>
          <w:sz w:val="26"/>
          <w:szCs w:val="26"/>
          <w:u w:val="single"/>
        </w:rPr>
        <w:t>Nơi nhận</w:t>
      </w:r>
      <w:r w:rsidRPr="00E15F68">
        <w:rPr>
          <w:sz w:val="26"/>
          <w:szCs w:val="26"/>
        </w:rPr>
        <w:t xml:space="preserve">                    </w:t>
      </w:r>
      <w:r>
        <w:rPr>
          <w:sz w:val="26"/>
          <w:szCs w:val="26"/>
        </w:rPr>
        <w:t xml:space="preserve">                                         </w:t>
      </w:r>
      <w:r w:rsidRPr="003B569B">
        <w:rPr>
          <w:b/>
          <w:sz w:val="26"/>
          <w:szCs w:val="26"/>
        </w:rPr>
        <w:t>GIÁM ĐỐC</w:t>
      </w:r>
    </w:p>
    <w:p w:rsidR="008962A2" w:rsidRPr="00E15F68" w:rsidRDefault="008962A2" w:rsidP="008962A2">
      <w:pPr>
        <w:numPr>
          <w:ilvl w:val="0"/>
          <w:numId w:val="1"/>
        </w:numPr>
        <w:spacing w:line="276" w:lineRule="auto"/>
        <w:jc w:val="both"/>
        <w:rPr>
          <w:b/>
          <w:sz w:val="26"/>
          <w:szCs w:val="26"/>
        </w:rPr>
      </w:pPr>
      <w:r w:rsidRPr="00E15F68">
        <w:rPr>
          <w:sz w:val="26"/>
          <w:szCs w:val="26"/>
        </w:rPr>
        <w:t xml:space="preserve">Như trên                           </w:t>
      </w:r>
      <w:r>
        <w:rPr>
          <w:sz w:val="26"/>
          <w:szCs w:val="26"/>
        </w:rPr>
        <w:t xml:space="preserve">                              </w:t>
      </w:r>
      <w:r w:rsidRPr="00E15F68">
        <w:rPr>
          <w:sz w:val="26"/>
          <w:szCs w:val="26"/>
        </w:rPr>
        <w:t xml:space="preserve"> </w:t>
      </w:r>
    </w:p>
    <w:p w:rsidR="008962A2" w:rsidRPr="00E15F68" w:rsidRDefault="008962A2" w:rsidP="008962A2">
      <w:pPr>
        <w:numPr>
          <w:ilvl w:val="0"/>
          <w:numId w:val="1"/>
        </w:numPr>
        <w:spacing w:line="276" w:lineRule="auto"/>
        <w:jc w:val="both"/>
        <w:rPr>
          <w:sz w:val="26"/>
          <w:szCs w:val="26"/>
        </w:rPr>
      </w:pPr>
      <w:smartTag w:uri="urn:schemas-microsoft-com:office:smarttags" w:element="Street">
        <w:smartTag w:uri="urn:schemas-microsoft-com:office:smarttags" w:element="address">
          <w:r w:rsidRPr="00E15F68">
            <w:rPr>
              <w:sz w:val="26"/>
              <w:szCs w:val="26"/>
            </w:rPr>
            <w:t>Lưu CT</w:t>
          </w:r>
        </w:smartTag>
      </w:smartTag>
    </w:p>
    <w:p w:rsidR="008962A2" w:rsidRDefault="008962A2" w:rsidP="008962A2">
      <w:pPr>
        <w:spacing w:line="276" w:lineRule="auto"/>
        <w:rPr>
          <w:sz w:val="26"/>
          <w:szCs w:val="26"/>
        </w:rPr>
      </w:pPr>
      <w:r w:rsidRPr="00E15F68">
        <w:rPr>
          <w:sz w:val="26"/>
          <w:szCs w:val="26"/>
        </w:rPr>
        <w:t xml:space="preserve">                      </w:t>
      </w:r>
      <w:r>
        <w:rPr>
          <w:sz w:val="26"/>
          <w:szCs w:val="26"/>
        </w:rPr>
        <w:t xml:space="preserve">                      </w:t>
      </w:r>
    </w:p>
    <w:p w:rsidR="008962A2" w:rsidRDefault="008962A2" w:rsidP="008962A2">
      <w:pPr>
        <w:spacing w:line="276" w:lineRule="auto"/>
        <w:rPr>
          <w:sz w:val="26"/>
          <w:szCs w:val="26"/>
        </w:rPr>
      </w:pPr>
    </w:p>
    <w:p w:rsidR="008962A2" w:rsidRDefault="008962A2" w:rsidP="008962A2">
      <w:pPr>
        <w:spacing w:line="276" w:lineRule="auto"/>
        <w:rPr>
          <w:sz w:val="26"/>
          <w:szCs w:val="26"/>
        </w:rPr>
      </w:pPr>
      <w:r>
        <w:rPr>
          <w:sz w:val="26"/>
          <w:szCs w:val="26"/>
        </w:rPr>
        <w:t xml:space="preserve">                                                                                   </w:t>
      </w:r>
    </w:p>
    <w:p w:rsidR="008962A2" w:rsidRPr="003B569B" w:rsidRDefault="008962A2" w:rsidP="008962A2">
      <w:pPr>
        <w:spacing w:line="276" w:lineRule="auto"/>
        <w:rPr>
          <w:b/>
          <w:sz w:val="26"/>
          <w:szCs w:val="26"/>
        </w:rPr>
      </w:pPr>
      <w:r>
        <w:rPr>
          <w:sz w:val="26"/>
          <w:szCs w:val="26"/>
        </w:rPr>
        <w:t xml:space="preserve">                                                                                    </w:t>
      </w:r>
      <w:r w:rsidRPr="003B569B">
        <w:rPr>
          <w:b/>
          <w:sz w:val="26"/>
          <w:szCs w:val="26"/>
        </w:rPr>
        <w:t>Trịnh Ngọc Hiếu</w:t>
      </w:r>
    </w:p>
    <w:p w:rsidR="008962A2" w:rsidRDefault="008962A2" w:rsidP="008962A2"/>
    <w:p w:rsidR="008962A2" w:rsidRDefault="008962A2" w:rsidP="008962A2"/>
    <w:p w:rsidR="006E2BEF" w:rsidRDefault="006E2BEF"/>
    <w:sectPr w:rsidR="006E2BEF" w:rsidSect="00F26162">
      <w:pgSz w:w="12240" w:h="15840" w:code="1"/>
      <w:pgMar w:top="630" w:right="1008" w:bottom="90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52C"/>
    <w:multiLevelType w:val="hybridMultilevel"/>
    <w:tmpl w:val="269ECB42"/>
    <w:lvl w:ilvl="0" w:tplc="953807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compat/>
  <w:rsids>
    <w:rsidRoot w:val="008962A2"/>
    <w:rsid w:val="000D718E"/>
    <w:rsid w:val="00341959"/>
    <w:rsid w:val="00651CA5"/>
    <w:rsid w:val="006E2BEF"/>
    <w:rsid w:val="008962A2"/>
    <w:rsid w:val="00DB32F5"/>
    <w:rsid w:val="00E40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8962A2"/>
    <w:pPr>
      <w:spacing w:before="0" w:after="0" w:line="240" w:lineRule="auto"/>
    </w:pPr>
    <w:rPr>
      <w:rFonts w:eastAsia="Times New Roman" w:cs="Times New Roman"/>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MAu93StyEWXyOu1wncPVtPGTTa8=</DigestValue>
    </Reference>
    <Reference URI="#idOfficeObject" Type="http://www.w3.org/2000/09/xmldsig#Object">
      <DigestMethod Algorithm="http://www.w3.org/2000/09/xmldsig#sha1"/>
      <DigestValue>I2DHCCStEDN1pxax7KNCOge1Ia8=</DigestValue>
    </Reference>
  </SignedInfo>
  <SignatureValue>
    cYtr15h3VGRfh6/aWrjA3h+KNoYaSmWXs/EV2pi+3RBmR99pkcd3EwIFZ7H/asZBfqLnbIQ0
    b1KLhh5pQ6WiueYiiVlcam2ZBxUGqr18p3n71jF6PybZ5VoW8/bhTS6DLwk399+ierVWKxQq
    onm8Z1DmezIcUlvXqJU89WVgBRA=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XbvjuPv0okxSL9YZgx9aPjJzBxw=</DigestValue>
      </Reference>
      <Reference URI="/word/fontTable.xml?ContentType=application/vnd.openxmlformats-officedocument.wordprocessingml.fontTable+xml">
        <DigestMethod Algorithm="http://www.w3.org/2000/09/xmldsig#sha1"/>
        <DigestValue>P+CusYA9kvfNFgFGO3njXo1TefI=</DigestValue>
      </Reference>
      <Reference URI="/word/numbering.xml?ContentType=application/vnd.openxmlformats-officedocument.wordprocessingml.numbering+xml">
        <DigestMethod Algorithm="http://www.w3.org/2000/09/xmldsig#sha1"/>
        <DigestValue>f+7xUEn6o5cS6Ot+9ZyF1PkhgbQ=</DigestValue>
      </Reference>
      <Reference URI="/word/settings.xml?ContentType=application/vnd.openxmlformats-officedocument.wordprocessingml.settings+xml">
        <DigestMethod Algorithm="http://www.w3.org/2000/09/xmldsig#sha1"/>
        <DigestValue>f2Kbjl5lm5NcsF8MW3oWQIrY2IQ=</DigestValue>
      </Reference>
      <Reference URI="/word/styles.xml?ContentType=application/vnd.openxmlformats-officedocument.wordprocessingml.styles+xml">
        <DigestMethod Algorithm="http://www.w3.org/2000/09/xmldsig#sha1"/>
        <DigestValue>QqYqzte/UZYalMq8r+6eqG9B8Zg=</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2016-04-19T02:38:50Z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Giải trình báo cáo tài chính quý I năm 2016</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16</TotalTime>
  <Pages>2</Pages>
  <Words>315</Words>
  <Characters>1797</Characters>
  <Application>Microsoft Office Word</Application>
  <DocSecurity>0</DocSecurity>
  <Lines>14</Lines>
  <Paragraphs>4</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2016-04-18T09:01:00Z</dcterms:created>
  <dcterms:modified xsi:type="dcterms:W3CDTF">2016-04-19T02:38:00Z</dcterms:modified>
</cp:coreProperties>
</file>