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236"/>
        <w:gridCol w:w="4867"/>
      </w:tblGrid>
      <w:tr w:rsidR="00B5250E" w:rsidTr="00361A92">
        <w:tc>
          <w:tcPr>
            <w:tcW w:w="4536" w:type="dxa"/>
          </w:tcPr>
          <w:p w:rsidR="00B5250E" w:rsidRPr="00361A92" w:rsidRDefault="00B5250E" w:rsidP="00361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 xml:space="preserve">CÔNG TY CỔ PHẦN CHỨNG KHOÁN </w:t>
            </w:r>
            <w:r w:rsidR="00BC12B1">
              <w:rPr>
                <w:b/>
                <w:sz w:val="22"/>
                <w:szCs w:val="22"/>
              </w:rPr>
              <w:t>IB</w:t>
            </w:r>
          </w:p>
          <w:p w:rsidR="00B5250E" w:rsidRPr="00361A92" w:rsidRDefault="009E6A6A" w:rsidP="00361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6pt;margin-top:9.65pt;width:90pt;height:.05pt;flip:x;z-index:251657216" o:connectortype="straight"/>
              </w:pict>
            </w:r>
          </w:p>
          <w:p w:rsidR="00B5250E" w:rsidRPr="00361A92" w:rsidRDefault="000B1F78" w:rsidP="00361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A92">
              <w:rPr>
                <w:sz w:val="22"/>
                <w:szCs w:val="22"/>
              </w:rPr>
              <w:t>Số:</w:t>
            </w:r>
            <w:r w:rsidR="00361A92" w:rsidRPr="00361A92">
              <w:rPr>
                <w:sz w:val="22"/>
                <w:szCs w:val="22"/>
              </w:rPr>
              <w:t xml:space="preserve">  </w:t>
            </w:r>
            <w:r w:rsidR="00BC12B1">
              <w:rPr>
                <w:sz w:val="22"/>
                <w:szCs w:val="22"/>
              </w:rPr>
              <w:t xml:space="preserve"> </w:t>
            </w:r>
            <w:r w:rsidR="005A13A0">
              <w:rPr>
                <w:sz w:val="22"/>
                <w:szCs w:val="22"/>
              </w:rPr>
              <w:t xml:space="preserve"> </w:t>
            </w:r>
            <w:r w:rsidR="00361A92" w:rsidRPr="00361A92">
              <w:rPr>
                <w:sz w:val="22"/>
                <w:szCs w:val="22"/>
              </w:rPr>
              <w:t xml:space="preserve">    /201</w:t>
            </w:r>
            <w:r w:rsidR="000C2108">
              <w:rPr>
                <w:sz w:val="22"/>
                <w:szCs w:val="22"/>
              </w:rPr>
              <w:t>6</w:t>
            </w:r>
            <w:r w:rsidR="00361A92" w:rsidRPr="00361A92">
              <w:rPr>
                <w:sz w:val="22"/>
                <w:szCs w:val="22"/>
              </w:rPr>
              <w:t>/</w:t>
            </w:r>
            <w:r w:rsidR="00A974F2">
              <w:rPr>
                <w:sz w:val="22"/>
                <w:szCs w:val="22"/>
              </w:rPr>
              <w:t>IB</w:t>
            </w:r>
            <w:r w:rsidR="00361A92" w:rsidRPr="00361A92">
              <w:rPr>
                <w:sz w:val="22"/>
                <w:szCs w:val="22"/>
              </w:rPr>
              <w:t>/CV</w:t>
            </w:r>
          </w:p>
          <w:p w:rsidR="00B5250E" w:rsidRPr="00361A92" w:rsidRDefault="00B5250E" w:rsidP="00C7096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61A92">
              <w:rPr>
                <w:i/>
                <w:sz w:val="22"/>
                <w:szCs w:val="22"/>
              </w:rPr>
              <w:t>V/v: Gi</w:t>
            </w:r>
            <w:r w:rsidR="007E1514" w:rsidRPr="00361A92">
              <w:rPr>
                <w:i/>
                <w:sz w:val="22"/>
                <w:szCs w:val="22"/>
              </w:rPr>
              <w:t xml:space="preserve">ải trình </w:t>
            </w:r>
            <w:r w:rsidR="001116A7">
              <w:rPr>
                <w:i/>
                <w:sz w:val="22"/>
                <w:szCs w:val="22"/>
              </w:rPr>
              <w:t xml:space="preserve">chênh lệch </w:t>
            </w:r>
            <w:r w:rsidR="00C7096F">
              <w:rPr>
                <w:i/>
                <w:sz w:val="22"/>
                <w:szCs w:val="22"/>
              </w:rPr>
              <w:t>l</w:t>
            </w:r>
            <w:r w:rsidR="00C7096F" w:rsidRPr="00C7096F">
              <w:rPr>
                <w:i/>
                <w:sz w:val="22"/>
                <w:szCs w:val="22"/>
              </w:rPr>
              <w:t>ợi</w:t>
            </w:r>
            <w:r w:rsidR="00C7096F">
              <w:rPr>
                <w:i/>
                <w:sz w:val="22"/>
                <w:szCs w:val="22"/>
              </w:rPr>
              <w:t xml:space="preserve"> nhu</w:t>
            </w:r>
            <w:r w:rsidR="00C7096F" w:rsidRPr="00C7096F">
              <w:rPr>
                <w:i/>
                <w:sz w:val="22"/>
                <w:szCs w:val="22"/>
              </w:rPr>
              <w:t>ận</w:t>
            </w:r>
            <w:r w:rsidR="001116A7">
              <w:rPr>
                <w:i/>
                <w:sz w:val="22"/>
                <w:szCs w:val="22"/>
              </w:rPr>
              <w:t xml:space="preserve"> </w:t>
            </w:r>
            <w:r w:rsidR="00065617">
              <w:rPr>
                <w:i/>
                <w:sz w:val="22"/>
                <w:szCs w:val="22"/>
              </w:rPr>
              <w:t>sau thu</w:t>
            </w:r>
            <w:r w:rsidR="00065617" w:rsidRPr="00065617">
              <w:rPr>
                <w:i/>
                <w:sz w:val="22"/>
                <w:szCs w:val="22"/>
              </w:rPr>
              <w:t>ế</w:t>
            </w:r>
          </w:p>
        </w:tc>
        <w:tc>
          <w:tcPr>
            <w:tcW w:w="236" w:type="dxa"/>
          </w:tcPr>
          <w:p w:rsidR="00B5250E" w:rsidRPr="00361A92" w:rsidRDefault="00B5250E" w:rsidP="00361A92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B5250E" w:rsidRPr="00361A92" w:rsidRDefault="00B5250E" w:rsidP="00155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61A92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B5250E" w:rsidRPr="00361A92" w:rsidRDefault="00B5250E" w:rsidP="00155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>Độc lập - Tự do - Hạnh phúc</w:t>
            </w:r>
          </w:p>
          <w:p w:rsidR="00B5250E" w:rsidRPr="00361A92" w:rsidRDefault="009E6A6A" w:rsidP="00155493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pict>
                <v:shape id="_x0000_s1027" type="#_x0000_t32" style="position:absolute;left:0;text-align:left;margin-left:58.8pt;margin-top:7.6pt;width:143.25pt;height:.05pt;z-index:251658240" o:connectortype="straight"/>
              </w:pict>
            </w:r>
          </w:p>
          <w:p w:rsidR="00B5250E" w:rsidRPr="00361A92" w:rsidRDefault="00B5250E" w:rsidP="005C5B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61A92">
              <w:rPr>
                <w:sz w:val="22"/>
                <w:szCs w:val="22"/>
              </w:rPr>
              <w:t xml:space="preserve">     </w:t>
            </w:r>
            <w:r w:rsidR="00C2626B" w:rsidRPr="00361A92">
              <w:rPr>
                <w:i/>
                <w:sz w:val="22"/>
                <w:szCs w:val="22"/>
              </w:rPr>
              <w:t xml:space="preserve">  Hà Nội, ngày </w:t>
            </w:r>
            <w:r w:rsidR="00291771">
              <w:rPr>
                <w:i/>
                <w:sz w:val="22"/>
                <w:szCs w:val="22"/>
              </w:rPr>
              <w:t>2</w:t>
            </w:r>
            <w:r w:rsidR="005C5B33">
              <w:rPr>
                <w:i/>
                <w:sz w:val="22"/>
                <w:szCs w:val="22"/>
              </w:rPr>
              <w:t>9</w:t>
            </w:r>
            <w:r w:rsidRPr="00361A92">
              <w:rPr>
                <w:i/>
                <w:sz w:val="22"/>
                <w:szCs w:val="22"/>
              </w:rPr>
              <w:t xml:space="preserve"> tháng </w:t>
            </w:r>
            <w:r w:rsidR="008128E2">
              <w:rPr>
                <w:i/>
                <w:sz w:val="22"/>
                <w:szCs w:val="22"/>
              </w:rPr>
              <w:t>0</w:t>
            </w:r>
            <w:r w:rsidR="00291771">
              <w:rPr>
                <w:i/>
                <w:sz w:val="22"/>
                <w:szCs w:val="22"/>
              </w:rPr>
              <w:t>7</w:t>
            </w:r>
            <w:r w:rsidRPr="00361A92">
              <w:rPr>
                <w:i/>
                <w:sz w:val="22"/>
                <w:szCs w:val="22"/>
              </w:rPr>
              <w:t xml:space="preserve"> năm 20</w:t>
            </w:r>
            <w:r w:rsidR="00C2626B" w:rsidRPr="00361A92">
              <w:rPr>
                <w:i/>
                <w:sz w:val="22"/>
                <w:szCs w:val="22"/>
              </w:rPr>
              <w:t>1</w:t>
            </w:r>
            <w:r w:rsidR="008128E2">
              <w:rPr>
                <w:i/>
                <w:sz w:val="22"/>
                <w:szCs w:val="22"/>
              </w:rPr>
              <w:t>6</w:t>
            </w:r>
          </w:p>
        </w:tc>
      </w:tr>
    </w:tbl>
    <w:p w:rsidR="0047778E" w:rsidRDefault="007A141D">
      <w:pPr>
        <w:rPr>
          <w:i/>
          <w:sz w:val="22"/>
          <w:szCs w:val="22"/>
        </w:rPr>
      </w:pPr>
      <w:r>
        <w:t xml:space="preserve">      </w:t>
      </w:r>
      <w:proofErr w:type="spellStart"/>
      <w:r w:rsidRPr="007A141D">
        <w:rPr>
          <w:i/>
          <w:sz w:val="22"/>
          <w:szCs w:val="22"/>
        </w:rPr>
        <w:t>Quý</w:t>
      </w:r>
      <w:proofErr w:type="spellEnd"/>
      <w:r w:rsidRPr="007A141D">
        <w:rPr>
          <w:i/>
          <w:sz w:val="22"/>
          <w:szCs w:val="22"/>
        </w:rPr>
        <w:t xml:space="preserve"> </w:t>
      </w:r>
      <w:r w:rsidR="00291771">
        <w:rPr>
          <w:i/>
          <w:sz w:val="22"/>
          <w:szCs w:val="22"/>
        </w:rPr>
        <w:t>2</w:t>
      </w:r>
      <w:r w:rsidRPr="007A141D">
        <w:rPr>
          <w:i/>
          <w:sz w:val="22"/>
          <w:szCs w:val="22"/>
        </w:rPr>
        <w:t xml:space="preserve"> </w:t>
      </w:r>
      <w:proofErr w:type="spellStart"/>
      <w:r w:rsidRPr="007A141D">
        <w:rPr>
          <w:i/>
          <w:sz w:val="22"/>
          <w:szCs w:val="22"/>
        </w:rPr>
        <w:t>năm</w:t>
      </w:r>
      <w:proofErr w:type="spellEnd"/>
      <w:r w:rsidRPr="007A141D">
        <w:rPr>
          <w:i/>
          <w:sz w:val="22"/>
          <w:szCs w:val="22"/>
        </w:rPr>
        <w:t xml:space="preserve"> 201</w:t>
      </w:r>
      <w:r w:rsidR="00F87998">
        <w:rPr>
          <w:i/>
          <w:sz w:val="22"/>
          <w:szCs w:val="22"/>
        </w:rPr>
        <w:t>6</w:t>
      </w:r>
      <w:r w:rsidRPr="007A141D">
        <w:rPr>
          <w:i/>
          <w:sz w:val="22"/>
          <w:szCs w:val="22"/>
        </w:rPr>
        <w:t xml:space="preserve"> </w:t>
      </w:r>
      <w:r w:rsidR="005C5B33">
        <w:rPr>
          <w:i/>
          <w:sz w:val="22"/>
          <w:szCs w:val="22"/>
        </w:rPr>
        <w:t>(</w:t>
      </w:r>
      <w:proofErr w:type="spellStart"/>
      <w:r w:rsidR="005C5B33">
        <w:rPr>
          <w:i/>
          <w:sz w:val="22"/>
          <w:szCs w:val="22"/>
        </w:rPr>
        <w:t>hợp</w:t>
      </w:r>
      <w:proofErr w:type="spellEnd"/>
      <w:r w:rsidR="005C5B33">
        <w:rPr>
          <w:i/>
          <w:sz w:val="22"/>
          <w:szCs w:val="22"/>
        </w:rPr>
        <w:t xml:space="preserve"> </w:t>
      </w:r>
      <w:proofErr w:type="spellStart"/>
      <w:r w:rsidR="005C5B33">
        <w:rPr>
          <w:i/>
          <w:sz w:val="22"/>
          <w:szCs w:val="22"/>
        </w:rPr>
        <w:t>nhất</w:t>
      </w:r>
      <w:proofErr w:type="spellEnd"/>
      <w:r w:rsidR="005C5B33">
        <w:rPr>
          <w:i/>
          <w:sz w:val="22"/>
          <w:szCs w:val="22"/>
        </w:rPr>
        <w:t xml:space="preserve">) </w:t>
      </w:r>
      <w:r w:rsidRPr="007A141D">
        <w:rPr>
          <w:i/>
          <w:sz w:val="22"/>
          <w:szCs w:val="22"/>
        </w:rPr>
        <w:t xml:space="preserve">so </w:t>
      </w:r>
      <w:proofErr w:type="spellStart"/>
      <w:r w:rsidRPr="007A141D">
        <w:rPr>
          <w:i/>
          <w:sz w:val="22"/>
          <w:szCs w:val="22"/>
        </w:rPr>
        <w:t>với</w:t>
      </w:r>
      <w:proofErr w:type="spellEnd"/>
      <w:r w:rsidRPr="007A141D">
        <w:rPr>
          <w:i/>
          <w:sz w:val="22"/>
          <w:szCs w:val="22"/>
        </w:rPr>
        <w:t xml:space="preserve"> </w:t>
      </w:r>
      <w:proofErr w:type="spellStart"/>
      <w:r w:rsidRPr="007A141D">
        <w:rPr>
          <w:i/>
          <w:sz w:val="22"/>
          <w:szCs w:val="22"/>
        </w:rPr>
        <w:t>cùng</w:t>
      </w:r>
      <w:proofErr w:type="spellEnd"/>
      <w:r w:rsidRPr="007A141D">
        <w:rPr>
          <w:i/>
          <w:sz w:val="22"/>
          <w:szCs w:val="22"/>
        </w:rPr>
        <w:t xml:space="preserve"> </w:t>
      </w:r>
      <w:proofErr w:type="spellStart"/>
      <w:r w:rsidRPr="007A141D">
        <w:rPr>
          <w:i/>
          <w:sz w:val="22"/>
          <w:szCs w:val="22"/>
        </w:rPr>
        <w:t>kỳ</w:t>
      </w:r>
      <w:proofErr w:type="spellEnd"/>
      <w:r w:rsidRPr="007A141D">
        <w:rPr>
          <w:i/>
          <w:sz w:val="22"/>
          <w:szCs w:val="22"/>
        </w:rPr>
        <w:t xml:space="preserve"> </w:t>
      </w:r>
      <w:proofErr w:type="spellStart"/>
      <w:r w:rsidRPr="007A141D">
        <w:rPr>
          <w:i/>
          <w:sz w:val="22"/>
          <w:szCs w:val="22"/>
        </w:rPr>
        <w:t>năm</w:t>
      </w:r>
      <w:proofErr w:type="spellEnd"/>
      <w:r w:rsidRPr="007A141D">
        <w:rPr>
          <w:i/>
          <w:sz w:val="22"/>
          <w:szCs w:val="22"/>
        </w:rPr>
        <w:t xml:space="preserve"> trước</w:t>
      </w:r>
    </w:p>
    <w:p w:rsidR="007A141D" w:rsidRPr="007A141D" w:rsidRDefault="007A141D">
      <w:pPr>
        <w:rPr>
          <w:i/>
          <w:sz w:val="22"/>
          <w:szCs w:val="22"/>
        </w:rPr>
      </w:pPr>
    </w:p>
    <w:p w:rsidR="006345CC" w:rsidRPr="00361A92" w:rsidRDefault="007E1514" w:rsidP="005C2319">
      <w:pPr>
        <w:ind w:firstLine="720"/>
        <w:jc w:val="center"/>
        <w:rPr>
          <w:b/>
          <w:szCs w:val="24"/>
        </w:rPr>
      </w:pPr>
      <w:r w:rsidRPr="00361A92">
        <w:rPr>
          <w:i/>
          <w:szCs w:val="24"/>
          <w:u w:val="single"/>
        </w:rPr>
        <w:t>Kính gửi</w:t>
      </w:r>
      <w:r w:rsidRPr="00361A92">
        <w:rPr>
          <w:i/>
          <w:szCs w:val="24"/>
        </w:rPr>
        <w:t>:</w:t>
      </w:r>
      <w:r w:rsidRPr="00361A92">
        <w:rPr>
          <w:szCs w:val="24"/>
        </w:rPr>
        <w:t xml:space="preserve"> </w:t>
      </w:r>
      <w:r w:rsidR="006345CC" w:rsidRPr="00361A92">
        <w:rPr>
          <w:b/>
          <w:szCs w:val="24"/>
        </w:rPr>
        <w:t>- ỦY BAN CHỨNG KH</w:t>
      </w:r>
      <w:r w:rsidR="0092332E">
        <w:rPr>
          <w:b/>
          <w:szCs w:val="24"/>
        </w:rPr>
        <w:t>O</w:t>
      </w:r>
      <w:r w:rsidR="0092332E" w:rsidRPr="0092332E">
        <w:rPr>
          <w:b/>
          <w:szCs w:val="24"/>
        </w:rPr>
        <w:t>Á</w:t>
      </w:r>
      <w:r w:rsidR="006345CC" w:rsidRPr="00361A92">
        <w:rPr>
          <w:b/>
          <w:szCs w:val="24"/>
        </w:rPr>
        <w:t>N NHÀ NƯỚC</w:t>
      </w:r>
    </w:p>
    <w:p w:rsidR="00A33D21" w:rsidRPr="00361A92" w:rsidRDefault="007F5AD2" w:rsidP="005C2319">
      <w:pPr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          - </w:t>
      </w:r>
      <w:r w:rsidR="00A33D21" w:rsidRPr="00361A92">
        <w:rPr>
          <w:b/>
          <w:szCs w:val="24"/>
        </w:rPr>
        <w:t>SỞ GIAO DỊCH CHỨNG KHOÁN HÀ NỘI</w:t>
      </w:r>
    </w:p>
    <w:p w:rsidR="006345CC" w:rsidRPr="00361A92" w:rsidRDefault="007F5AD2" w:rsidP="005C2319">
      <w:pPr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6345CC" w:rsidRPr="00361A92">
        <w:rPr>
          <w:b/>
          <w:szCs w:val="24"/>
        </w:rPr>
        <w:t>- SỞ GIAO DỊCH CHỨNG KHOÁN TP.HC</w:t>
      </w:r>
      <w:r w:rsidR="00A33D21" w:rsidRPr="00361A92">
        <w:rPr>
          <w:b/>
          <w:szCs w:val="24"/>
        </w:rPr>
        <w:t>M</w:t>
      </w:r>
    </w:p>
    <w:p w:rsidR="0055790D" w:rsidRPr="00B265E2" w:rsidRDefault="00A73BC6" w:rsidP="00B265E2">
      <w:pPr>
        <w:spacing w:line="360" w:lineRule="auto"/>
        <w:rPr>
          <w:color w:val="000000" w:themeColor="text1"/>
          <w:sz w:val="22"/>
          <w:szCs w:val="22"/>
        </w:rPr>
      </w:pPr>
      <w:r w:rsidRPr="0055790D">
        <w:rPr>
          <w:sz w:val="6"/>
          <w:szCs w:val="24"/>
        </w:rPr>
        <w:t xml:space="preserve"> </w:t>
      </w:r>
      <w:r w:rsidRPr="0055790D">
        <w:rPr>
          <w:sz w:val="12"/>
          <w:szCs w:val="24"/>
        </w:rPr>
        <w:t xml:space="preserve">  </w:t>
      </w:r>
      <w:r w:rsidRPr="00361A92">
        <w:rPr>
          <w:szCs w:val="24"/>
        </w:rPr>
        <w:t xml:space="preserve">   </w:t>
      </w:r>
    </w:p>
    <w:p w:rsidR="0047778E" w:rsidRPr="00B265E2" w:rsidRDefault="00361A92" w:rsidP="000D2E00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>Công t</w:t>
      </w:r>
      <w:r w:rsidR="009D7145" w:rsidRPr="00B265E2">
        <w:rPr>
          <w:color w:val="000000" w:themeColor="text1"/>
          <w:sz w:val="22"/>
          <w:szCs w:val="22"/>
        </w:rPr>
        <w:t xml:space="preserve">y Cổ phần Chứng khoán </w:t>
      </w:r>
      <w:r w:rsidR="00C67590" w:rsidRPr="00B265E2">
        <w:rPr>
          <w:color w:val="000000" w:themeColor="text1"/>
          <w:sz w:val="22"/>
          <w:szCs w:val="22"/>
        </w:rPr>
        <w:t>IB</w:t>
      </w:r>
      <w:r w:rsidRPr="00B265E2">
        <w:rPr>
          <w:color w:val="000000" w:themeColor="text1"/>
          <w:sz w:val="22"/>
          <w:szCs w:val="22"/>
        </w:rPr>
        <w:t xml:space="preserve"> (</w:t>
      </w:r>
      <w:r w:rsidR="00C7096F" w:rsidRPr="00B265E2">
        <w:rPr>
          <w:color w:val="000000" w:themeColor="text1"/>
          <w:sz w:val="22"/>
          <w:szCs w:val="22"/>
        </w:rPr>
        <w:t>IBSC</w:t>
      </w:r>
      <w:r w:rsidR="0055790D" w:rsidRPr="00B265E2">
        <w:rPr>
          <w:color w:val="000000" w:themeColor="text1"/>
          <w:sz w:val="22"/>
          <w:szCs w:val="22"/>
        </w:rPr>
        <w:t>, mã chứng khoán: VIX</w:t>
      </w:r>
      <w:r w:rsidRPr="00B265E2">
        <w:rPr>
          <w:color w:val="000000" w:themeColor="text1"/>
          <w:sz w:val="22"/>
          <w:szCs w:val="22"/>
        </w:rPr>
        <w:t>) xin</w:t>
      </w:r>
      <w:r w:rsidR="009D7145" w:rsidRPr="00B265E2">
        <w:rPr>
          <w:color w:val="000000" w:themeColor="text1"/>
          <w:sz w:val="22"/>
          <w:szCs w:val="22"/>
        </w:rPr>
        <w:t xml:space="preserve"> gửi đến Quý </w:t>
      </w:r>
      <w:r w:rsidRPr="00B265E2">
        <w:rPr>
          <w:color w:val="000000" w:themeColor="text1"/>
          <w:sz w:val="22"/>
          <w:szCs w:val="22"/>
        </w:rPr>
        <w:t>Cơ quan lời chào trân trọng</w:t>
      </w:r>
      <w:r w:rsidR="00C7096F" w:rsidRPr="00B265E2">
        <w:rPr>
          <w:color w:val="000000" w:themeColor="text1"/>
          <w:sz w:val="22"/>
          <w:szCs w:val="22"/>
        </w:rPr>
        <w:t>.</w:t>
      </w:r>
      <w:r w:rsidR="007C6BFC" w:rsidRPr="00B265E2">
        <w:rPr>
          <w:color w:val="000000" w:themeColor="text1"/>
          <w:sz w:val="22"/>
          <w:szCs w:val="22"/>
        </w:rPr>
        <w:t xml:space="preserve"> </w:t>
      </w:r>
    </w:p>
    <w:p w:rsidR="0047778E" w:rsidRPr="00B265E2" w:rsidRDefault="007E1514" w:rsidP="000D2E00">
      <w:pPr>
        <w:spacing w:after="120"/>
        <w:ind w:firstLine="425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 xml:space="preserve">Theo quy định tại thông tư số </w:t>
      </w:r>
      <w:r w:rsidR="006E01E5">
        <w:rPr>
          <w:color w:val="000000" w:themeColor="text1"/>
          <w:sz w:val="22"/>
          <w:szCs w:val="22"/>
        </w:rPr>
        <w:t>155</w:t>
      </w:r>
      <w:r w:rsidR="00ED793A" w:rsidRPr="00B265E2">
        <w:rPr>
          <w:color w:val="000000" w:themeColor="text1"/>
          <w:sz w:val="22"/>
          <w:szCs w:val="22"/>
        </w:rPr>
        <w:t>/201</w:t>
      </w:r>
      <w:r w:rsidR="006E01E5">
        <w:rPr>
          <w:color w:val="000000" w:themeColor="text1"/>
          <w:sz w:val="22"/>
          <w:szCs w:val="22"/>
        </w:rPr>
        <w:t>5</w:t>
      </w:r>
      <w:r w:rsidR="00ED793A" w:rsidRPr="00B265E2">
        <w:rPr>
          <w:color w:val="000000" w:themeColor="text1"/>
          <w:sz w:val="22"/>
          <w:szCs w:val="22"/>
        </w:rPr>
        <w:t xml:space="preserve">/TT-BTC </w:t>
      </w:r>
      <w:r w:rsidR="009406C3" w:rsidRPr="00B265E2">
        <w:rPr>
          <w:color w:val="000000" w:themeColor="text1"/>
          <w:sz w:val="22"/>
          <w:szCs w:val="22"/>
        </w:rPr>
        <w:t xml:space="preserve">ngày </w:t>
      </w:r>
      <w:r w:rsidR="006E01E5">
        <w:rPr>
          <w:color w:val="000000" w:themeColor="text1"/>
          <w:sz w:val="22"/>
          <w:szCs w:val="22"/>
        </w:rPr>
        <w:t>06/10</w:t>
      </w:r>
      <w:r w:rsidR="00ED793A" w:rsidRPr="00B265E2">
        <w:rPr>
          <w:color w:val="000000" w:themeColor="text1"/>
          <w:sz w:val="22"/>
          <w:szCs w:val="22"/>
        </w:rPr>
        <w:t>/201</w:t>
      </w:r>
      <w:r w:rsidR="006E01E5">
        <w:rPr>
          <w:color w:val="000000" w:themeColor="text1"/>
          <w:sz w:val="22"/>
          <w:szCs w:val="22"/>
        </w:rPr>
        <w:t>5</w:t>
      </w:r>
      <w:r w:rsidRPr="00B265E2">
        <w:rPr>
          <w:color w:val="000000" w:themeColor="text1"/>
          <w:sz w:val="22"/>
          <w:szCs w:val="22"/>
        </w:rPr>
        <w:t xml:space="preserve"> hướng dẫn về việc công bố thông tin</w:t>
      </w:r>
      <w:r w:rsidR="00E767AA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trên TTCK</w:t>
      </w:r>
      <w:r w:rsidR="00E767AA" w:rsidRPr="00B265E2">
        <w:rPr>
          <w:color w:val="000000" w:themeColor="text1"/>
          <w:sz w:val="22"/>
          <w:szCs w:val="22"/>
        </w:rPr>
        <w:t>, trường hợp lợi nhuận sau thuế thu nhập doanh nghiệp tại báo cáo kết quả hoạt động</w:t>
      </w:r>
      <w:r w:rsidR="0003141E" w:rsidRPr="00B265E2">
        <w:rPr>
          <w:color w:val="000000" w:themeColor="text1"/>
          <w:sz w:val="22"/>
          <w:szCs w:val="22"/>
        </w:rPr>
        <w:t xml:space="preserve"> kinh doanh </w:t>
      </w:r>
      <w:r w:rsidR="00874D03">
        <w:rPr>
          <w:color w:val="000000" w:themeColor="text1"/>
          <w:sz w:val="22"/>
          <w:szCs w:val="22"/>
        </w:rPr>
        <w:t>của</w:t>
      </w:r>
      <w:r w:rsidR="0003141E" w:rsidRPr="00B265E2">
        <w:rPr>
          <w:color w:val="000000" w:themeColor="text1"/>
          <w:sz w:val="22"/>
          <w:szCs w:val="22"/>
        </w:rPr>
        <w:t xml:space="preserve"> kỳ báo cáo so với </w:t>
      </w:r>
      <w:r w:rsidR="00874D03">
        <w:rPr>
          <w:color w:val="000000" w:themeColor="text1"/>
          <w:sz w:val="22"/>
          <w:szCs w:val="22"/>
        </w:rPr>
        <w:t xml:space="preserve"> báo cáo </w:t>
      </w:r>
      <w:r w:rsidR="0003141E" w:rsidRPr="00B265E2">
        <w:rPr>
          <w:color w:val="000000" w:themeColor="text1"/>
          <w:sz w:val="22"/>
          <w:szCs w:val="22"/>
        </w:rPr>
        <w:t xml:space="preserve">cùng kỳ năm trước có biến động từ mười phần trăm (10%) trở lên, tổ chức niêm yết phải giải trình rõ nguyên nhân dẫn đến những biến động bất thường đó trong báo cáo tài chính </w:t>
      </w:r>
      <w:r w:rsidR="00631F92" w:rsidRPr="00B265E2">
        <w:rPr>
          <w:color w:val="000000" w:themeColor="text1"/>
          <w:sz w:val="22"/>
          <w:szCs w:val="22"/>
        </w:rPr>
        <w:t>năm.</w:t>
      </w:r>
    </w:p>
    <w:p w:rsidR="0003141E" w:rsidRPr="00B265E2" w:rsidRDefault="0003141E" w:rsidP="000D2E00">
      <w:pPr>
        <w:spacing w:after="120"/>
        <w:ind w:firstLine="425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>Theo đó</w:t>
      </w:r>
      <w:r w:rsidR="0029340C" w:rsidRPr="00B265E2">
        <w:rPr>
          <w:color w:val="000000" w:themeColor="text1"/>
          <w:sz w:val="22"/>
          <w:szCs w:val="22"/>
        </w:rPr>
        <w:t>,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C67590" w:rsidRPr="00B265E2">
        <w:rPr>
          <w:color w:val="000000" w:themeColor="text1"/>
          <w:sz w:val="22"/>
          <w:szCs w:val="22"/>
        </w:rPr>
        <w:t>IB</w:t>
      </w:r>
      <w:r w:rsidR="0055790D" w:rsidRPr="00B265E2">
        <w:rPr>
          <w:color w:val="000000" w:themeColor="text1"/>
          <w:sz w:val="22"/>
          <w:szCs w:val="22"/>
        </w:rPr>
        <w:t xml:space="preserve">SC </w:t>
      </w:r>
      <w:r w:rsidRPr="00B265E2">
        <w:rPr>
          <w:color w:val="000000" w:themeColor="text1"/>
          <w:sz w:val="22"/>
          <w:szCs w:val="22"/>
        </w:rPr>
        <w:t xml:space="preserve">xin giải trình về </w:t>
      </w:r>
      <w:proofErr w:type="spellStart"/>
      <w:r w:rsidRPr="00B265E2">
        <w:rPr>
          <w:color w:val="000000" w:themeColor="text1"/>
          <w:sz w:val="22"/>
          <w:szCs w:val="22"/>
        </w:rPr>
        <w:t>bi</w:t>
      </w:r>
      <w:r w:rsidR="00DB6A17" w:rsidRPr="00B265E2">
        <w:rPr>
          <w:color w:val="000000" w:themeColor="text1"/>
          <w:sz w:val="22"/>
          <w:szCs w:val="22"/>
        </w:rPr>
        <w:t>ến</w:t>
      </w:r>
      <w:proofErr w:type="spellEnd"/>
      <w:r w:rsidR="00DB6A17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DB6A17" w:rsidRPr="00B265E2">
        <w:rPr>
          <w:color w:val="000000" w:themeColor="text1"/>
          <w:sz w:val="22"/>
          <w:szCs w:val="22"/>
        </w:rPr>
        <w:t>động</w:t>
      </w:r>
      <w:proofErr w:type="spellEnd"/>
      <w:r w:rsidR="00DB6A17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DB6A17" w:rsidRPr="00B265E2">
        <w:rPr>
          <w:color w:val="000000" w:themeColor="text1"/>
          <w:sz w:val="22"/>
          <w:szCs w:val="22"/>
        </w:rPr>
        <w:t>kết</w:t>
      </w:r>
      <w:proofErr w:type="spellEnd"/>
      <w:r w:rsidR="00DB6A17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DB6A17" w:rsidRPr="00B265E2">
        <w:rPr>
          <w:color w:val="000000" w:themeColor="text1"/>
          <w:sz w:val="22"/>
          <w:szCs w:val="22"/>
        </w:rPr>
        <w:t>quả</w:t>
      </w:r>
      <w:proofErr w:type="spellEnd"/>
      <w:r w:rsidR="00DB6A17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DB6A17" w:rsidRPr="00B265E2">
        <w:rPr>
          <w:color w:val="000000" w:themeColor="text1"/>
          <w:sz w:val="22"/>
          <w:szCs w:val="22"/>
        </w:rPr>
        <w:t>kinh</w:t>
      </w:r>
      <w:proofErr w:type="spellEnd"/>
      <w:r w:rsidR="00DB6A17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DB6A17" w:rsidRPr="00B265E2">
        <w:rPr>
          <w:color w:val="000000" w:themeColor="text1"/>
          <w:sz w:val="22"/>
          <w:szCs w:val="22"/>
        </w:rPr>
        <w:t>doanh</w:t>
      </w:r>
      <w:proofErr w:type="spellEnd"/>
      <w:r w:rsidR="00DB6A17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485A1C">
        <w:rPr>
          <w:color w:val="000000" w:themeColor="text1"/>
          <w:sz w:val="22"/>
          <w:szCs w:val="22"/>
        </w:rPr>
        <w:t>hợp</w:t>
      </w:r>
      <w:proofErr w:type="spellEnd"/>
      <w:r w:rsidR="00485A1C">
        <w:rPr>
          <w:color w:val="000000" w:themeColor="text1"/>
          <w:sz w:val="22"/>
          <w:szCs w:val="22"/>
        </w:rPr>
        <w:t xml:space="preserve"> </w:t>
      </w:r>
      <w:proofErr w:type="spellStart"/>
      <w:r w:rsidR="00485A1C">
        <w:rPr>
          <w:color w:val="000000" w:themeColor="text1"/>
          <w:sz w:val="22"/>
          <w:szCs w:val="22"/>
        </w:rPr>
        <w:t>nhất</w:t>
      </w:r>
      <w:proofErr w:type="spellEnd"/>
      <w:r w:rsidR="00485A1C">
        <w:rPr>
          <w:color w:val="000000" w:themeColor="text1"/>
          <w:sz w:val="22"/>
          <w:szCs w:val="22"/>
        </w:rPr>
        <w:t xml:space="preserve"> </w:t>
      </w:r>
      <w:proofErr w:type="spellStart"/>
      <w:r w:rsidR="00C7096F" w:rsidRPr="00B265E2">
        <w:rPr>
          <w:color w:val="000000" w:themeColor="text1"/>
          <w:sz w:val="22"/>
          <w:szCs w:val="22"/>
        </w:rPr>
        <w:t>Quý</w:t>
      </w:r>
      <w:proofErr w:type="spellEnd"/>
      <w:r w:rsidR="00C7096F" w:rsidRPr="00B265E2">
        <w:rPr>
          <w:color w:val="000000" w:themeColor="text1"/>
          <w:sz w:val="22"/>
          <w:szCs w:val="22"/>
        </w:rPr>
        <w:t xml:space="preserve"> </w:t>
      </w:r>
      <w:r w:rsidR="00291771">
        <w:rPr>
          <w:color w:val="000000" w:themeColor="text1"/>
          <w:sz w:val="22"/>
          <w:szCs w:val="22"/>
        </w:rPr>
        <w:t>2</w:t>
      </w:r>
      <w:r w:rsidR="00444A44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="00284090" w:rsidRPr="00B265E2">
        <w:rPr>
          <w:color w:val="000000" w:themeColor="text1"/>
          <w:sz w:val="22"/>
          <w:szCs w:val="22"/>
        </w:rPr>
        <w:t>năm</w:t>
      </w:r>
      <w:proofErr w:type="spellEnd"/>
      <w:r w:rsidR="00631F92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201</w:t>
      </w:r>
      <w:r w:rsidR="00F87998">
        <w:rPr>
          <w:color w:val="000000" w:themeColor="text1"/>
          <w:sz w:val="22"/>
          <w:szCs w:val="22"/>
        </w:rPr>
        <w:t>6</w:t>
      </w:r>
      <w:r w:rsidR="00DB6A17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(kỳ báo cáo</w:t>
      </w:r>
      <w:r w:rsidR="00DB6A17" w:rsidRPr="00B265E2">
        <w:rPr>
          <w:color w:val="000000" w:themeColor="text1"/>
          <w:sz w:val="22"/>
          <w:szCs w:val="22"/>
        </w:rPr>
        <w:t>)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DB6A17" w:rsidRPr="00B265E2">
        <w:rPr>
          <w:color w:val="000000" w:themeColor="text1"/>
          <w:sz w:val="22"/>
          <w:szCs w:val="22"/>
        </w:rPr>
        <w:t>so vớ</w:t>
      </w:r>
      <w:r w:rsidRPr="00B265E2">
        <w:rPr>
          <w:color w:val="000000" w:themeColor="text1"/>
          <w:sz w:val="22"/>
          <w:szCs w:val="22"/>
        </w:rPr>
        <w:t>i</w:t>
      </w:r>
      <w:r w:rsidR="00F145A5" w:rsidRPr="00B265E2">
        <w:rPr>
          <w:color w:val="000000" w:themeColor="text1"/>
          <w:sz w:val="22"/>
          <w:szCs w:val="22"/>
        </w:rPr>
        <w:t xml:space="preserve"> </w:t>
      </w:r>
      <w:r w:rsidR="00C7096F" w:rsidRPr="00B265E2">
        <w:rPr>
          <w:color w:val="000000" w:themeColor="text1"/>
          <w:sz w:val="22"/>
          <w:szCs w:val="22"/>
        </w:rPr>
        <w:t xml:space="preserve">Quý </w:t>
      </w:r>
      <w:r w:rsidR="00291771">
        <w:rPr>
          <w:color w:val="000000" w:themeColor="text1"/>
          <w:sz w:val="22"/>
          <w:szCs w:val="22"/>
        </w:rPr>
        <w:t>2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631F92" w:rsidRPr="00B265E2">
        <w:rPr>
          <w:color w:val="000000" w:themeColor="text1"/>
          <w:sz w:val="22"/>
          <w:szCs w:val="22"/>
        </w:rPr>
        <w:t xml:space="preserve">năm </w:t>
      </w:r>
      <w:r w:rsidRPr="00B265E2">
        <w:rPr>
          <w:color w:val="000000" w:themeColor="text1"/>
          <w:sz w:val="22"/>
          <w:szCs w:val="22"/>
        </w:rPr>
        <w:t>20</w:t>
      </w:r>
      <w:r w:rsidR="00CB0762" w:rsidRPr="00B265E2">
        <w:rPr>
          <w:color w:val="000000" w:themeColor="text1"/>
          <w:sz w:val="22"/>
          <w:szCs w:val="22"/>
        </w:rPr>
        <w:t>1</w:t>
      </w:r>
      <w:r w:rsidR="00F87998">
        <w:rPr>
          <w:color w:val="000000" w:themeColor="text1"/>
          <w:sz w:val="22"/>
          <w:szCs w:val="22"/>
        </w:rPr>
        <w:t>5</w:t>
      </w:r>
      <w:r w:rsidR="00EA7CCB">
        <w:rPr>
          <w:color w:val="000000" w:themeColor="text1"/>
          <w:sz w:val="22"/>
          <w:szCs w:val="22"/>
        </w:rPr>
        <w:t xml:space="preserve"> </w:t>
      </w:r>
      <w:r w:rsidR="0029340C" w:rsidRPr="00B265E2">
        <w:rPr>
          <w:color w:val="000000" w:themeColor="text1"/>
          <w:sz w:val="22"/>
          <w:szCs w:val="22"/>
        </w:rPr>
        <w:t>(kỳ trước)</w:t>
      </w:r>
      <w:r w:rsidRPr="00B265E2">
        <w:rPr>
          <w:color w:val="000000" w:themeColor="text1"/>
          <w:sz w:val="22"/>
          <w:szCs w:val="22"/>
        </w:rPr>
        <w:t xml:space="preserve"> như sau:</w:t>
      </w:r>
    </w:p>
    <w:p w:rsidR="000A4EE7" w:rsidRPr="00B265E2" w:rsidRDefault="000A4EE7" w:rsidP="000D2E00">
      <w:pPr>
        <w:spacing w:after="120" w:line="276" w:lineRule="auto"/>
        <w:ind w:left="1014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 xml:space="preserve">LNST </w:t>
      </w:r>
      <w:proofErr w:type="spellStart"/>
      <w:r w:rsidR="00C7096F" w:rsidRPr="00B265E2">
        <w:rPr>
          <w:color w:val="000000" w:themeColor="text1"/>
          <w:sz w:val="22"/>
          <w:szCs w:val="22"/>
        </w:rPr>
        <w:t>Quý</w:t>
      </w:r>
      <w:proofErr w:type="spellEnd"/>
      <w:r w:rsidR="00C7096F" w:rsidRPr="00B265E2">
        <w:rPr>
          <w:color w:val="000000" w:themeColor="text1"/>
          <w:sz w:val="22"/>
          <w:szCs w:val="22"/>
        </w:rPr>
        <w:t xml:space="preserve"> </w:t>
      </w:r>
      <w:r w:rsidR="00291771">
        <w:rPr>
          <w:color w:val="000000" w:themeColor="text1"/>
          <w:sz w:val="22"/>
          <w:szCs w:val="22"/>
        </w:rPr>
        <w:t>2</w:t>
      </w:r>
      <w:r w:rsidR="00723EB9" w:rsidRPr="00B265E2">
        <w:rPr>
          <w:color w:val="000000" w:themeColor="text1"/>
          <w:sz w:val="22"/>
          <w:szCs w:val="22"/>
        </w:rPr>
        <w:t xml:space="preserve"> </w:t>
      </w:r>
      <w:proofErr w:type="spellStart"/>
      <w:r w:rsidRPr="00B265E2">
        <w:rPr>
          <w:color w:val="000000" w:themeColor="text1"/>
          <w:sz w:val="22"/>
          <w:szCs w:val="22"/>
        </w:rPr>
        <w:t>năm</w:t>
      </w:r>
      <w:proofErr w:type="spellEnd"/>
      <w:r w:rsidRPr="00B265E2">
        <w:rPr>
          <w:color w:val="000000" w:themeColor="text1"/>
          <w:sz w:val="22"/>
          <w:szCs w:val="22"/>
        </w:rPr>
        <w:t xml:space="preserve"> 201</w:t>
      </w:r>
      <w:r w:rsidR="00F87998">
        <w:rPr>
          <w:color w:val="000000" w:themeColor="text1"/>
          <w:sz w:val="22"/>
          <w:szCs w:val="22"/>
        </w:rPr>
        <w:t>6</w:t>
      </w:r>
      <w:r w:rsidRPr="00B265E2">
        <w:rPr>
          <w:color w:val="000000" w:themeColor="text1"/>
          <w:sz w:val="22"/>
          <w:szCs w:val="22"/>
        </w:rPr>
        <w:t xml:space="preserve">: </w:t>
      </w:r>
      <w:r w:rsidR="00485A1C" w:rsidRPr="00485A1C">
        <w:rPr>
          <w:b/>
          <w:color w:val="000000" w:themeColor="text1"/>
          <w:sz w:val="22"/>
          <w:szCs w:val="22"/>
        </w:rPr>
        <w:t xml:space="preserve">15.667.446.055 </w:t>
      </w:r>
      <w:proofErr w:type="spellStart"/>
      <w:r w:rsidRPr="008128E2">
        <w:rPr>
          <w:b/>
          <w:color w:val="000000" w:themeColor="text1"/>
          <w:sz w:val="22"/>
          <w:szCs w:val="22"/>
        </w:rPr>
        <w:t>đồng</w:t>
      </w:r>
      <w:proofErr w:type="spellEnd"/>
    </w:p>
    <w:p w:rsidR="008D0523" w:rsidRPr="00B265E2" w:rsidRDefault="00AA4A86" w:rsidP="000D2E00">
      <w:pPr>
        <w:spacing w:after="120"/>
        <w:ind w:left="204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 xml:space="preserve">           </w:t>
      </w:r>
      <w:r w:rsidR="00F64955">
        <w:rPr>
          <w:color w:val="000000" w:themeColor="text1"/>
          <w:sz w:val="22"/>
          <w:szCs w:val="22"/>
        </w:rPr>
        <w:t xml:space="preserve">  </w:t>
      </w:r>
      <w:r w:rsidR="000A4EE7" w:rsidRPr="00B265E2">
        <w:rPr>
          <w:color w:val="000000" w:themeColor="text1"/>
          <w:sz w:val="22"/>
          <w:szCs w:val="22"/>
        </w:rPr>
        <w:t xml:space="preserve">LNST </w:t>
      </w:r>
      <w:r w:rsidR="00C7096F" w:rsidRPr="00B265E2">
        <w:rPr>
          <w:color w:val="000000" w:themeColor="text1"/>
          <w:sz w:val="22"/>
          <w:szCs w:val="22"/>
        </w:rPr>
        <w:t>Quý</w:t>
      </w:r>
      <w:r w:rsidR="00BE6974" w:rsidRPr="00B265E2">
        <w:rPr>
          <w:color w:val="000000" w:themeColor="text1"/>
          <w:sz w:val="22"/>
          <w:szCs w:val="22"/>
        </w:rPr>
        <w:t xml:space="preserve"> </w:t>
      </w:r>
      <w:r w:rsidR="00291771">
        <w:rPr>
          <w:color w:val="000000" w:themeColor="text1"/>
          <w:sz w:val="22"/>
          <w:szCs w:val="22"/>
        </w:rPr>
        <w:t>2</w:t>
      </w:r>
      <w:r w:rsidR="00723EB9" w:rsidRPr="00B265E2">
        <w:rPr>
          <w:color w:val="000000" w:themeColor="text1"/>
          <w:sz w:val="22"/>
          <w:szCs w:val="22"/>
        </w:rPr>
        <w:t xml:space="preserve"> năm 201</w:t>
      </w:r>
      <w:r w:rsidR="00F87998">
        <w:rPr>
          <w:color w:val="000000" w:themeColor="text1"/>
          <w:sz w:val="22"/>
          <w:szCs w:val="22"/>
        </w:rPr>
        <w:t>5</w:t>
      </w:r>
      <w:r w:rsidR="000A4EE7" w:rsidRPr="00B265E2">
        <w:rPr>
          <w:color w:val="000000" w:themeColor="text1"/>
          <w:sz w:val="22"/>
          <w:szCs w:val="22"/>
        </w:rPr>
        <w:t xml:space="preserve">: </w:t>
      </w:r>
      <w:r w:rsidR="00C7096F" w:rsidRPr="00B265E2">
        <w:rPr>
          <w:color w:val="000000" w:themeColor="text1"/>
          <w:sz w:val="22"/>
          <w:szCs w:val="22"/>
        </w:rPr>
        <w:t xml:space="preserve"> </w:t>
      </w:r>
      <w:r w:rsidR="00EA7CCB">
        <w:rPr>
          <w:color w:val="000000" w:themeColor="text1"/>
          <w:sz w:val="22"/>
          <w:szCs w:val="22"/>
        </w:rPr>
        <w:t xml:space="preserve"> </w:t>
      </w:r>
      <w:r w:rsidR="00291771">
        <w:rPr>
          <w:b/>
          <w:color w:val="000000" w:themeColor="text1"/>
          <w:sz w:val="22"/>
          <w:szCs w:val="22"/>
        </w:rPr>
        <w:t>12.872.332.135</w:t>
      </w:r>
      <w:r w:rsidR="00132C1B" w:rsidRPr="00132C1B">
        <w:rPr>
          <w:b/>
          <w:color w:val="000000" w:themeColor="text1"/>
          <w:sz w:val="22"/>
          <w:szCs w:val="22"/>
        </w:rPr>
        <w:t xml:space="preserve"> </w:t>
      </w:r>
      <w:r w:rsidR="000A4EE7" w:rsidRPr="008128E2">
        <w:rPr>
          <w:b/>
          <w:color w:val="000000" w:themeColor="text1"/>
          <w:sz w:val="22"/>
          <w:szCs w:val="22"/>
        </w:rPr>
        <w:t>đồng</w:t>
      </w:r>
      <w:r w:rsidRPr="00B265E2">
        <w:rPr>
          <w:color w:val="000000" w:themeColor="text1"/>
          <w:sz w:val="22"/>
          <w:szCs w:val="22"/>
        </w:rPr>
        <w:t xml:space="preserve">        </w:t>
      </w:r>
    </w:p>
    <w:p w:rsidR="00740586" w:rsidRPr="00A703BC" w:rsidRDefault="00AA4A86" w:rsidP="000D2E00">
      <w:pPr>
        <w:tabs>
          <w:tab w:val="left" w:pos="450"/>
        </w:tabs>
        <w:spacing w:after="120"/>
        <w:ind w:left="204"/>
        <w:jc w:val="both"/>
        <w:rPr>
          <w:color w:val="000000" w:themeColor="text1"/>
          <w:sz w:val="22"/>
          <w:szCs w:val="22"/>
        </w:rPr>
      </w:pPr>
      <w:r w:rsidRPr="00A703B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0586" w:rsidRPr="00A703BC">
        <w:rPr>
          <w:color w:val="000000" w:themeColor="text1"/>
          <w:sz w:val="22"/>
          <w:szCs w:val="22"/>
        </w:rPr>
        <w:t xml:space="preserve">Nguyên nhân dẫn đến </w:t>
      </w:r>
      <w:r w:rsidR="00132C1B">
        <w:rPr>
          <w:color w:val="000000" w:themeColor="text1"/>
          <w:sz w:val="22"/>
          <w:szCs w:val="22"/>
        </w:rPr>
        <w:t>tăng</w:t>
      </w:r>
      <w:r w:rsidR="00740586" w:rsidRPr="00A703BC">
        <w:rPr>
          <w:color w:val="000000" w:themeColor="text1"/>
          <w:sz w:val="22"/>
          <w:szCs w:val="22"/>
        </w:rPr>
        <w:t xml:space="preserve"> lợi nhuận</w:t>
      </w:r>
      <w:r w:rsidR="00C14068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C14068" w:rsidRPr="00A703BC">
        <w:rPr>
          <w:color w:val="000000" w:themeColor="text1"/>
          <w:sz w:val="22"/>
          <w:szCs w:val="22"/>
        </w:rPr>
        <w:t>sau</w:t>
      </w:r>
      <w:proofErr w:type="spellEnd"/>
      <w:r w:rsidR="00C14068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C14068" w:rsidRPr="00A703BC">
        <w:rPr>
          <w:color w:val="000000" w:themeColor="text1"/>
          <w:sz w:val="22"/>
          <w:szCs w:val="22"/>
        </w:rPr>
        <w:t>thuế</w:t>
      </w:r>
      <w:proofErr w:type="spellEnd"/>
      <w:r w:rsidR="008B1D78" w:rsidRPr="00A703BC">
        <w:rPr>
          <w:color w:val="000000" w:themeColor="text1"/>
          <w:sz w:val="22"/>
          <w:szCs w:val="22"/>
        </w:rPr>
        <w:t xml:space="preserve"> </w:t>
      </w:r>
      <w:r w:rsidR="00291771">
        <w:rPr>
          <w:b/>
          <w:color w:val="000000" w:themeColor="text1"/>
          <w:sz w:val="22"/>
          <w:szCs w:val="22"/>
        </w:rPr>
        <w:t>22</w:t>
      </w:r>
      <w:r w:rsidR="00DB48A9" w:rsidRPr="00D06D7E">
        <w:rPr>
          <w:b/>
          <w:color w:val="000000" w:themeColor="text1"/>
          <w:sz w:val="22"/>
          <w:szCs w:val="22"/>
        </w:rPr>
        <w:t>%</w:t>
      </w:r>
      <w:r w:rsidR="00740586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8D0523" w:rsidRPr="00A703BC">
        <w:rPr>
          <w:color w:val="000000" w:themeColor="text1"/>
          <w:sz w:val="22"/>
          <w:szCs w:val="22"/>
        </w:rPr>
        <w:t>tương</w:t>
      </w:r>
      <w:proofErr w:type="spellEnd"/>
      <w:r w:rsidR="008D0523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8D0523" w:rsidRPr="00A703BC">
        <w:rPr>
          <w:color w:val="000000" w:themeColor="text1"/>
          <w:sz w:val="22"/>
          <w:szCs w:val="22"/>
        </w:rPr>
        <w:t>đương</w:t>
      </w:r>
      <w:proofErr w:type="spellEnd"/>
      <w:r w:rsidR="008D0523" w:rsidRPr="00A703B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32C1B">
        <w:rPr>
          <w:color w:val="000000" w:themeColor="text1"/>
          <w:sz w:val="22"/>
          <w:szCs w:val="22"/>
        </w:rPr>
        <w:t>tăng</w:t>
      </w:r>
      <w:proofErr w:type="spellEnd"/>
      <w:r w:rsidR="0043767E">
        <w:rPr>
          <w:rFonts w:ascii="Arial" w:hAnsi="Arial" w:cs="Arial"/>
          <w:b/>
          <w:bCs/>
          <w:sz w:val="22"/>
          <w:szCs w:val="22"/>
        </w:rPr>
        <w:t xml:space="preserve"> </w:t>
      </w:r>
      <w:r w:rsidR="00485A1C">
        <w:rPr>
          <w:b/>
          <w:color w:val="000000" w:themeColor="text1"/>
          <w:sz w:val="22"/>
          <w:szCs w:val="22"/>
        </w:rPr>
        <w:t>2.795.113.920</w:t>
      </w:r>
      <w:r w:rsidR="008D0523" w:rsidRPr="00A703BC">
        <w:rPr>
          <w:b/>
          <w:sz w:val="22"/>
          <w:szCs w:val="22"/>
        </w:rPr>
        <w:t xml:space="preserve"> đ</w:t>
      </w:r>
      <w:r w:rsidR="00A703BC" w:rsidRPr="00A703BC">
        <w:rPr>
          <w:b/>
          <w:sz w:val="22"/>
          <w:szCs w:val="22"/>
        </w:rPr>
        <w:t xml:space="preserve"> </w:t>
      </w:r>
      <w:proofErr w:type="spellStart"/>
      <w:r w:rsidR="006D19B0" w:rsidRPr="00A703BC">
        <w:rPr>
          <w:sz w:val="22"/>
          <w:szCs w:val="22"/>
        </w:rPr>
        <w:t>như</w:t>
      </w:r>
      <w:proofErr w:type="spellEnd"/>
      <w:r w:rsidR="00740586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740586" w:rsidRPr="00A703BC">
        <w:rPr>
          <w:color w:val="000000" w:themeColor="text1"/>
          <w:sz w:val="22"/>
          <w:szCs w:val="22"/>
        </w:rPr>
        <w:t>sau</w:t>
      </w:r>
      <w:proofErr w:type="spellEnd"/>
      <w:r w:rsidR="00740586" w:rsidRPr="00A703BC">
        <w:rPr>
          <w:color w:val="000000" w:themeColor="text1"/>
          <w:sz w:val="22"/>
          <w:szCs w:val="22"/>
        </w:rPr>
        <w:t>:</w:t>
      </w:r>
    </w:p>
    <w:p w:rsidR="00CD6715" w:rsidRPr="005D43A4" w:rsidRDefault="007A5FCB" w:rsidP="000D2E00">
      <w:pPr>
        <w:spacing w:after="120"/>
        <w:jc w:val="both"/>
        <w:rPr>
          <w:color w:val="000000" w:themeColor="text1"/>
          <w:sz w:val="22"/>
          <w:szCs w:val="22"/>
        </w:rPr>
      </w:pPr>
      <w:r w:rsidRPr="000D2E00">
        <w:rPr>
          <w:b/>
          <w:color w:val="000000" w:themeColor="text1"/>
          <w:sz w:val="22"/>
          <w:szCs w:val="22"/>
        </w:rPr>
        <w:t xml:space="preserve">1/ </w:t>
      </w:r>
      <w:r w:rsidR="00D06D7E">
        <w:rPr>
          <w:b/>
          <w:color w:val="000000" w:themeColor="text1"/>
          <w:sz w:val="22"/>
          <w:szCs w:val="22"/>
        </w:rPr>
        <w:t>T</w:t>
      </w:r>
      <w:r w:rsidR="001656A2">
        <w:rPr>
          <w:b/>
          <w:color w:val="000000" w:themeColor="text1"/>
          <w:sz w:val="22"/>
          <w:szCs w:val="22"/>
        </w:rPr>
        <w:t>ổ</w:t>
      </w:r>
      <w:r w:rsidR="00D06D7E">
        <w:rPr>
          <w:b/>
          <w:color w:val="000000" w:themeColor="text1"/>
          <w:sz w:val="22"/>
          <w:szCs w:val="22"/>
        </w:rPr>
        <w:t>ng d</w:t>
      </w:r>
      <w:r w:rsidRPr="000D2E00">
        <w:rPr>
          <w:b/>
          <w:color w:val="000000" w:themeColor="text1"/>
          <w:sz w:val="22"/>
          <w:szCs w:val="22"/>
        </w:rPr>
        <w:t xml:space="preserve">oanh </w:t>
      </w:r>
      <w:proofErr w:type="gramStart"/>
      <w:r w:rsidRPr="000D2E00">
        <w:rPr>
          <w:b/>
          <w:color w:val="000000" w:themeColor="text1"/>
          <w:sz w:val="22"/>
          <w:szCs w:val="22"/>
        </w:rPr>
        <w:t>thu</w:t>
      </w:r>
      <w:proofErr w:type="gramEnd"/>
      <w:r w:rsidR="00C14068" w:rsidRPr="000D2E00">
        <w:rPr>
          <w:b/>
          <w:color w:val="000000" w:themeColor="text1"/>
          <w:sz w:val="22"/>
          <w:szCs w:val="22"/>
        </w:rPr>
        <w:t xml:space="preserve"> </w:t>
      </w:r>
      <w:r w:rsidR="00CD6715">
        <w:rPr>
          <w:b/>
          <w:color w:val="000000" w:themeColor="text1"/>
          <w:sz w:val="22"/>
          <w:szCs w:val="22"/>
        </w:rPr>
        <w:t xml:space="preserve">hoạt động </w:t>
      </w:r>
      <w:r w:rsidR="00C14068" w:rsidRPr="000D2E00">
        <w:rPr>
          <w:b/>
          <w:color w:val="000000" w:themeColor="text1"/>
          <w:sz w:val="22"/>
          <w:szCs w:val="22"/>
        </w:rPr>
        <w:t>quý</w:t>
      </w:r>
      <w:r w:rsidR="00F9108E" w:rsidRPr="000D2E00">
        <w:rPr>
          <w:b/>
          <w:color w:val="000000" w:themeColor="text1"/>
          <w:sz w:val="22"/>
          <w:szCs w:val="22"/>
        </w:rPr>
        <w:t xml:space="preserve"> </w:t>
      </w:r>
      <w:r w:rsidR="00291771">
        <w:rPr>
          <w:b/>
          <w:color w:val="000000" w:themeColor="text1"/>
          <w:sz w:val="22"/>
          <w:szCs w:val="22"/>
        </w:rPr>
        <w:t>2</w:t>
      </w:r>
      <w:r w:rsidR="00132C1B">
        <w:rPr>
          <w:b/>
          <w:color w:val="000000" w:themeColor="text1"/>
          <w:sz w:val="22"/>
          <w:szCs w:val="22"/>
        </w:rPr>
        <w:t>/2016</w:t>
      </w:r>
      <w:r w:rsidR="00C14068" w:rsidRPr="000D2E00">
        <w:rPr>
          <w:b/>
          <w:color w:val="000000" w:themeColor="text1"/>
          <w:sz w:val="22"/>
          <w:szCs w:val="22"/>
        </w:rPr>
        <w:t xml:space="preserve"> so </w:t>
      </w:r>
      <w:proofErr w:type="spellStart"/>
      <w:r w:rsidR="00C14068" w:rsidRPr="000D2E00">
        <w:rPr>
          <w:b/>
          <w:color w:val="000000" w:themeColor="text1"/>
          <w:sz w:val="22"/>
          <w:szCs w:val="22"/>
        </w:rPr>
        <w:t>với</w:t>
      </w:r>
      <w:proofErr w:type="spellEnd"/>
      <w:r w:rsidR="00C14068" w:rsidRPr="000D2E00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14068" w:rsidRPr="000D2E00">
        <w:rPr>
          <w:b/>
          <w:color w:val="000000" w:themeColor="text1"/>
          <w:sz w:val="22"/>
          <w:szCs w:val="22"/>
        </w:rPr>
        <w:t>quý</w:t>
      </w:r>
      <w:proofErr w:type="spellEnd"/>
      <w:r w:rsidR="00C14068" w:rsidRPr="000D2E00">
        <w:rPr>
          <w:b/>
          <w:color w:val="000000" w:themeColor="text1"/>
          <w:sz w:val="22"/>
          <w:szCs w:val="22"/>
        </w:rPr>
        <w:t xml:space="preserve"> </w:t>
      </w:r>
      <w:r w:rsidR="00291771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>/201</w:t>
      </w:r>
      <w:r w:rsidR="00132C1B">
        <w:rPr>
          <w:b/>
          <w:color w:val="000000" w:themeColor="text1"/>
          <w:sz w:val="22"/>
          <w:szCs w:val="22"/>
        </w:rPr>
        <w:t>5</w:t>
      </w:r>
      <w:r w:rsidRPr="00A703BC">
        <w:rPr>
          <w:color w:val="000000" w:themeColor="text1"/>
          <w:sz w:val="22"/>
          <w:szCs w:val="22"/>
        </w:rPr>
        <w:t xml:space="preserve">: </w:t>
      </w:r>
      <w:proofErr w:type="spellStart"/>
      <w:r w:rsidR="00132C1B">
        <w:rPr>
          <w:color w:val="000000" w:themeColor="text1"/>
          <w:sz w:val="22"/>
          <w:szCs w:val="22"/>
        </w:rPr>
        <w:t>Tăng</w:t>
      </w:r>
      <w:proofErr w:type="spellEnd"/>
      <w:r w:rsidR="008128E2">
        <w:rPr>
          <w:color w:val="000000" w:themeColor="text1"/>
          <w:sz w:val="22"/>
          <w:szCs w:val="22"/>
        </w:rPr>
        <w:t xml:space="preserve"> </w:t>
      </w:r>
      <w:r w:rsidR="00291771">
        <w:rPr>
          <w:b/>
          <w:color w:val="000000" w:themeColor="text1"/>
          <w:sz w:val="22"/>
          <w:szCs w:val="22"/>
        </w:rPr>
        <w:t>15</w:t>
      </w:r>
      <w:r w:rsidR="003F34C4" w:rsidRPr="00D06D7E">
        <w:rPr>
          <w:b/>
          <w:color w:val="000000" w:themeColor="text1"/>
          <w:sz w:val="22"/>
          <w:szCs w:val="22"/>
        </w:rPr>
        <w:t>%</w:t>
      </w:r>
      <w:r w:rsidR="008B62A1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8B62A1" w:rsidRPr="00A703BC">
        <w:rPr>
          <w:color w:val="000000" w:themeColor="text1"/>
          <w:sz w:val="22"/>
          <w:szCs w:val="22"/>
        </w:rPr>
        <w:t>tương</w:t>
      </w:r>
      <w:proofErr w:type="spellEnd"/>
      <w:r w:rsidR="008B62A1"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="008B62A1" w:rsidRPr="00A703BC">
        <w:rPr>
          <w:color w:val="000000" w:themeColor="text1"/>
          <w:sz w:val="22"/>
          <w:szCs w:val="22"/>
        </w:rPr>
        <w:t>đương</w:t>
      </w:r>
      <w:proofErr w:type="spellEnd"/>
      <w:r w:rsidR="008D0523" w:rsidRPr="00A703BC">
        <w:rPr>
          <w:bCs/>
          <w:color w:val="000000" w:themeColor="text1"/>
          <w:sz w:val="22"/>
          <w:szCs w:val="22"/>
        </w:rPr>
        <w:t xml:space="preserve"> </w:t>
      </w:r>
      <w:r w:rsidR="00485A1C">
        <w:rPr>
          <w:b/>
          <w:bCs/>
          <w:color w:val="000000" w:themeColor="text1"/>
          <w:sz w:val="22"/>
          <w:szCs w:val="22"/>
        </w:rPr>
        <w:t>6.206.055.395</w:t>
      </w:r>
      <w:r w:rsidR="008B62A1" w:rsidRPr="00A703BC">
        <w:rPr>
          <w:bCs/>
          <w:color w:val="000000" w:themeColor="text1"/>
          <w:sz w:val="22"/>
          <w:szCs w:val="22"/>
        </w:rPr>
        <w:t xml:space="preserve"> đ (từ </w:t>
      </w:r>
      <w:r w:rsidR="00291771">
        <w:rPr>
          <w:color w:val="000000" w:themeColor="text1"/>
          <w:sz w:val="22"/>
          <w:szCs w:val="22"/>
        </w:rPr>
        <w:t>40.196.868.755</w:t>
      </w:r>
      <w:r w:rsidRPr="00A703BC">
        <w:rPr>
          <w:color w:val="000000" w:themeColor="text1"/>
          <w:sz w:val="22"/>
          <w:szCs w:val="22"/>
        </w:rPr>
        <w:t xml:space="preserve"> đồng quý </w:t>
      </w:r>
      <w:r w:rsidR="00291771">
        <w:rPr>
          <w:color w:val="000000" w:themeColor="text1"/>
          <w:sz w:val="22"/>
          <w:szCs w:val="22"/>
        </w:rPr>
        <w:t>2</w:t>
      </w:r>
      <w:r w:rsidR="008B62A1" w:rsidRPr="00A703BC">
        <w:rPr>
          <w:color w:val="000000" w:themeColor="text1"/>
          <w:sz w:val="22"/>
          <w:szCs w:val="22"/>
        </w:rPr>
        <w:t>/</w:t>
      </w:r>
      <w:r w:rsidRPr="00A703BC">
        <w:rPr>
          <w:color w:val="000000" w:themeColor="text1"/>
          <w:sz w:val="22"/>
          <w:szCs w:val="22"/>
        </w:rPr>
        <w:t>201</w:t>
      </w:r>
      <w:r w:rsidR="00132C1B">
        <w:rPr>
          <w:color w:val="000000" w:themeColor="text1"/>
          <w:sz w:val="22"/>
          <w:szCs w:val="22"/>
        </w:rPr>
        <w:t>5</w:t>
      </w:r>
      <w:r w:rsidRPr="00A703BC">
        <w:rPr>
          <w:color w:val="000000" w:themeColor="text1"/>
          <w:sz w:val="22"/>
          <w:szCs w:val="22"/>
        </w:rPr>
        <w:t xml:space="preserve"> </w:t>
      </w:r>
      <w:r w:rsidR="00132C1B">
        <w:rPr>
          <w:color w:val="000000" w:themeColor="text1"/>
          <w:sz w:val="22"/>
          <w:szCs w:val="22"/>
        </w:rPr>
        <w:t>lên</w:t>
      </w:r>
      <w:r w:rsidRPr="00A703BC">
        <w:rPr>
          <w:color w:val="000000" w:themeColor="text1"/>
          <w:sz w:val="22"/>
          <w:szCs w:val="22"/>
        </w:rPr>
        <w:t xml:space="preserve"> </w:t>
      </w:r>
      <w:r w:rsidR="00485A1C">
        <w:rPr>
          <w:color w:val="000000" w:themeColor="text1"/>
          <w:sz w:val="22"/>
          <w:szCs w:val="22"/>
        </w:rPr>
        <w:t>46.402.924.150</w:t>
      </w:r>
      <w:r w:rsidRPr="00A703BC">
        <w:rPr>
          <w:color w:val="000000" w:themeColor="text1"/>
          <w:sz w:val="22"/>
          <w:szCs w:val="22"/>
        </w:rPr>
        <w:t xml:space="preserve"> đ</w:t>
      </w:r>
      <w:r w:rsidR="008B62A1" w:rsidRPr="00A703BC">
        <w:rPr>
          <w:color w:val="000000" w:themeColor="text1"/>
          <w:sz w:val="22"/>
          <w:szCs w:val="22"/>
        </w:rPr>
        <w:t xml:space="preserve"> quý</w:t>
      </w:r>
      <w:r w:rsidRPr="00A703BC">
        <w:rPr>
          <w:color w:val="000000" w:themeColor="text1"/>
          <w:sz w:val="22"/>
          <w:szCs w:val="22"/>
        </w:rPr>
        <w:t xml:space="preserve"> </w:t>
      </w:r>
      <w:r w:rsidR="00291771">
        <w:rPr>
          <w:color w:val="000000" w:themeColor="text1"/>
          <w:sz w:val="22"/>
          <w:szCs w:val="22"/>
        </w:rPr>
        <w:t>2</w:t>
      </w:r>
      <w:r w:rsidR="008B62A1" w:rsidRPr="00A703BC">
        <w:rPr>
          <w:color w:val="000000" w:themeColor="text1"/>
          <w:sz w:val="22"/>
          <w:szCs w:val="22"/>
        </w:rPr>
        <w:t>/</w:t>
      </w:r>
      <w:r w:rsidRPr="00A703BC">
        <w:rPr>
          <w:color w:val="000000" w:themeColor="text1"/>
          <w:sz w:val="22"/>
          <w:szCs w:val="22"/>
        </w:rPr>
        <w:t>201</w:t>
      </w:r>
      <w:r w:rsidR="00132C1B">
        <w:rPr>
          <w:color w:val="000000" w:themeColor="text1"/>
          <w:sz w:val="22"/>
          <w:szCs w:val="22"/>
        </w:rPr>
        <w:t>6</w:t>
      </w:r>
      <w:r w:rsidR="008D0523" w:rsidRPr="00A703BC">
        <w:rPr>
          <w:color w:val="000000" w:themeColor="text1"/>
          <w:sz w:val="22"/>
          <w:szCs w:val="22"/>
        </w:rPr>
        <w:t>)</w:t>
      </w:r>
      <w:r w:rsidR="00486DD5">
        <w:rPr>
          <w:color w:val="000000" w:themeColor="text1"/>
          <w:sz w:val="22"/>
          <w:szCs w:val="22"/>
        </w:rPr>
        <w:t xml:space="preserve"> chủ yếu</w:t>
      </w:r>
      <w:r w:rsidR="008B62A1" w:rsidRPr="00A703BC">
        <w:rPr>
          <w:color w:val="000000" w:themeColor="text1"/>
          <w:sz w:val="22"/>
          <w:szCs w:val="22"/>
        </w:rPr>
        <w:t xml:space="preserve"> </w:t>
      </w:r>
      <w:r w:rsidR="00D06D7E">
        <w:rPr>
          <w:color w:val="000000" w:themeColor="text1"/>
          <w:sz w:val="22"/>
          <w:szCs w:val="22"/>
        </w:rPr>
        <w:t>từ những</w:t>
      </w:r>
      <w:r w:rsidR="008D0523" w:rsidRPr="00A703BC">
        <w:rPr>
          <w:color w:val="000000" w:themeColor="text1"/>
          <w:sz w:val="22"/>
          <w:szCs w:val="22"/>
        </w:rPr>
        <w:t xml:space="preserve"> nguyên nhân</w:t>
      </w:r>
      <w:r w:rsidR="00D06D7E">
        <w:rPr>
          <w:color w:val="000000" w:themeColor="text1"/>
          <w:sz w:val="22"/>
          <w:szCs w:val="22"/>
        </w:rPr>
        <w:t xml:space="preserve"> sau</w:t>
      </w:r>
      <w:r w:rsidR="008D0523" w:rsidRPr="00A703BC">
        <w:rPr>
          <w:color w:val="000000" w:themeColor="text1"/>
          <w:sz w:val="22"/>
          <w:szCs w:val="22"/>
        </w:rPr>
        <w:t>:</w:t>
      </w:r>
    </w:p>
    <w:p w:rsidR="009147B0" w:rsidRDefault="009147B0" w:rsidP="000D2E00">
      <w:pPr>
        <w:spacing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+ Do Công ty đẩy mạnh hoạt động môi giới, nên doanh </w:t>
      </w:r>
      <w:proofErr w:type="gramStart"/>
      <w:r>
        <w:rPr>
          <w:color w:val="000000" w:themeColor="text1"/>
          <w:sz w:val="22"/>
          <w:szCs w:val="22"/>
        </w:rPr>
        <w:t>thu</w:t>
      </w:r>
      <w:proofErr w:type="gramEnd"/>
      <w:r>
        <w:rPr>
          <w:color w:val="000000" w:themeColor="text1"/>
          <w:sz w:val="22"/>
          <w:szCs w:val="22"/>
        </w:rPr>
        <w:t xml:space="preserve"> từ hoạt động này tăng </w:t>
      </w:r>
      <w:r w:rsidR="00234F14">
        <w:rPr>
          <w:color w:val="000000" w:themeColor="text1"/>
          <w:sz w:val="22"/>
          <w:szCs w:val="22"/>
        </w:rPr>
        <w:t>318</w:t>
      </w:r>
      <w:r>
        <w:rPr>
          <w:color w:val="000000" w:themeColor="text1"/>
          <w:sz w:val="22"/>
          <w:szCs w:val="22"/>
        </w:rPr>
        <w:t xml:space="preserve">% tương đương: </w:t>
      </w:r>
      <w:r w:rsidR="00234F14">
        <w:rPr>
          <w:color w:val="000000" w:themeColor="text1"/>
          <w:sz w:val="22"/>
          <w:szCs w:val="22"/>
        </w:rPr>
        <w:t>3.854.886.784</w:t>
      </w:r>
      <w:r w:rsidR="008575F0">
        <w:rPr>
          <w:color w:val="000000" w:themeColor="text1"/>
          <w:sz w:val="22"/>
          <w:szCs w:val="22"/>
        </w:rPr>
        <w:t>đ</w:t>
      </w:r>
      <w:r>
        <w:rPr>
          <w:color w:val="000000" w:themeColor="text1"/>
          <w:sz w:val="22"/>
          <w:szCs w:val="22"/>
        </w:rPr>
        <w:t xml:space="preserve"> (từ </w:t>
      </w:r>
      <w:r w:rsidR="00234F14">
        <w:rPr>
          <w:color w:val="000000" w:themeColor="text1"/>
          <w:sz w:val="22"/>
          <w:szCs w:val="22"/>
        </w:rPr>
        <w:t>1.210.892.043</w:t>
      </w:r>
      <w:r w:rsidR="008575F0">
        <w:rPr>
          <w:color w:val="000000" w:themeColor="text1"/>
          <w:sz w:val="22"/>
          <w:szCs w:val="22"/>
        </w:rPr>
        <w:t>đ</w:t>
      </w:r>
      <w:r>
        <w:rPr>
          <w:color w:val="000000" w:themeColor="text1"/>
          <w:sz w:val="22"/>
          <w:szCs w:val="22"/>
        </w:rPr>
        <w:t xml:space="preserve"> của Quý </w:t>
      </w:r>
      <w:r w:rsidR="00234F14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/201</w:t>
      </w:r>
      <w:r w:rsidR="008575F0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lên </w:t>
      </w:r>
      <w:r w:rsidR="00234F14">
        <w:rPr>
          <w:color w:val="000000" w:themeColor="text1"/>
          <w:sz w:val="22"/>
          <w:szCs w:val="22"/>
        </w:rPr>
        <w:t>5.065.778.827</w:t>
      </w:r>
      <w:r>
        <w:rPr>
          <w:color w:val="000000" w:themeColor="text1"/>
          <w:sz w:val="22"/>
          <w:szCs w:val="22"/>
        </w:rPr>
        <w:t>đ</w:t>
      </w:r>
      <w:r w:rsidR="008575F0">
        <w:rPr>
          <w:color w:val="000000" w:themeColor="text1"/>
          <w:sz w:val="22"/>
          <w:szCs w:val="22"/>
        </w:rPr>
        <w:t xml:space="preserve"> của Quý </w:t>
      </w:r>
      <w:r w:rsidR="00234F14">
        <w:rPr>
          <w:color w:val="000000" w:themeColor="text1"/>
          <w:sz w:val="22"/>
          <w:szCs w:val="22"/>
        </w:rPr>
        <w:t>2</w:t>
      </w:r>
      <w:r w:rsidR="008575F0">
        <w:rPr>
          <w:color w:val="000000" w:themeColor="text1"/>
          <w:sz w:val="22"/>
          <w:szCs w:val="22"/>
        </w:rPr>
        <w:t>/2016</w:t>
      </w:r>
      <w:r>
        <w:rPr>
          <w:color w:val="000000" w:themeColor="text1"/>
          <w:sz w:val="22"/>
          <w:szCs w:val="22"/>
        </w:rPr>
        <w:t>)</w:t>
      </w:r>
    </w:p>
    <w:p w:rsidR="00CD5FD5" w:rsidRDefault="00CD5FD5" w:rsidP="000D2E00">
      <w:pPr>
        <w:spacing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+ Đi kèm việc đẩy mạnh hoạt động môi giới, hoạt động cho vay Margin và ứng trước của Công ty cũng được mở rộng, vì vậy, doanh thu </w:t>
      </w:r>
      <w:proofErr w:type="spellStart"/>
      <w:r>
        <w:rPr>
          <w:color w:val="000000" w:themeColor="text1"/>
          <w:sz w:val="22"/>
          <w:szCs w:val="22"/>
        </w:rPr>
        <w:t>từ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hoạt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động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này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cũng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tăng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485A1C">
        <w:rPr>
          <w:color w:val="000000" w:themeColor="text1"/>
          <w:sz w:val="22"/>
          <w:szCs w:val="22"/>
        </w:rPr>
        <w:t>476</w:t>
      </w:r>
      <w:r>
        <w:rPr>
          <w:color w:val="000000" w:themeColor="text1"/>
          <w:sz w:val="22"/>
          <w:szCs w:val="22"/>
        </w:rPr>
        <w:t xml:space="preserve">% </w:t>
      </w:r>
      <w:proofErr w:type="spellStart"/>
      <w:r>
        <w:rPr>
          <w:color w:val="000000" w:themeColor="text1"/>
          <w:sz w:val="22"/>
          <w:szCs w:val="22"/>
        </w:rPr>
        <w:t>tương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đương</w:t>
      </w:r>
      <w:proofErr w:type="spellEnd"/>
      <w:r>
        <w:rPr>
          <w:color w:val="000000" w:themeColor="text1"/>
          <w:sz w:val="22"/>
          <w:szCs w:val="22"/>
        </w:rPr>
        <w:t xml:space="preserve">: </w:t>
      </w:r>
      <w:r w:rsidR="009829EA">
        <w:rPr>
          <w:color w:val="000000" w:themeColor="text1"/>
          <w:sz w:val="22"/>
          <w:szCs w:val="22"/>
        </w:rPr>
        <w:t>5.359.630.636</w:t>
      </w:r>
      <w:r>
        <w:rPr>
          <w:color w:val="000000" w:themeColor="text1"/>
          <w:sz w:val="22"/>
          <w:szCs w:val="22"/>
        </w:rPr>
        <w:t>đ (</w:t>
      </w:r>
      <w:proofErr w:type="spellStart"/>
      <w:r>
        <w:rPr>
          <w:color w:val="000000" w:themeColor="text1"/>
          <w:sz w:val="22"/>
          <w:szCs w:val="22"/>
        </w:rPr>
        <w:t>từ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9829EA">
        <w:rPr>
          <w:color w:val="000000" w:themeColor="text1"/>
          <w:sz w:val="22"/>
          <w:szCs w:val="22"/>
        </w:rPr>
        <w:t>1.126.146.059</w:t>
      </w:r>
      <w:r>
        <w:rPr>
          <w:color w:val="000000" w:themeColor="text1"/>
          <w:sz w:val="22"/>
          <w:szCs w:val="22"/>
        </w:rPr>
        <w:t xml:space="preserve">đ của Quý </w:t>
      </w:r>
      <w:r w:rsidR="009829EA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/2015 lên </w:t>
      </w:r>
      <w:r w:rsidR="005D43A4">
        <w:rPr>
          <w:color w:val="000000" w:themeColor="text1"/>
          <w:sz w:val="22"/>
          <w:szCs w:val="22"/>
        </w:rPr>
        <w:t>6.485.776.695</w:t>
      </w:r>
      <w:r>
        <w:rPr>
          <w:color w:val="000000" w:themeColor="text1"/>
          <w:sz w:val="22"/>
          <w:szCs w:val="22"/>
        </w:rPr>
        <w:t xml:space="preserve">đ của Quý </w:t>
      </w:r>
      <w:r w:rsidR="005D43A4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/2016)</w:t>
      </w:r>
    </w:p>
    <w:p w:rsidR="005D43A4" w:rsidRPr="00B66F75" w:rsidRDefault="005D43A4" w:rsidP="000D2E00">
      <w:pPr>
        <w:spacing w:after="120"/>
        <w:jc w:val="both"/>
        <w:rPr>
          <w:sz w:val="22"/>
          <w:szCs w:val="22"/>
        </w:rPr>
      </w:pPr>
      <w:r w:rsidRPr="00B66F75">
        <w:rPr>
          <w:sz w:val="22"/>
          <w:szCs w:val="22"/>
        </w:rPr>
        <w:t xml:space="preserve">+ Mục tiêu lớn của Công ty là phát triển mảng tư vấn và bảo lãnh phát hành, nên doanh </w:t>
      </w:r>
      <w:proofErr w:type="gramStart"/>
      <w:r w:rsidRPr="00B66F75">
        <w:rPr>
          <w:sz w:val="22"/>
          <w:szCs w:val="22"/>
        </w:rPr>
        <w:t>thu</w:t>
      </w:r>
      <w:proofErr w:type="gramEnd"/>
      <w:r w:rsidRPr="00B66F75">
        <w:rPr>
          <w:sz w:val="22"/>
          <w:szCs w:val="22"/>
        </w:rPr>
        <w:t xml:space="preserve"> của hoạt động này trong Quý 2/2016 đã tăng </w:t>
      </w:r>
      <w:r w:rsidR="002F4BCA" w:rsidRPr="00B66F75">
        <w:rPr>
          <w:sz w:val="22"/>
          <w:szCs w:val="22"/>
        </w:rPr>
        <w:t>105%</w:t>
      </w:r>
      <w:r w:rsidRPr="00B66F75">
        <w:rPr>
          <w:sz w:val="22"/>
          <w:szCs w:val="22"/>
        </w:rPr>
        <w:t xml:space="preserve"> so với Quý 2/2015</w:t>
      </w:r>
      <w:r w:rsidR="002F4BCA" w:rsidRPr="00B66F75">
        <w:rPr>
          <w:sz w:val="22"/>
          <w:szCs w:val="22"/>
        </w:rPr>
        <w:t>(từ 1.999.462.291đ của Quý 2/2015 lên 4.108.034.900đ của Quý 2/2016)</w:t>
      </w:r>
      <w:r w:rsidRPr="00B66F75">
        <w:rPr>
          <w:sz w:val="22"/>
          <w:szCs w:val="22"/>
        </w:rPr>
        <w:t xml:space="preserve"> </w:t>
      </w:r>
    </w:p>
    <w:p w:rsidR="00FD7F0E" w:rsidRPr="00CC6FE2" w:rsidRDefault="008B62A1" w:rsidP="000D2E00">
      <w:pPr>
        <w:spacing w:after="120"/>
        <w:jc w:val="both"/>
        <w:rPr>
          <w:color w:val="000000" w:themeColor="text1"/>
          <w:sz w:val="22"/>
          <w:szCs w:val="22"/>
        </w:rPr>
      </w:pPr>
      <w:r w:rsidRPr="000D2E00">
        <w:rPr>
          <w:b/>
          <w:color w:val="000000" w:themeColor="text1"/>
          <w:sz w:val="22"/>
          <w:szCs w:val="22"/>
        </w:rPr>
        <w:t xml:space="preserve">2/ </w:t>
      </w:r>
      <w:r w:rsidR="004A46AC" w:rsidRPr="000D2E00">
        <w:rPr>
          <w:b/>
          <w:color w:val="000000" w:themeColor="text1"/>
          <w:sz w:val="22"/>
          <w:szCs w:val="22"/>
        </w:rPr>
        <w:t xml:space="preserve">Tổng chi phí </w:t>
      </w:r>
      <w:r w:rsidR="00C14068" w:rsidRPr="000D2E00">
        <w:rPr>
          <w:b/>
          <w:color w:val="000000" w:themeColor="text1"/>
          <w:sz w:val="22"/>
          <w:szCs w:val="22"/>
        </w:rPr>
        <w:t xml:space="preserve">quý </w:t>
      </w:r>
      <w:r w:rsidR="002F4BCA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>/201</w:t>
      </w:r>
      <w:r w:rsidR="008F37DD">
        <w:rPr>
          <w:b/>
          <w:color w:val="000000" w:themeColor="text1"/>
          <w:sz w:val="22"/>
          <w:szCs w:val="22"/>
        </w:rPr>
        <w:t>6</w:t>
      </w:r>
      <w:r w:rsidR="00C14068" w:rsidRPr="000D2E00">
        <w:rPr>
          <w:b/>
          <w:color w:val="000000" w:themeColor="text1"/>
          <w:sz w:val="22"/>
          <w:szCs w:val="22"/>
        </w:rPr>
        <w:t xml:space="preserve"> so với quý </w:t>
      </w:r>
      <w:r w:rsidR="002F4BCA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>/201</w:t>
      </w:r>
      <w:r w:rsidR="008F37DD">
        <w:rPr>
          <w:b/>
          <w:color w:val="000000" w:themeColor="text1"/>
          <w:sz w:val="22"/>
          <w:szCs w:val="22"/>
        </w:rPr>
        <w:t>5</w:t>
      </w:r>
      <w:r w:rsidR="00C14068" w:rsidRPr="00CC6FE2">
        <w:rPr>
          <w:color w:val="000000" w:themeColor="text1"/>
          <w:sz w:val="22"/>
          <w:szCs w:val="22"/>
        </w:rPr>
        <w:t>:</w:t>
      </w:r>
      <w:r w:rsidR="008D0523" w:rsidRPr="00CC6FE2">
        <w:rPr>
          <w:color w:val="000000" w:themeColor="text1"/>
          <w:sz w:val="22"/>
          <w:szCs w:val="22"/>
        </w:rPr>
        <w:t xml:space="preserve"> </w:t>
      </w:r>
      <w:proofErr w:type="spellStart"/>
      <w:r w:rsidR="008F37DD">
        <w:rPr>
          <w:color w:val="000000" w:themeColor="text1"/>
          <w:sz w:val="22"/>
          <w:szCs w:val="22"/>
        </w:rPr>
        <w:t>tăng</w:t>
      </w:r>
      <w:proofErr w:type="spellEnd"/>
      <w:r w:rsidR="0012433E">
        <w:rPr>
          <w:color w:val="000000" w:themeColor="text1"/>
          <w:sz w:val="22"/>
          <w:szCs w:val="22"/>
        </w:rPr>
        <w:t xml:space="preserve"> </w:t>
      </w:r>
      <w:r w:rsidR="0056292E">
        <w:rPr>
          <w:color w:val="000000" w:themeColor="text1"/>
          <w:sz w:val="22"/>
          <w:szCs w:val="22"/>
        </w:rPr>
        <w:t>13</w:t>
      </w:r>
      <w:r w:rsidR="00CC6FE2" w:rsidRPr="00D06D7E">
        <w:rPr>
          <w:b/>
          <w:bCs/>
          <w:sz w:val="22"/>
          <w:szCs w:val="22"/>
        </w:rPr>
        <w:t>%,</w:t>
      </w:r>
      <w:r w:rsidR="00CC6FE2" w:rsidRPr="00CC6FE2">
        <w:rPr>
          <w:bCs/>
          <w:sz w:val="22"/>
          <w:szCs w:val="22"/>
        </w:rPr>
        <w:t xml:space="preserve"> </w:t>
      </w:r>
      <w:proofErr w:type="spellStart"/>
      <w:r w:rsidR="00CC6FE2" w:rsidRPr="00CC6FE2">
        <w:rPr>
          <w:bCs/>
          <w:sz w:val="22"/>
          <w:szCs w:val="22"/>
        </w:rPr>
        <w:t>tương</w:t>
      </w:r>
      <w:proofErr w:type="spellEnd"/>
      <w:r w:rsidR="00CC6FE2" w:rsidRPr="00CC6FE2">
        <w:rPr>
          <w:bCs/>
          <w:sz w:val="22"/>
          <w:szCs w:val="22"/>
        </w:rPr>
        <w:t xml:space="preserve"> </w:t>
      </w:r>
      <w:proofErr w:type="spellStart"/>
      <w:r w:rsidR="00CC6FE2" w:rsidRPr="00CC6FE2">
        <w:rPr>
          <w:bCs/>
          <w:sz w:val="22"/>
          <w:szCs w:val="22"/>
        </w:rPr>
        <w:t>đương</w:t>
      </w:r>
      <w:proofErr w:type="spellEnd"/>
      <w:r w:rsidR="00CC6FE2" w:rsidRPr="00CC6FE2">
        <w:rPr>
          <w:bCs/>
          <w:sz w:val="22"/>
          <w:szCs w:val="22"/>
        </w:rPr>
        <w:t xml:space="preserve"> </w:t>
      </w:r>
      <w:r w:rsidR="0056292E">
        <w:rPr>
          <w:b/>
          <w:bCs/>
          <w:sz w:val="22"/>
          <w:szCs w:val="22"/>
        </w:rPr>
        <w:t>3.414.618.396đ</w:t>
      </w:r>
      <w:r w:rsidR="00FD7F0E" w:rsidRPr="00CC6FE2">
        <w:rPr>
          <w:color w:val="000000" w:themeColor="text1"/>
          <w:sz w:val="22"/>
          <w:szCs w:val="22"/>
        </w:rPr>
        <w:t xml:space="preserve"> do: </w:t>
      </w:r>
    </w:p>
    <w:p w:rsidR="00C14068" w:rsidRPr="00A703BC" w:rsidRDefault="00C14068" w:rsidP="000D2E00">
      <w:pPr>
        <w:spacing w:after="120"/>
        <w:jc w:val="both"/>
        <w:rPr>
          <w:bCs/>
          <w:color w:val="000000" w:themeColor="text1"/>
          <w:sz w:val="22"/>
          <w:szCs w:val="22"/>
        </w:rPr>
      </w:pPr>
      <w:r w:rsidRPr="00A703BC">
        <w:rPr>
          <w:color w:val="000000" w:themeColor="text1"/>
          <w:sz w:val="22"/>
          <w:szCs w:val="22"/>
        </w:rPr>
        <w:t xml:space="preserve"> +</w:t>
      </w:r>
      <w:r w:rsidR="00F9108E">
        <w:rPr>
          <w:color w:val="000000" w:themeColor="text1"/>
          <w:sz w:val="22"/>
          <w:szCs w:val="22"/>
        </w:rPr>
        <w:t xml:space="preserve"> </w:t>
      </w:r>
      <w:r w:rsidRPr="00A703BC">
        <w:rPr>
          <w:color w:val="000000" w:themeColor="text1"/>
          <w:sz w:val="22"/>
          <w:szCs w:val="22"/>
        </w:rPr>
        <w:t xml:space="preserve">Chi </w:t>
      </w:r>
      <w:proofErr w:type="spellStart"/>
      <w:r w:rsidRPr="00A703BC">
        <w:rPr>
          <w:color w:val="000000" w:themeColor="text1"/>
          <w:sz w:val="22"/>
          <w:szCs w:val="22"/>
        </w:rPr>
        <w:t>phí</w:t>
      </w:r>
      <w:proofErr w:type="spellEnd"/>
      <w:r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color w:val="000000" w:themeColor="text1"/>
          <w:sz w:val="22"/>
          <w:szCs w:val="22"/>
        </w:rPr>
        <w:t>hoạt</w:t>
      </w:r>
      <w:proofErr w:type="spellEnd"/>
      <w:r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color w:val="000000" w:themeColor="text1"/>
          <w:sz w:val="22"/>
          <w:szCs w:val="22"/>
        </w:rPr>
        <w:t>động</w:t>
      </w:r>
      <w:proofErr w:type="spellEnd"/>
      <w:r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color w:val="000000" w:themeColor="text1"/>
          <w:sz w:val="22"/>
          <w:szCs w:val="22"/>
        </w:rPr>
        <w:t>kinh</w:t>
      </w:r>
      <w:proofErr w:type="spellEnd"/>
      <w:r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color w:val="000000" w:themeColor="text1"/>
          <w:sz w:val="22"/>
          <w:szCs w:val="22"/>
        </w:rPr>
        <w:t>doanh</w:t>
      </w:r>
      <w:proofErr w:type="spellEnd"/>
      <w:r w:rsidRPr="00A703BC">
        <w:rPr>
          <w:color w:val="000000" w:themeColor="text1"/>
          <w:sz w:val="22"/>
          <w:szCs w:val="22"/>
        </w:rPr>
        <w:t xml:space="preserve">: </w:t>
      </w:r>
      <w:proofErr w:type="spellStart"/>
      <w:r w:rsidR="009507E8">
        <w:rPr>
          <w:color w:val="000000" w:themeColor="text1"/>
          <w:sz w:val="22"/>
          <w:szCs w:val="22"/>
        </w:rPr>
        <w:t>tăng</w:t>
      </w:r>
      <w:proofErr w:type="spellEnd"/>
      <w:r w:rsidR="009507E8">
        <w:rPr>
          <w:color w:val="000000" w:themeColor="text1"/>
          <w:sz w:val="22"/>
          <w:szCs w:val="22"/>
        </w:rPr>
        <w:t xml:space="preserve"> </w:t>
      </w:r>
      <w:r w:rsidR="002F4BCA">
        <w:rPr>
          <w:color w:val="000000" w:themeColor="text1"/>
          <w:sz w:val="22"/>
          <w:szCs w:val="22"/>
        </w:rPr>
        <w:t>6</w:t>
      </w:r>
      <w:r w:rsidRPr="00A703BC">
        <w:rPr>
          <w:color w:val="000000" w:themeColor="text1"/>
          <w:sz w:val="22"/>
          <w:szCs w:val="22"/>
        </w:rPr>
        <w:t xml:space="preserve">% </w:t>
      </w:r>
      <w:proofErr w:type="spellStart"/>
      <w:r w:rsidRPr="00A703BC">
        <w:rPr>
          <w:color w:val="000000" w:themeColor="text1"/>
          <w:sz w:val="22"/>
          <w:szCs w:val="22"/>
        </w:rPr>
        <w:t>tương</w:t>
      </w:r>
      <w:proofErr w:type="spellEnd"/>
      <w:r w:rsidRPr="00A703BC">
        <w:rPr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color w:val="000000" w:themeColor="text1"/>
          <w:sz w:val="22"/>
          <w:szCs w:val="22"/>
        </w:rPr>
        <w:t>đương</w:t>
      </w:r>
      <w:proofErr w:type="spellEnd"/>
      <w:r w:rsidRPr="00A703BC">
        <w:rPr>
          <w:color w:val="000000" w:themeColor="text1"/>
          <w:sz w:val="22"/>
          <w:szCs w:val="22"/>
        </w:rPr>
        <w:t xml:space="preserve"> </w:t>
      </w:r>
      <w:r w:rsidR="002F4BCA">
        <w:rPr>
          <w:color w:val="000000" w:themeColor="text1"/>
          <w:sz w:val="22"/>
          <w:szCs w:val="22"/>
        </w:rPr>
        <w:t>1.302.937.345</w:t>
      </w:r>
      <w:r w:rsidRPr="00A703BC">
        <w:rPr>
          <w:color w:val="000000" w:themeColor="text1"/>
          <w:sz w:val="22"/>
          <w:szCs w:val="22"/>
        </w:rPr>
        <w:t xml:space="preserve"> đ (từ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2F4BCA">
        <w:rPr>
          <w:bCs/>
          <w:color w:val="000000" w:themeColor="text1"/>
          <w:sz w:val="22"/>
          <w:szCs w:val="22"/>
        </w:rPr>
        <w:t>21.035.474.154</w:t>
      </w:r>
      <w:r w:rsidR="00CC6FE2">
        <w:rPr>
          <w:bCs/>
          <w:color w:val="000000" w:themeColor="text1"/>
          <w:sz w:val="22"/>
          <w:szCs w:val="22"/>
        </w:rPr>
        <w:t xml:space="preserve"> </w:t>
      </w:r>
      <w:r w:rsidRPr="00A703BC">
        <w:rPr>
          <w:bCs/>
          <w:color w:val="000000" w:themeColor="text1"/>
          <w:sz w:val="22"/>
          <w:szCs w:val="22"/>
        </w:rPr>
        <w:t xml:space="preserve">quý </w:t>
      </w:r>
      <w:r w:rsidR="002F4BCA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>/201</w:t>
      </w:r>
      <w:r w:rsidR="009507E8">
        <w:rPr>
          <w:bCs/>
          <w:color w:val="000000" w:themeColor="text1"/>
          <w:sz w:val="22"/>
          <w:szCs w:val="22"/>
        </w:rPr>
        <w:t>5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9507E8">
        <w:rPr>
          <w:bCs/>
          <w:color w:val="000000" w:themeColor="text1"/>
          <w:sz w:val="22"/>
          <w:szCs w:val="22"/>
        </w:rPr>
        <w:t>lên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56292E">
        <w:rPr>
          <w:bCs/>
          <w:color w:val="000000" w:themeColor="text1"/>
          <w:sz w:val="22"/>
          <w:szCs w:val="22"/>
        </w:rPr>
        <w:t>22.355.728.095đ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9507E8">
        <w:rPr>
          <w:bCs/>
          <w:color w:val="000000" w:themeColor="text1"/>
          <w:sz w:val="22"/>
          <w:szCs w:val="22"/>
        </w:rPr>
        <w:t xml:space="preserve">của </w:t>
      </w:r>
      <w:r w:rsidRPr="00A703BC">
        <w:rPr>
          <w:bCs/>
          <w:color w:val="000000" w:themeColor="text1"/>
          <w:sz w:val="22"/>
          <w:szCs w:val="22"/>
        </w:rPr>
        <w:t xml:space="preserve">quý </w:t>
      </w:r>
      <w:r w:rsidR="002F4BCA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>/201</w:t>
      </w:r>
      <w:r w:rsidR="009507E8">
        <w:rPr>
          <w:bCs/>
          <w:color w:val="000000" w:themeColor="text1"/>
          <w:sz w:val="22"/>
          <w:szCs w:val="22"/>
        </w:rPr>
        <w:t>6</w:t>
      </w:r>
      <w:r w:rsidRPr="00A703BC">
        <w:rPr>
          <w:bCs/>
          <w:color w:val="000000" w:themeColor="text1"/>
          <w:sz w:val="22"/>
          <w:szCs w:val="22"/>
        </w:rPr>
        <w:t xml:space="preserve"> chủ yếu</w:t>
      </w:r>
      <w:r w:rsidR="009507E8">
        <w:rPr>
          <w:bCs/>
          <w:color w:val="000000" w:themeColor="text1"/>
          <w:sz w:val="22"/>
          <w:szCs w:val="22"/>
        </w:rPr>
        <w:t xml:space="preserve"> do chi phí </w:t>
      </w:r>
      <w:r w:rsidR="002F4BCA">
        <w:rPr>
          <w:bCs/>
          <w:color w:val="000000" w:themeColor="text1"/>
          <w:sz w:val="22"/>
          <w:szCs w:val="22"/>
        </w:rPr>
        <w:t>dự phòng giảm giá chứng khoán và chi phí dự phòng tài sản tài chính tăng</w:t>
      </w:r>
      <w:r w:rsidR="00741C7A">
        <w:rPr>
          <w:bCs/>
          <w:color w:val="000000" w:themeColor="text1"/>
          <w:sz w:val="22"/>
          <w:szCs w:val="22"/>
        </w:rPr>
        <w:t>.</w:t>
      </w:r>
    </w:p>
    <w:p w:rsidR="00C14068" w:rsidRPr="00A703BC" w:rsidRDefault="00C14068" w:rsidP="000D2E00">
      <w:pPr>
        <w:spacing w:after="120"/>
        <w:jc w:val="both"/>
        <w:rPr>
          <w:bCs/>
          <w:color w:val="000000" w:themeColor="text1"/>
          <w:sz w:val="22"/>
          <w:szCs w:val="22"/>
        </w:rPr>
      </w:pPr>
      <w:r w:rsidRPr="00A703BC">
        <w:rPr>
          <w:bCs/>
          <w:color w:val="000000" w:themeColor="text1"/>
          <w:sz w:val="22"/>
          <w:szCs w:val="22"/>
        </w:rPr>
        <w:t>+</w:t>
      </w:r>
      <w:r w:rsidR="00F9108E">
        <w:rPr>
          <w:bCs/>
          <w:color w:val="000000" w:themeColor="text1"/>
          <w:sz w:val="22"/>
          <w:szCs w:val="22"/>
        </w:rPr>
        <w:t xml:space="preserve"> </w:t>
      </w:r>
      <w:r w:rsidRPr="00A703BC">
        <w:rPr>
          <w:bCs/>
          <w:color w:val="000000" w:themeColor="text1"/>
          <w:sz w:val="22"/>
          <w:szCs w:val="22"/>
        </w:rPr>
        <w:t xml:space="preserve">Chi phí quản lý doanh </w:t>
      </w:r>
      <w:proofErr w:type="spellStart"/>
      <w:r w:rsidRPr="00A703BC">
        <w:rPr>
          <w:bCs/>
          <w:color w:val="000000" w:themeColor="text1"/>
          <w:sz w:val="22"/>
          <w:szCs w:val="22"/>
        </w:rPr>
        <w:t>nghiệp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: </w:t>
      </w:r>
      <w:proofErr w:type="spellStart"/>
      <w:r w:rsidRPr="00A703BC">
        <w:rPr>
          <w:color w:val="000000" w:themeColor="text1"/>
          <w:sz w:val="22"/>
          <w:szCs w:val="22"/>
        </w:rPr>
        <w:t>tăng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56292E">
        <w:rPr>
          <w:bCs/>
          <w:color w:val="000000" w:themeColor="text1"/>
          <w:sz w:val="22"/>
          <w:szCs w:val="22"/>
        </w:rPr>
        <w:t>39</w:t>
      </w:r>
      <w:r w:rsidRPr="00A703BC">
        <w:rPr>
          <w:bCs/>
          <w:color w:val="000000" w:themeColor="text1"/>
          <w:sz w:val="22"/>
          <w:szCs w:val="22"/>
        </w:rPr>
        <w:t xml:space="preserve">% </w:t>
      </w:r>
      <w:proofErr w:type="spellStart"/>
      <w:r w:rsidRPr="00A703BC">
        <w:rPr>
          <w:bCs/>
          <w:color w:val="000000" w:themeColor="text1"/>
          <w:sz w:val="22"/>
          <w:szCs w:val="22"/>
        </w:rPr>
        <w:t>tương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bCs/>
          <w:color w:val="000000" w:themeColor="text1"/>
          <w:sz w:val="22"/>
          <w:szCs w:val="22"/>
        </w:rPr>
        <w:t>đương</w:t>
      </w:r>
      <w:proofErr w:type="spellEnd"/>
      <w:r w:rsidR="008D0523" w:rsidRPr="00A703BC">
        <w:rPr>
          <w:bCs/>
          <w:color w:val="000000" w:themeColor="text1"/>
          <w:sz w:val="22"/>
          <w:szCs w:val="22"/>
        </w:rPr>
        <w:t xml:space="preserve"> </w:t>
      </w:r>
      <w:r w:rsidR="0056292E">
        <w:rPr>
          <w:bCs/>
          <w:color w:val="000000" w:themeColor="text1"/>
          <w:sz w:val="22"/>
          <w:szCs w:val="22"/>
        </w:rPr>
        <w:t>2.094.364.455</w:t>
      </w:r>
      <w:r w:rsidR="002F4BCA">
        <w:rPr>
          <w:bCs/>
          <w:color w:val="000000" w:themeColor="text1"/>
          <w:sz w:val="22"/>
          <w:szCs w:val="22"/>
        </w:rPr>
        <w:t>đ</w:t>
      </w:r>
      <w:r w:rsidRPr="00A703BC">
        <w:rPr>
          <w:bCs/>
          <w:color w:val="000000" w:themeColor="text1"/>
          <w:sz w:val="22"/>
          <w:szCs w:val="22"/>
        </w:rPr>
        <w:t xml:space="preserve"> (</w:t>
      </w:r>
      <w:proofErr w:type="spellStart"/>
      <w:proofErr w:type="gramStart"/>
      <w:r w:rsidRPr="00A703BC">
        <w:rPr>
          <w:bCs/>
          <w:color w:val="000000" w:themeColor="text1"/>
          <w:sz w:val="22"/>
          <w:szCs w:val="22"/>
        </w:rPr>
        <w:t>từ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9C2BD2">
        <w:rPr>
          <w:bCs/>
          <w:color w:val="000000" w:themeColor="text1"/>
          <w:sz w:val="22"/>
          <w:szCs w:val="22"/>
        </w:rPr>
        <w:t xml:space="preserve"> </w:t>
      </w:r>
      <w:r w:rsidR="00132E29">
        <w:rPr>
          <w:bCs/>
          <w:color w:val="000000" w:themeColor="text1"/>
          <w:sz w:val="22"/>
          <w:szCs w:val="22"/>
        </w:rPr>
        <w:t>5.386.115.225đ</w:t>
      </w:r>
      <w:proofErr w:type="gramEnd"/>
      <w:r w:rsidR="00132E29">
        <w:rPr>
          <w:bCs/>
          <w:color w:val="000000" w:themeColor="text1"/>
          <w:sz w:val="22"/>
          <w:szCs w:val="22"/>
        </w:rPr>
        <w:t xml:space="preserve"> 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bCs/>
          <w:color w:val="000000" w:themeColor="text1"/>
          <w:sz w:val="22"/>
          <w:szCs w:val="22"/>
        </w:rPr>
        <w:t>quý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132E29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>/201</w:t>
      </w:r>
      <w:r w:rsidR="009507E8">
        <w:rPr>
          <w:bCs/>
          <w:color w:val="000000" w:themeColor="text1"/>
          <w:sz w:val="22"/>
          <w:szCs w:val="22"/>
        </w:rPr>
        <w:t>5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bCs/>
          <w:color w:val="000000" w:themeColor="text1"/>
          <w:sz w:val="22"/>
          <w:szCs w:val="22"/>
        </w:rPr>
        <w:t>lên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56292E">
        <w:rPr>
          <w:bCs/>
          <w:color w:val="000000" w:themeColor="text1"/>
          <w:sz w:val="22"/>
          <w:szCs w:val="22"/>
        </w:rPr>
        <w:t>7.480.479.680</w:t>
      </w:r>
      <w:r w:rsidR="0012433E">
        <w:rPr>
          <w:bCs/>
          <w:color w:val="000000" w:themeColor="text1"/>
          <w:sz w:val="22"/>
          <w:szCs w:val="22"/>
        </w:rPr>
        <w:t xml:space="preserve">đ </w:t>
      </w:r>
      <w:proofErr w:type="spellStart"/>
      <w:r w:rsidRPr="00A703BC">
        <w:rPr>
          <w:bCs/>
          <w:color w:val="000000" w:themeColor="text1"/>
          <w:sz w:val="22"/>
          <w:szCs w:val="22"/>
        </w:rPr>
        <w:t>quý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132E29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>/201</w:t>
      </w:r>
      <w:r w:rsidR="009507E8">
        <w:rPr>
          <w:bCs/>
          <w:color w:val="000000" w:themeColor="text1"/>
          <w:sz w:val="22"/>
          <w:szCs w:val="22"/>
        </w:rPr>
        <w:t>6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bCs/>
          <w:color w:val="000000" w:themeColor="text1"/>
          <w:sz w:val="22"/>
          <w:szCs w:val="22"/>
        </w:rPr>
        <w:t>chủ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703BC">
        <w:rPr>
          <w:bCs/>
          <w:color w:val="000000" w:themeColor="text1"/>
          <w:sz w:val="22"/>
          <w:szCs w:val="22"/>
        </w:rPr>
        <w:t>yếu</w:t>
      </w:r>
      <w:proofErr w:type="spellEnd"/>
      <w:r w:rsidRPr="00A703BC">
        <w:rPr>
          <w:bCs/>
          <w:color w:val="000000" w:themeColor="text1"/>
          <w:sz w:val="22"/>
          <w:szCs w:val="22"/>
        </w:rPr>
        <w:t xml:space="preserve"> do </w:t>
      </w:r>
      <w:r w:rsidR="008D0523" w:rsidRPr="00A703BC">
        <w:rPr>
          <w:bCs/>
          <w:color w:val="000000" w:themeColor="text1"/>
          <w:sz w:val="22"/>
          <w:szCs w:val="22"/>
        </w:rPr>
        <w:t>chi phí</w:t>
      </w:r>
      <w:r w:rsidR="00811F01">
        <w:rPr>
          <w:bCs/>
          <w:color w:val="000000" w:themeColor="text1"/>
          <w:sz w:val="22"/>
          <w:szCs w:val="22"/>
        </w:rPr>
        <w:t xml:space="preserve"> nhân sự tăng và chi phí thuê trụ sở cho CN Hồ Chí Minh</w:t>
      </w:r>
      <w:r w:rsidR="0012433E">
        <w:rPr>
          <w:bCs/>
          <w:color w:val="000000" w:themeColor="text1"/>
          <w:sz w:val="22"/>
          <w:szCs w:val="22"/>
        </w:rPr>
        <w:t>.</w:t>
      </w:r>
    </w:p>
    <w:p w:rsidR="00FD7F0E" w:rsidRPr="00A703BC" w:rsidRDefault="00FD7F0E" w:rsidP="00FD7F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2E578B" w:rsidRPr="00361A92">
        <w:tc>
          <w:tcPr>
            <w:tcW w:w="4788" w:type="dxa"/>
          </w:tcPr>
          <w:p w:rsidR="002E578B" w:rsidRPr="00A703BC" w:rsidRDefault="007A141D" w:rsidP="005579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03BC">
              <w:rPr>
                <w:sz w:val="22"/>
                <w:szCs w:val="22"/>
              </w:rPr>
              <w:t xml:space="preserve">       </w:t>
            </w:r>
            <w:r w:rsidR="00361A92" w:rsidRPr="00A703BC">
              <w:rPr>
                <w:sz w:val="22"/>
                <w:szCs w:val="22"/>
              </w:rPr>
              <w:t>Trân trọng</w:t>
            </w:r>
            <w:r w:rsidR="00CA7699" w:rsidRPr="00A703BC">
              <w:rPr>
                <w:sz w:val="22"/>
                <w:szCs w:val="22"/>
              </w:rPr>
              <w:t xml:space="preserve"> kính trình</w:t>
            </w:r>
            <w:r w:rsidR="00361A92" w:rsidRPr="00A703BC">
              <w:rPr>
                <w:sz w:val="22"/>
                <w:szCs w:val="22"/>
              </w:rPr>
              <w:t>!</w:t>
            </w:r>
          </w:p>
          <w:p w:rsidR="002E578B" w:rsidRPr="00361A92" w:rsidRDefault="002E578B" w:rsidP="0055790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680" w:type="dxa"/>
          </w:tcPr>
          <w:p w:rsidR="00361A92" w:rsidRDefault="00361A92" w:rsidP="00CA7699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E578B" w:rsidRPr="00361A92" w:rsidRDefault="0074163A" w:rsidP="00CA769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TỔNG GIÁM ĐỐC</w:t>
            </w:r>
          </w:p>
        </w:tc>
      </w:tr>
      <w:tr w:rsidR="002E578B">
        <w:trPr>
          <w:trHeight w:val="1647"/>
        </w:trPr>
        <w:tc>
          <w:tcPr>
            <w:tcW w:w="4788" w:type="dxa"/>
          </w:tcPr>
          <w:p w:rsidR="002E578B" w:rsidRPr="00361A92" w:rsidRDefault="002E578B" w:rsidP="00BF5C59">
            <w:pPr>
              <w:spacing w:line="276" w:lineRule="auto"/>
              <w:rPr>
                <w:b/>
                <w:i/>
                <w:sz w:val="20"/>
              </w:rPr>
            </w:pPr>
            <w:r w:rsidRPr="00361A92">
              <w:rPr>
                <w:b/>
                <w:i/>
                <w:sz w:val="20"/>
                <w:u w:val="single"/>
              </w:rPr>
              <w:t>Nơi nhận</w:t>
            </w:r>
            <w:r w:rsidRPr="00361A92">
              <w:rPr>
                <w:b/>
                <w:i/>
                <w:sz w:val="20"/>
              </w:rPr>
              <w:t>:</w:t>
            </w:r>
          </w:p>
          <w:p w:rsidR="002E578B" w:rsidRPr="00361A92" w:rsidRDefault="002E578B" w:rsidP="00BF5C59">
            <w:pPr>
              <w:spacing w:line="276" w:lineRule="auto"/>
              <w:rPr>
                <w:sz w:val="20"/>
              </w:rPr>
            </w:pPr>
            <w:r w:rsidRPr="00361A92">
              <w:rPr>
                <w:sz w:val="20"/>
              </w:rPr>
              <w:t xml:space="preserve">- </w:t>
            </w:r>
            <w:r w:rsidR="00361A92">
              <w:rPr>
                <w:sz w:val="20"/>
              </w:rPr>
              <w:t xml:space="preserve"> </w:t>
            </w:r>
            <w:r w:rsidRPr="00361A92">
              <w:rPr>
                <w:sz w:val="20"/>
              </w:rPr>
              <w:t>Như trên</w:t>
            </w:r>
            <w:r w:rsidR="00361A92">
              <w:rPr>
                <w:sz w:val="20"/>
              </w:rPr>
              <w:t>;</w:t>
            </w:r>
          </w:p>
          <w:p w:rsidR="002E578B" w:rsidRPr="00361A92" w:rsidRDefault="00361A92" w:rsidP="00BF5C5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7054D5">
              <w:rPr>
                <w:sz w:val="20"/>
              </w:rPr>
              <w:t xml:space="preserve">KT, </w:t>
            </w:r>
            <w:r w:rsidR="002E578B" w:rsidRPr="00361A92">
              <w:rPr>
                <w:sz w:val="20"/>
              </w:rPr>
              <w:t>HĐQT (để b/c)</w:t>
            </w:r>
            <w:r>
              <w:rPr>
                <w:sz w:val="20"/>
              </w:rPr>
              <w:t>;</w:t>
            </w:r>
          </w:p>
          <w:p w:rsidR="002E578B" w:rsidRDefault="002E578B" w:rsidP="00BF5C59">
            <w:pPr>
              <w:spacing w:line="276" w:lineRule="auto"/>
            </w:pPr>
            <w:r w:rsidRPr="00361A92">
              <w:rPr>
                <w:sz w:val="20"/>
              </w:rPr>
              <w:t xml:space="preserve">- </w:t>
            </w:r>
            <w:r w:rsidR="00361A92">
              <w:rPr>
                <w:sz w:val="20"/>
              </w:rPr>
              <w:t xml:space="preserve"> </w:t>
            </w:r>
            <w:r w:rsidRPr="00361A92">
              <w:rPr>
                <w:sz w:val="20"/>
              </w:rPr>
              <w:t>Lưu VP</w:t>
            </w:r>
            <w:r w:rsidR="00361A92">
              <w:rPr>
                <w:sz w:val="20"/>
              </w:rPr>
              <w:t>.</w:t>
            </w:r>
          </w:p>
        </w:tc>
        <w:tc>
          <w:tcPr>
            <w:tcW w:w="4680" w:type="dxa"/>
          </w:tcPr>
          <w:p w:rsidR="002E578B" w:rsidRDefault="002E578B" w:rsidP="00CA7699">
            <w:pPr>
              <w:spacing w:line="276" w:lineRule="auto"/>
              <w:jc w:val="center"/>
              <w:rPr>
                <w:b/>
              </w:rPr>
            </w:pPr>
          </w:p>
          <w:p w:rsidR="002E578B" w:rsidRDefault="002E578B" w:rsidP="00CA7699">
            <w:pPr>
              <w:spacing w:line="276" w:lineRule="auto"/>
              <w:jc w:val="center"/>
              <w:rPr>
                <w:b/>
              </w:rPr>
            </w:pPr>
          </w:p>
          <w:p w:rsidR="00361A92" w:rsidRDefault="00361A92" w:rsidP="00CA7699">
            <w:pPr>
              <w:spacing w:line="276" w:lineRule="auto"/>
              <w:jc w:val="center"/>
              <w:rPr>
                <w:b/>
              </w:rPr>
            </w:pPr>
          </w:p>
          <w:p w:rsidR="007A141D" w:rsidRDefault="007A141D" w:rsidP="00CA7699">
            <w:pPr>
              <w:spacing w:line="276" w:lineRule="auto"/>
              <w:jc w:val="center"/>
              <w:rPr>
                <w:b/>
              </w:rPr>
            </w:pPr>
          </w:p>
          <w:p w:rsidR="00361A92" w:rsidRDefault="00132E29" w:rsidP="00CA76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VĂN HẠNH</w:t>
            </w:r>
          </w:p>
          <w:p w:rsidR="002E578B" w:rsidRDefault="002E578B" w:rsidP="000954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E578B" w:rsidRDefault="002E578B" w:rsidP="00BF5C59">
      <w:pPr>
        <w:spacing w:line="276" w:lineRule="auto"/>
      </w:pPr>
    </w:p>
    <w:p w:rsidR="00A07B41" w:rsidRDefault="00A07B41"/>
    <w:sectPr w:rsidR="00A07B41" w:rsidSect="004C1CE8">
      <w:pgSz w:w="12240" w:h="15840"/>
      <w:pgMar w:top="720" w:right="1080" w:bottom="432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9F4"/>
    <w:multiLevelType w:val="hybridMultilevel"/>
    <w:tmpl w:val="48CE9D44"/>
    <w:lvl w:ilvl="0" w:tplc="07FC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D0A31"/>
    <w:multiLevelType w:val="hybridMultilevel"/>
    <w:tmpl w:val="6B80AFE6"/>
    <w:lvl w:ilvl="0" w:tplc="C0726D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B5250E"/>
    <w:rsid w:val="00000192"/>
    <w:rsid w:val="0000730B"/>
    <w:rsid w:val="0002747D"/>
    <w:rsid w:val="00027F8F"/>
    <w:rsid w:val="0003141E"/>
    <w:rsid w:val="0003379F"/>
    <w:rsid w:val="0004130E"/>
    <w:rsid w:val="00063897"/>
    <w:rsid w:val="00065617"/>
    <w:rsid w:val="0008147C"/>
    <w:rsid w:val="00095480"/>
    <w:rsid w:val="000A4EE7"/>
    <w:rsid w:val="000B1F78"/>
    <w:rsid w:val="000C2108"/>
    <w:rsid w:val="000C7ED8"/>
    <w:rsid w:val="000D2E00"/>
    <w:rsid w:val="000D6004"/>
    <w:rsid w:val="00103FC6"/>
    <w:rsid w:val="001116A7"/>
    <w:rsid w:val="0012433E"/>
    <w:rsid w:val="00131EAB"/>
    <w:rsid w:val="00132C1B"/>
    <w:rsid w:val="00132E29"/>
    <w:rsid w:val="00144035"/>
    <w:rsid w:val="00153BBB"/>
    <w:rsid w:val="00155493"/>
    <w:rsid w:val="00156107"/>
    <w:rsid w:val="00161C7C"/>
    <w:rsid w:val="001656A2"/>
    <w:rsid w:val="001A2FC8"/>
    <w:rsid w:val="001C1402"/>
    <w:rsid w:val="001D288C"/>
    <w:rsid w:val="001E0595"/>
    <w:rsid w:val="001E38DC"/>
    <w:rsid w:val="002311CD"/>
    <w:rsid w:val="00233714"/>
    <w:rsid w:val="00234F14"/>
    <w:rsid w:val="00250286"/>
    <w:rsid w:val="00270AB9"/>
    <w:rsid w:val="00284090"/>
    <w:rsid w:val="00291771"/>
    <w:rsid w:val="0029340C"/>
    <w:rsid w:val="002A4625"/>
    <w:rsid w:val="002D33AB"/>
    <w:rsid w:val="002E578B"/>
    <w:rsid w:val="002F4BCA"/>
    <w:rsid w:val="002F5D0C"/>
    <w:rsid w:val="002F6B56"/>
    <w:rsid w:val="003104D9"/>
    <w:rsid w:val="00314B25"/>
    <w:rsid w:val="00341D50"/>
    <w:rsid w:val="00361A92"/>
    <w:rsid w:val="003817C6"/>
    <w:rsid w:val="003922D2"/>
    <w:rsid w:val="003A3F49"/>
    <w:rsid w:val="003B7F13"/>
    <w:rsid w:val="003C2C34"/>
    <w:rsid w:val="003F34C4"/>
    <w:rsid w:val="003F3F98"/>
    <w:rsid w:val="003F4A80"/>
    <w:rsid w:val="00401A02"/>
    <w:rsid w:val="00424447"/>
    <w:rsid w:val="004306C3"/>
    <w:rsid w:val="0043767E"/>
    <w:rsid w:val="00444A44"/>
    <w:rsid w:val="004468EE"/>
    <w:rsid w:val="0047778E"/>
    <w:rsid w:val="00485A1C"/>
    <w:rsid w:val="00486DD5"/>
    <w:rsid w:val="00490191"/>
    <w:rsid w:val="004A449C"/>
    <w:rsid w:val="004A46AC"/>
    <w:rsid w:val="004A4892"/>
    <w:rsid w:val="004A64A8"/>
    <w:rsid w:val="004B361A"/>
    <w:rsid w:val="004C1CE8"/>
    <w:rsid w:val="004D2778"/>
    <w:rsid w:val="004E0A78"/>
    <w:rsid w:val="004E2D56"/>
    <w:rsid w:val="004F4636"/>
    <w:rsid w:val="00521C06"/>
    <w:rsid w:val="00542F54"/>
    <w:rsid w:val="00546C0E"/>
    <w:rsid w:val="0055790D"/>
    <w:rsid w:val="0056292E"/>
    <w:rsid w:val="00572407"/>
    <w:rsid w:val="005A13A0"/>
    <w:rsid w:val="005B1213"/>
    <w:rsid w:val="005C2319"/>
    <w:rsid w:val="005C5B33"/>
    <w:rsid w:val="005C7D2B"/>
    <w:rsid w:val="005D43A4"/>
    <w:rsid w:val="005D6051"/>
    <w:rsid w:val="005E074D"/>
    <w:rsid w:val="005F7B9D"/>
    <w:rsid w:val="00616593"/>
    <w:rsid w:val="00631F92"/>
    <w:rsid w:val="0063289B"/>
    <w:rsid w:val="006345CC"/>
    <w:rsid w:val="00635832"/>
    <w:rsid w:val="006843DD"/>
    <w:rsid w:val="0068484D"/>
    <w:rsid w:val="00690B75"/>
    <w:rsid w:val="006A1C47"/>
    <w:rsid w:val="006C75B8"/>
    <w:rsid w:val="006D19B0"/>
    <w:rsid w:val="006E01E5"/>
    <w:rsid w:val="007054D5"/>
    <w:rsid w:val="00710170"/>
    <w:rsid w:val="00723EB9"/>
    <w:rsid w:val="007366AE"/>
    <w:rsid w:val="00740586"/>
    <w:rsid w:val="0074163A"/>
    <w:rsid w:val="00741C7A"/>
    <w:rsid w:val="00764C47"/>
    <w:rsid w:val="007662E6"/>
    <w:rsid w:val="00777BE8"/>
    <w:rsid w:val="007A141D"/>
    <w:rsid w:val="007A5FCB"/>
    <w:rsid w:val="007C6BFC"/>
    <w:rsid w:val="007E1514"/>
    <w:rsid w:val="007F5AD2"/>
    <w:rsid w:val="00802AE9"/>
    <w:rsid w:val="00811F01"/>
    <w:rsid w:val="008128E2"/>
    <w:rsid w:val="0082344B"/>
    <w:rsid w:val="00825548"/>
    <w:rsid w:val="0084240C"/>
    <w:rsid w:val="00852327"/>
    <w:rsid w:val="0085572A"/>
    <w:rsid w:val="008575F0"/>
    <w:rsid w:val="00864C03"/>
    <w:rsid w:val="008660D2"/>
    <w:rsid w:val="00874D03"/>
    <w:rsid w:val="008838AC"/>
    <w:rsid w:val="008A1FEF"/>
    <w:rsid w:val="008A5370"/>
    <w:rsid w:val="008B1D78"/>
    <w:rsid w:val="008B274E"/>
    <w:rsid w:val="008B62A1"/>
    <w:rsid w:val="008D0523"/>
    <w:rsid w:val="008F37DD"/>
    <w:rsid w:val="00904F9E"/>
    <w:rsid w:val="009111E0"/>
    <w:rsid w:val="009147B0"/>
    <w:rsid w:val="0092332E"/>
    <w:rsid w:val="00932188"/>
    <w:rsid w:val="009406C3"/>
    <w:rsid w:val="009507E8"/>
    <w:rsid w:val="0095730D"/>
    <w:rsid w:val="0096748C"/>
    <w:rsid w:val="00971D0C"/>
    <w:rsid w:val="009828EA"/>
    <w:rsid w:val="009829EA"/>
    <w:rsid w:val="0099623E"/>
    <w:rsid w:val="009A6004"/>
    <w:rsid w:val="009C2BD2"/>
    <w:rsid w:val="009D5C5E"/>
    <w:rsid w:val="009D7145"/>
    <w:rsid w:val="009E6A6A"/>
    <w:rsid w:val="009F298F"/>
    <w:rsid w:val="00A02AF1"/>
    <w:rsid w:val="00A06CDD"/>
    <w:rsid w:val="00A07B41"/>
    <w:rsid w:val="00A26819"/>
    <w:rsid w:val="00A2786D"/>
    <w:rsid w:val="00A31555"/>
    <w:rsid w:val="00A33D21"/>
    <w:rsid w:val="00A401A5"/>
    <w:rsid w:val="00A419E9"/>
    <w:rsid w:val="00A5548C"/>
    <w:rsid w:val="00A6261B"/>
    <w:rsid w:val="00A703BC"/>
    <w:rsid w:val="00A71FFF"/>
    <w:rsid w:val="00A73BC6"/>
    <w:rsid w:val="00A86257"/>
    <w:rsid w:val="00A95ACF"/>
    <w:rsid w:val="00A972AA"/>
    <w:rsid w:val="00A974F2"/>
    <w:rsid w:val="00AA0C78"/>
    <w:rsid w:val="00AA28A4"/>
    <w:rsid w:val="00AA4A86"/>
    <w:rsid w:val="00AD6CEC"/>
    <w:rsid w:val="00AE137C"/>
    <w:rsid w:val="00AF38AB"/>
    <w:rsid w:val="00B01A09"/>
    <w:rsid w:val="00B01B5E"/>
    <w:rsid w:val="00B149D8"/>
    <w:rsid w:val="00B20C8A"/>
    <w:rsid w:val="00B265E2"/>
    <w:rsid w:val="00B40087"/>
    <w:rsid w:val="00B5250E"/>
    <w:rsid w:val="00B610B9"/>
    <w:rsid w:val="00B66F75"/>
    <w:rsid w:val="00B9261A"/>
    <w:rsid w:val="00B96E7D"/>
    <w:rsid w:val="00BA78D2"/>
    <w:rsid w:val="00BC12B1"/>
    <w:rsid w:val="00BD4C05"/>
    <w:rsid w:val="00BE6974"/>
    <w:rsid w:val="00BF389F"/>
    <w:rsid w:val="00BF5C59"/>
    <w:rsid w:val="00C1032B"/>
    <w:rsid w:val="00C14068"/>
    <w:rsid w:val="00C15445"/>
    <w:rsid w:val="00C16431"/>
    <w:rsid w:val="00C2626B"/>
    <w:rsid w:val="00C64B14"/>
    <w:rsid w:val="00C67590"/>
    <w:rsid w:val="00C7096F"/>
    <w:rsid w:val="00CA7699"/>
    <w:rsid w:val="00CB0762"/>
    <w:rsid w:val="00CC6FE2"/>
    <w:rsid w:val="00CC7263"/>
    <w:rsid w:val="00CD5FD5"/>
    <w:rsid w:val="00CD6715"/>
    <w:rsid w:val="00CD6895"/>
    <w:rsid w:val="00CF0CE8"/>
    <w:rsid w:val="00D05DFA"/>
    <w:rsid w:val="00D060E0"/>
    <w:rsid w:val="00D06D7E"/>
    <w:rsid w:val="00D216BB"/>
    <w:rsid w:val="00D31DCD"/>
    <w:rsid w:val="00D415DD"/>
    <w:rsid w:val="00D72CF1"/>
    <w:rsid w:val="00D93669"/>
    <w:rsid w:val="00DA6BEA"/>
    <w:rsid w:val="00DB48A9"/>
    <w:rsid w:val="00DB4F0A"/>
    <w:rsid w:val="00DB6A17"/>
    <w:rsid w:val="00DB7FE7"/>
    <w:rsid w:val="00DD042A"/>
    <w:rsid w:val="00DD4641"/>
    <w:rsid w:val="00E10DBE"/>
    <w:rsid w:val="00E13642"/>
    <w:rsid w:val="00E63924"/>
    <w:rsid w:val="00E6580E"/>
    <w:rsid w:val="00E767AA"/>
    <w:rsid w:val="00E85C59"/>
    <w:rsid w:val="00E87BAB"/>
    <w:rsid w:val="00EA0F78"/>
    <w:rsid w:val="00EA37B8"/>
    <w:rsid w:val="00EA7CCB"/>
    <w:rsid w:val="00EC346F"/>
    <w:rsid w:val="00ED0E74"/>
    <w:rsid w:val="00ED6CBF"/>
    <w:rsid w:val="00ED793A"/>
    <w:rsid w:val="00EF1395"/>
    <w:rsid w:val="00F07103"/>
    <w:rsid w:val="00F145A5"/>
    <w:rsid w:val="00F64955"/>
    <w:rsid w:val="00F7021B"/>
    <w:rsid w:val="00F81C71"/>
    <w:rsid w:val="00F87998"/>
    <w:rsid w:val="00F9108E"/>
    <w:rsid w:val="00FC4E2B"/>
    <w:rsid w:val="00FD3454"/>
    <w:rsid w:val="00FD7F0E"/>
    <w:rsid w:val="00FE0B4D"/>
    <w:rsid w:val="00FE283D"/>
    <w:rsid w:val="00FE3AB0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A72-8466-4390-A75B-83C4819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529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CHỨNG KHOÁN VINCOM</vt:lpstr>
    </vt:vector>
  </TitlesOfParts>
  <Company>&lt;arabianhorse&gt;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CHỨNG KHOÁN VINCOM</dc:title>
  <dc:creator>STAFF</dc:creator>
  <cp:lastModifiedBy>hangntt</cp:lastModifiedBy>
  <cp:revision>36</cp:revision>
  <cp:lastPrinted>2016-07-29T08:15:00Z</cp:lastPrinted>
  <dcterms:created xsi:type="dcterms:W3CDTF">2015-07-20T08:43:00Z</dcterms:created>
  <dcterms:modified xsi:type="dcterms:W3CDTF">2016-07-29T08:16:00Z</dcterms:modified>
</cp:coreProperties>
</file>