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9bafa959262418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9" w:rsidRDefault="002F3039">
      <w:pPr>
        <w:rPr>
          <w:b/>
          <w:sz w:val="20"/>
          <w:szCs w:val="20"/>
        </w:rPr>
      </w:pPr>
    </w:p>
    <w:p w:rsidR="005F171F" w:rsidRPr="00D30366" w:rsidRDefault="00703792">
      <w:pPr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</w:t>
      </w:r>
      <w:r w:rsidR="00D30366" w:rsidRPr="00D30366">
        <w:rPr>
          <w:b/>
          <w:sz w:val="20"/>
          <w:szCs w:val="20"/>
        </w:rPr>
        <w:t xml:space="preserve">Khoáng Sản &amp;Xi Măng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ab/>
        <w:t>Mã CK :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3855"/>
        <w:gridCol w:w="5648"/>
      </w:tblGrid>
      <w:tr w:rsidR="00F069C8" w:rsidRPr="009A4D62">
        <w:tc>
          <w:tcPr>
            <w:tcW w:w="3892" w:type="dxa"/>
          </w:tcPr>
          <w:p w:rsidR="00F069C8" w:rsidRPr="0056699C" w:rsidRDefault="00F069C8" w:rsidP="00C5563A">
            <w:pPr>
              <w:jc w:val="center"/>
              <w:rPr>
                <w:i/>
              </w:rPr>
            </w:pPr>
            <w:r w:rsidRPr="0056699C">
              <w:rPr>
                <w:i/>
              </w:rPr>
              <w:t>"</w:t>
            </w:r>
            <w:r w:rsidR="0079539E" w:rsidRPr="0056699C">
              <w:rPr>
                <w:i/>
              </w:rPr>
              <w:t>V/v giải trình chênh lệch lợi nhuận  Báo cáo tài chính</w:t>
            </w:r>
            <w:r w:rsidR="0079539E">
              <w:rPr>
                <w:i/>
              </w:rPr>
              <w:t xml:space="preserve"> </w:t>
            </w:r>
            <w:r w:rsidR="0079539E">
              <w:rPr>
                <w:i/>
                <w:lang w:val="vi-VN"/>
              </w:rPr>
              <w:t>h</w:t>
            </w:r>
            <w:r w:rsidR="0079539E">
              <w:rPr>
                <w:i/>
              </w:rPr>
              <w:t xml:space="preserve">ợp </w:t>
            </w:r>
            <w:r w:rsidR="0079539E">
              <w:rPr>
                <w:i/>
                <w:lang w:val="vi-VN"/>
              </w:rPr>
              <w:t>n</w:t>
            </w:r>
            <w:r w:rsidR="0079539E">
              <w:rPr>
                <w:i/>
              </w:rPr>
              <w:t xml:space="preserve">hất </w:t>
            </w:r>
            <w:r w:rsidR="0079539E">
              <w:rPr>
                <w:i/>
                <w:lang w:val="vi-VN"/>
              </w:rPr>
              <w:t>6 th</w:t>
            </w:r>
            <w:r w:rsidR="0079539E" w:rsidRPr="00964083">
              <w:rPr>
                <w:i/>
                <w:lang w:val="vi-VN"/>
              </w:rPr>
              <w:t>á</w:t>
            </w:r>
            <w:r w:rsidR="0079539E">
              <w:rPr>
                <w:i/>
                <w:lang w:val="vi-VN"/>
              </w:rPr>
              <w:t xml:space="preserve">ng </w:t>
            </w:r>
            <w:r w:rsidR="00C5563A">
              <w:rPr>
                <w:i/>
              </w:rPr>
              <w:t xml:space="preserve">đầu </w:t>
            </w:r>
            <w:r w:rsidR="0079539E">
              <w:rPr>
                <w:i/>
              </w:rPr>
              <w:t xml:space="preserve">năm 2017 trước và sau soát xét 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C5563A">
            <w:pPr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>ơ, ngày</w:t>
            </w:r>
            <w:r w:rsidR="00C5563A"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r w:rsidR="0079539E">
              <w:rPr>
                <w:i/>
              </w:rPr>
              <w:t>2</w:t>
            </w:r>
            <w:r w:rsidR="00C5563A">
              <w:rPr>
                <w:i/>
              </w:rPr>
              <w:t>4</w:t>
            </w:r>
            <w:r w:rsidR="00403558"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tháng </w:t>
            </w:r>
            <w:r w:rsidR="006949E7">
              <w:rPr>
                <w:i/>
              </w:rPr>
              <w:t>0</w:t>
            </w:r>
            <w:r w:rsidR="0079539E">
              <w:rPr>
                <w:i/>
              </w:rPr>
              <w:t>8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BC7A9A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Thực hiện nghĩa vụ công bố thông tin của tổ chức niêm yết theo quy </w:t>
      </w:r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 tại thông t</w:t>
      </w:r>
      <w:r w:rsidRPr="00237A48">
        <w:rPr>
          <w:rFonts w:hint="eastAsia"/>
          <w:sz w:val="26"/>
          <w:szCs w:val="26"/>
        </w:rPr>
        <w:t>ư</w:t>
      </w:r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ngày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của Bộ Tài chính.</w:t>
      </w:r>
    </w:p>
    <w:p w:rsidR="0079539E" w:rsidRPr="00012E22" w:rsidRDefault="0079539E" w:rsidP="0079539E">
      <w:pPr>
        <w:spacing w:line="360" w:lineRule="auto"/>
        <w:ind w:firstLine="360"/>
        <w:jc w:val="both"/>
        <w:rPr>
          <w:spacing w:val="-4"/>
          <w:sz w:val="26"/>
          <w:szCs w:val="26"/>
          <w:lang w:val="vi-VN"/>
        </w:rPr>
      </w:pPr>
      <w:r w:rsidRPr="00012E22">
        <w:rPr>
          <w:spacing w:val="-4"/>
          <w:sz w:val="26"/>
          <w:szCs w:val="26"/>
          <w:lang w:val="vi-VN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012E22">
        <w:rPr>
          <w:spacing w:val="-4"/>
          <w:sz w:val="26"/>
          <w:szCs w:val="26"/>
          <w:lang w:val="vi-VN"/>
        </w:rPr>
        <w:t xml:space="preserve">hoáng Sản </w:t>
      </w:r>
      <w:r>
        <w:rPr>
          <w:spacing w:val="-4"/>
          <w:sz w:val="26"/>
          <w:szCs w:val="26"/>
          <w:lang w:val="vi-VN"/>
        </w:rPr>
        <w:t>v</w:t>
      </w:r>
      <w:r w:rsidRPr="00012E22">
        <w:rPr>
          <w:spacing w:val="-4"/>
          <w:sz w:val="26"/>
          <w:szCs w:val="26"/>
          <w:lang w:val="vi-VN"/>
        </w:rPr>
        <w:t>à Xi m</w:t>
      </w:r>
      <w:r w:rsidRPr="00012E22">
        <w:rPr>
          <w:rFonts w:hint="eastAsia"/>
          <w:spacing w:val="-4"/>
          <w:sz w:val="26"/>
          <w:szCs w:val="26"/>
          <w:lang w:val="vi-VN"/>
        </w:rPr>
        <w:t>ă</w:t>
      </w:r>
      <w:r w:rsidRPr="00012E22">
        <w:rPr>
          <w:spacing w:val="-4"/>
          <w:sz w:val="26"/>
          <w:szCs w:val="26"/>
          <w:lang w:val="vi-VN"/>
        </w:rPr>
        <w:t>ng C</w:t>
      </w:r>
      <w:r w:rsidRPr="00012E22">
        <w:rPr>
          <w:sz w:val="26"/>
          <w:szCs w:val="26"/>
          <w:lang w:val="vi-VN"/>
        </w:rPr>
        <w:t>ần Thơ</w:t>
      </w:r>
      <w:r w:rsidRPr="00012E22">
        <w:rPr>
          <w:spacing w:val="-4"/>
          <w:sz w:val="26"/>
          <w:szCs w:val="26"/>
          <w:lang w:val="vi-VN"/>
        </w:rPr>
        <w:t xml:space="preserve"> xin </w:t>
      </w:r>
      <w:r w:rsidRPr="00012E22">
        <w:rPr>
          <w:rFonts w:hint="eastAsia"/>
          <w:spacing w:val="-4"/>
          <w:sz w:val="26"/>
          <w:szCs w:val="26"/>
          <w:lang w:val="vi-VN"/>
        </w:rPr>
        <w:t>đư</w:t>
      </w:r>
      <w:r w:rsidRPr="00012E22">
        <w:rPr>
          <w:spacing w:val="-4"/>
          <w:sz w:val="26"/>
          <w:szCs w:val="26"/>
          <w:lang w:val="vi-VN"/>
        </w:rPr>
        <w:t xml:space="preserve">ợc giải trình các nguyên nhân chủ yếu liên quan </w:t>
      </w:r>
      <w:r w:rsidRPr="00012E22">
        <w:rPr>
          <w:rFonts w:hint="eastAsia"/>
          <w:spacing w:val="-4"/>
          <w:sz w:val="26"/>
          <w:szCs w:val="26"/>
          <w:lang w:val="vi-VN"/>
        </w:rPr>
        <w:t>đ</w:t>
      </w:r>
      <w:r w:rsidRPr="00012E22">
        <w:rPr>
          <w:spacing w:val="-4"/>
          <w:sz w:val="26"/>
          <w:szCs w:val="26"/>
          <w:lang w:val="vi-VN"/>
        </w:rPr>
        <w:t>ến việc lợi sau</w:t>
      </w:r>
      <w:r w:rsidRPr="00012E22">
        <w:rPr>
          <w:lang w:val="vi-VN"/>
        </w:rPr>
        <w:t xml:space="preserve"> </w:t>
      </w:r>
      <w:r w:rsidRPr="00012E22">
        <w:rPr>
          <w:spacing w:val="-4"/>
          <w:sz w:val="26"/>
          <w:szCs w:val="26"/>
          <w:lang w:val="vi-VN"/>
        </w:rPr>
        <w:t xml:space="preserve">thuế TNDN của Báo cáo tài chính Hợp Nhất trước và sau soát xét </w:t>
      </w:r>
      <w:r>
        <w:rPr>
          <w:spacing w:val="-4"/>
          <w:sz w:val="26"/>
          <w:szCs w:val="26"/>
          <w:lang w:val="vi-VN"/>
        </w:rPr>
        <w:t>6 th</w:t>
      </w:r>
      <w:r w:rsidRPr="00964083">
        <w:rPr>
          <w:spacing w:val="-4"/>
          <w:sz w:val="26"/>
          <w:szCs w:val="26"/>
          <w:lang w:val="vi-VN"/>
        </w:rPr>
        <w:t>á</w:t>
      </w:r>
      <w:r>
        <w:rPr>
          <w:spacing w:val="-4"/>
          <w:sz w:val="26"/>
          <w:szCs w:val="26"/>
          <w:lang w:val="vi-VN"/>
        </w:rPr>
        <w:t>ng đ</w:t>
      </w:r>
      <w:r w:rsidRPr="00964083">
        <w:rPr>
          <w:spacing w:val="-4"/>
          <w:sz w:val="26"/>
          <w:szCs w:val="26"/>
          <w:lang w:val="vi-VN"/>
        </w:rPr>
        <w:t>ầ</w:t>
      </w:r>
      <w:r>
        <w:rPr>
          <w:spacing w:val="-4"/>
          <w:sz w:val="26"/>
          <w:szCs w:val="26"/>
          <w:lang w:val="vi-VN"/>
        </w:rPr>
        <w:t xml:space="preserve">u </w:t>
      </w:r>
      <w:r w:rsidRPr="00012E22">
        <w:rPr>
          <w:spacing w:val="-4"/>
          <w:sz w:val="26"/>
          <w:szCs w:val="26"/>
          <w:lang w:val="vi-VN"/>
        </w:rPr>
        <w:t>n</w:t>
      </w:r>
      <w:r w:rsidRPr="00012E22">
        <w:rPr>
          <w:rFonts w:hint="eastAsia"/>
          <w:spacing w:val="-4"/>
          <w:sz w:val="26"/>
          <w:szCs w:val="26"/>
          <w:lang w:val="vi-VN"/>
        </w:rPr>
        <w:t>ă</w:t>
      </w:r>
      <w:r w:rsidRPr="00012E22">
        <w:rPr>
          <w:spacing w:val="-4"/>
          <w:sz w:val="26"/>
          <w:szCs w:val="26"/>
          <w:lang w:val="vi-VN"/>
        </w:rPr>
        <w:t>m 201</w:t>
      </w:r>
      <w:r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  <w:lang w:val="vi-VN"/>
        </w:rPr>
        <w:t xml:space="preserve"> </w:t>
      </w:r>
      <w:r w:rsidR="00C5563A">
        <w:rPr>
          <w:spacing w:val="-4"/>
          <w:sz w:val="26"/>
          <w:szCs w:val="26"/>
        </w:rPr>
        <w:t>giảm 13.100</w:t>
      </w:r>
      <w:r w:rsidRPr="00012E22">
        <w:rPr>
          <w:spacing w:val="-4"/>
          <w:sz w:val="26"/>
          <w:szCs w:val="26"/>
          <w:lang w:val="vi-VN"/>
        </w:rPr>
        <w:t xml:space="preserve"> tỷ đồng tương </w:t>
      </w:r>
      <w:r w:rsidR="006A1A7D">
        <w:rPr>
          <w:spacing w:val="-4"/>
          <w:sz w:val="26"/>
          <w:szCs w:val="26"/>
        </w:rPr>
        <w:t xml:space="preserve"> </w:t>
      </w:r>
      <w:r w:rsidRPr="00012E22">
        <w:rPr>
          <w:spacing w:val="-4"/>
          <w:sz w:val="26"/>
          <w:szCs w:val="26"/>
          <w:lang w:val="vi-VN"/>
        </w:rPr>
        <w:t xml:space="preserve">đương </w:t>
      </w:r>
      <w:r w:rsidR="008765E7">
        <w:rPr>
          <w:spacing w:val="-4"/>
          <w:sz w:val="26"/>
          <w:szCs w:val="26"/>
        </w:rPr>
        <w:t xml:space="preserve">giảm </w:t>
      </w:r>
      <w:r>
        <w:rPr>
          <w:spacing w:val="-4"/>
          <w:sz w:val="26"/>
          <w:szCs w:val="26"/>
          <w:lang w:val="vi-VN"/>
        </w:rPr>
        <w:t>3</w:t>
      </w:r>
      <w:r w:rsidR="00C5563A">
        <w:rPr>
          <w:spacing w:val="-4"/>
          <w:sz w:val="26"/>
          <w:szCs w:val="26"/>
        </w:rPr>
        <w:t>1</w:t>
      </w:r>
      <w:r w:rsidR="00C561BA">
        <w:rPr>
          <w:spacing w:val="-4"/>
          <w:sz w:val="26"/>
          <w:szCs w:val="26"/>
        </w:rPr>
        <w:t>,</w:t>
      </w:r>
      <w:r w:rsidR="00C5563A">
        <w:rPr>
          <w:spacing w:val="-4"/>
          <w:sz w:val="26"/>
          <w:szCs w:val="26"/>
        </w:rPr>
        <w:t>47</w:t>
      </w:r>
      <w:r w:rsidRPr="00012E22">
        <w:rPr>
          <w:spacing w:val="-4"/>
          <w:sz w:val="26"/>
          <w:szCs w:val="26"/>
          <w:lang w:val="vi-VN"/>
        </w:rPr>
        <w:t>%  so với trước soát xét nh</w:t>
      </w:r>
      <w:r w:rsidRPr="00012E22">
        <w:rPr>
          <w:rFonts w:hint="eastAsia"/>
          <w:spacing w:val="-4"/>
          <w:sz w:val="26"/>
          <w:szCs w:val="26"/>
          <w:lang w:val="vi-VN"/>
        </w:rPr>
        <w:t>ư</w:t>
      </w:r>
      <w:r w:rsidRPr="00012E22">
        <w:rPr>
          <w:spacing w:val="-4"/>
          <w:sz w:val="26"/>
          <w:szCs w:val="26"/>
          <w:lang w:val="vi-VN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012E22">
        <w:rPr>
          <w:spacing w:val="-4"/>
          <w:sz w:val="26"/>
          <w:szCs w:val="26"/>
          <w:lang w:val="vi-VN"/>
        </w:rPr>
        <w:t>:</w:t>
      </w:r>
    </w:p>
    <w:p w:rsidR="0079539E" w:rsidRPr="00012E22" w:rsidRDefault="0079539E" w:rsidP="0079539E">
      <w:pPr>
        <w:spacing w:line="360" w:lineRule="auto"/>
        <w:ind w:left="450" w:firstLine="90"/>
        <w:rPr>
          <w:sz w:val="26"/>
          <w:szCs w:val="26"/>
          <w:lang w:val="vi-VN"/>
        </w:rPr>
      </w:pPr>
      <w:r w:rsidRPr="00012E22">
        <w:rPr>
          <w:sz w:val="26"/>
          <w:szCs w:val="26"/>
          <w:lang w:val="vi-VN"/>
        </w:rPr>
        <w:t xml:space="preserve">+ Lợi nhuận sau thuế TNDN trước soát xét    :     </w:t>
      </w:r>
      <w:r w:rsidRPr="0079539E">
        <w:rPr>
          <w:sz w:val="26"/>
          <w:szCs w:val="26"/>
          <w:lang w:val="vi-VN"/>
        </w:rPr>
        <w:t>41.616.764.421</w:t>
      </w:r>
      <w:r w:rsidRPr="00012E22">
        <w:rPr>
          <w:sz w:val="26"/>
          <w:szCs w:val="26"/>
          <w:lang w:val="vi-VN"/>
        </w:rPr>
        <w:t xml:space="preserve">   đồng</w:t>
      </w:r>
    </w:p>
    <w:p w:rsidR="0079539E" w:rsidRPr="00012E22" w:rsidRDefault="0079539E" w:rsidP="0079539E">
      <w:pPr>
        <w:spacing w:line="360" w:lineRule="auto"/>
        <w:ind w:left="450" w:firstLine="90"/>
        <w:rPr>
          <w:sz w:val="26"/>
          <w:szCs w:val="26"/>
          <w:lang w:val="vi-VN"/>
        </w:rPr>
      </w:pPr>
      <w:r w:rsidRPr="00012E22">
        <w:rPr>
          <w:sz w:val="26"/>
          <w:szCs w:val="26"/>
          <w:lang w:val="vi-VN"/>
        </w:rPr>
        <w:t xml:space="preserve">+ Lợi nhuận sau thuế TNDN sau soát xét       :     </w:t>
      </w:r>
      <w:r w:rsidRPr="0079539E">
        <w:rPr>
          <w:sz w:val="26"/>
          <w:szCs w:val="26"/>
          <w:lang w:val="vi-VN"/>
        </w:rPr>
        <w:t>28.</w:t>
      </w:r>
      <w:r w:rsidR="00C5563A" w:rsidRPr="00C5563A">
        <w:rPr>
          <w:sz w:val="26"/>
          <w:szCs w:val="26"/>
          <w:lang w:val="vi-VN"/>
        </w:rPr>
        <w:t>516</w:t>
      </w:r>
      <w:r w:rsidR="00C5563A">
        <w:rPr>
          <w:sz w:val="26"/>
          <w:szCs w:val="26"/>
          <w:lang w:val="vi-VN"/>
        </w:rPr>
        <w:t>.</w:t>
      </w:r>
      <w:r w:rsidR="00C5563A" w:rsidRPr="00C5563A">
        <w:rPr>
          <w:sz w:val="26"/>
          <w:szCs w:val="26"/>
          <w:lang w:val="vi-VN"/>
        </w:rPr>
        <w:t>236</w:t>
      </w:r>
      <w:r w:rsidR="00C5563A">
        <w:rPr>
          <w:sz w:val="26"/>
          <w:szCs w:val="26"/>
          <w:lang w:val="vi-VN"/>
        </w:rPr>
        <w:t>.</w:t>
      </w:r>
      <w:r w:rsidR="00C5563A" w:rsidRPr="00C5563A">
        <w:rPr>
          <w:sz w:val="26"/>
          <w:szCs w:val="26"/>
          <w:lang w:val="vi-VN"/>
        </w:rPr>
        <w:t>683</w:t>
      </w:r>
      <w:r w:rsidRPr="00012E22">
        <w:rPr>
          <w:sz w:val="26"/>
          <w:szCs w:val="26"/>
          <w:lang w:val="vi-VN"/>
        </w:rPr>
        <w:t xml:space="preserve">   đồng</w:t>
      </w:r>
    </w:p>
    <w:p w:rsidR="0079539E" w:rsidRPr="00012E22" w:rsidRDefault="0079539E" w:rsidP="0079539E">
      <w:pPr>
        <w:spacing w:line="360" w:lineRule="auto"/>
        <w:ind w:left="450" w:firstLine="90"/>
        <w:rPr>
          <w:sz w:val="26"/>
          <w:szCs w:val="26"/>
          <w:lang w:val="vi-VN"/>
        </w:rPr>
      </w:pPr>
      <w:r w:rsidRPr="00012E22">
        <w:rPr>
          <w:sz w:val="26"/>
          <w:szCs w:val="26"/>
          <w:lang w:val="vi-VN"/>
        </w:rPr>
        <w:t>+ Chênh lệch</w:t>
      </w:r>
      <w:r>
        <w:rPr>
          <w:sz w:val="26"/>
          <w:szCs w:val="26"/>
          <w:lang w:val="vi-VN"/>
        </w:rPr>
        <w:t xml:space="preserve"> </w:t>
      </w:r>
      <w:r w:rsidRPr="00012E22">
        <w:rPr>
          <w:sz w:val="26"/>
          <w:szCs w:val="26"/>
          <w:lang w:val="vi-VN"/>
        </w:rPr>
        <w:t xml:space="preserve"> </w:t>
      </w:r>
      <w:r w:rsidRPr="00012E22">
        <w:rPr>
          <w:sz w:val="26"/>
          <w:szCs w:val="26"/>
          <w:lang w:val="vi-VN"/>
        </w:rPr>
        <w:tab/>
      </w:r>
      <w:r w:rsidRPr="00012E22">
        <w:rPr>
          <w:sz w:val="26"/>
          <w:szCs w:val="26"/>
          <w:lang w:val="vi-VN"/>
        </w:rPr>
        <w:tab/>
        <w:t xml:space="preserve">                   </w:t>
      </w:r>
      <w:r w:rsidRPr="00C5563A">
        <w:rPr>
          <w:sz w:val="26"/>
          <w:szCs w:val="26"/>
          <w:lang w:val="vi-VN"/>
        </w:rPr>
        <w:t xml:space="preserve">           </w:t>
      </w:r>
      <w:r w:rsidRPr="00012E22">
        <w:rPr>
          <w:sz w:val="26"/>
          <w:szCs w:val="26"/>
          <w:lang w:val="vi-VN"/>
        </w:rPr>
        <w:t xml:space="preserve">       :     </w:t>
      </w:r>
      <w:r w:rsidR="00C5563A" w:rsidRPr="00C5563A">
        <w:rPr>
          <w:sz w:val="26"/>
          <w:szCs w:val="26"/>
          <w:lang w:val="vi-VN"/>
        </w:rPr>
        <w:t>13.100.527.</w:t>
      </w:r>
      <w:r w:rsidR="00C5563A">
        <w:rPr>
          <w:sz w:val="26"/>
          <w:szCs w:val="26"/>
        </w:rPr>
        <w:t>738</w:t>
      </w:r>
      <w:r w:rsidRPr="00012E22">
        <w:rPr>
          <w:sz w:val="26"/>
          <w:szCs w:val="26"/>
          <w:lang w:val="vi-VN"/>
        </w:rPr>
        <w:t xml:space="preserve">   đồng   </w:t>
      </w:r>
    </w:p>
    <w:p w:rsidR="0079539E" w:rsidRPr="00D36D2F" w:rsidRDefault="0079539E" w:rsidP="0079539E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BB3522" w:rsidRPr="0079539E" w:rsidRDefault="00BB3522" w:rsidP="003E7F1D">
      <w:pPr>
        <w:spacing w:line="360" w:lineRule="auto"/>
        <w:ind w:left="450" w:hanging="450"/>
        <w:rPr>
          <w:b/>
          <w:sz w:val="26"/>
          <w:szCs w:val="26"/>
          <w:lang w:val="vi-VN"/>
        </w:rPr>
      </w:pPr>
      <w:r w:rsidRPr="0079539E">
        <w:rPr>
          <w:b/>
          <w:sz w:val="26"/>
          <w:szCs w:val="26"/>
          <w:lang w:val="vi-VN"/>
        </w:rPr>
        <w:t xml:space="preserve">Nguyên nhân : </w:t>
      </w:r>
    </w:p>
    <w:p w:rsidR="0079539E" w:rsidRPr="0079539E" w:rsidRDefault="0079539E" w:rsidP="0079539E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lang w:val="vi-VN"/>
        </w:rPr>
      </w:pPr>
      <w:r w:rsidRPr="00012E22">
        <w:rPr>
          <w:sz w:val="26"/>
          <w:szCs w:val="26"/>
          <w:lang w:val="vi-VN"/>
        </w:rPr>
        <w:t xml:space="preserve">Lợi nhuận sau thuế TNDN trước soát xét  là </w:t>
      </w:r>
      <w:r w:rsidRPr="0079539E">
        <w:rPr>
          <w:sz w:val="26"/>
          <w:szCs w:val="26"/>
          <w:lang w:val="vi-VN"/>
        </w:rPr>
        <w:t>41.616</w:t>
      </w:r>
      <w:r w:rsidRPr="00012E22">
        <w:rPr>
          <w:sz w:val="26"/>
          <w:szCs w:val="26"/>
          <w:lang w:val="vi-VN"/>
        </w:rPr>
        <w:t xml:space="preserve"> tỷ đồng so với sau soát xét  là </w:t>
      </w:r>
      <w:r w:rsidR="000C1218">
        <w:rPr>
          <w:sz w:val="26"/>
          <w:szCs w:val="26"/>
          <w:lang w:val="vi-VN"/>
        </w:rPr>
        <w:t>28.</w:t>
      </w:r>
      <w:r w:rsidR="000C1218" w:rsidRPr="000C1218">
        <w:rPr>
          <w:sz w:val="26"/>
          <w:szCs w:val="26"/>
          <w:lang w:val="vi-VN"/>
        </w:rPr>
        <w:t>516</w:t>
      </w:r>
      <w:r w:rsidRPr="00012E22">
        <w:rPr>
          <w:sz w:val="26"/>
          <w:szCs w:val="26"/>
          <w:lang w:val="vi-VN"/>
        </w:rPr>
        <w:t xml:space="preserve"> tỷ đồng </w:t>
      </w:r>
      <w:r w:rsidR="000C1218">
        <w:rPr>
          <w:sz w:val="26"/>
          <w:szCs w:val="26"/>
          <w:lang w:val="vi-VN"/>
        </w:rPr>
        <w:t>giảm 1</w:t>
      </w:r>
      <w:r w:rsidR="000C1218" w:rsidRPr="000C1218">
        <w:rPr>
          <w:sz w:val="26"/>
          <w:szCs w:val="26"/>
          <w:lang w:val="vi-VN"/>
        </w:rPr>
        <w:t>3.100</w:t>
      </w:r>
      <w:r w:rsidRPr="00012E22">
        <w:rPr>
          <w:sz w:val="26"/>
          <w:szCs w:val="26"/>
          <w:lang w:val="vi-VN"/>
        </w:rPr>
        <w:t xml:space="preserve"> tỷ đồng chủ yếu là do các nguyên nhân sau</w:t>
      </w:r>
      <w:r w:rsidRPr="0079539E">
        <w:rPr>
          <w:sz w:val="26"/>
          <w:szCs w:val="26"/>
          <w:lang w:val="vi-VN"/>
        </w:rPr>
        <w:t>:</w:t>
      </w:r>
    </w:p>
    <w:p w:rsidR="0079539E" w:rsidRPr="0079539E" w:rsidRDefault="0079539E" w:rsidP="0079539E">
      <w:pPr>
        <w:spacing w:line="360" w:lineRule="auto"/>
        <w:ind w:left="90" w:firstLine="11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</w:t>
      </w:r>
      <w:r w:rsidRPr="0079539E">
        <w:rPr>
          <w:sz w:val="26"/>
          <w:szCs w:val="26"/>
          <w:lang w:val="vi-VN"/>
        </w:rPr>
        <w:t>Loại trừ Công ty mẹ nhận lãi cổ tức của các Công ty con: Công Cty CP Bất Động Sản Cantcimex là: 4,500 tỷ đồng và Công Ty TNHH MTV Xi Măng Cần thơ- Hậu Giang là: 3,950 tỷ đồng.</w:t>
      </w:r>
    </w:p>
    <w:p w:rsidR="004561BF" w:rsidRPr="004561BF" w:rsidRDefault="0079539E" w:rsidP="0079539E">
      <w:pPr>
        <w:spacing w:line="360" w:lineRule="auto"/>
        <w:ind w:left="90" w:firstLine="112"/>
        <w:jc w:val="both"/>
        <w:rPr>
          <w:sz w:val="26"/>
          <w:szCs w:val="26"/>
          <w:lang w:val="vi-VN"/>
        </w:rPr>
      </w:pPr>
      <w:r w:rsidRPr="004561BF">
        <w:rPr>
          <w:sz w:val="26"/>
          <w:szCs w:val="26"/>
          <w:lang w:val="vi-VN"/>
        </w:rPr>
        <w:t xml:space="preserve">- Loại trừ doanh thu </w:t>
      </w:r>
      <w:r w:rsidR="004561BF" w:rsidRPr="004561BF">
        <w:rPr>
          <w:sz w:val="26"/>
          <w:szCs w:val="26"/>
          <w:lang w:val="vi-VN"/>
        </w:rPr>
        <w:t>và giá vốn giao dịch giữa Công ty mẹ và các Công ty</w:t>
      </w:r>
      <w:r w:rsidR="008765E7" w:rsidRPr="008765E7">
        <w:rPr>
          <w:sz w:val="26"/>
          <w:szCs w:val="26"/>
          <w:lang w:val="vi-VN"/>
        </w:rPr>
        <w:t xml:space="preserve"> con</w:t>
      </w:r>
      <w:r w:rsidR="004561BF" w:rsidRPr="004561BF">
        <w:rPr>
          <w:sz w:val="26"/>
          <w:szCs w:val="26"/>
          <w:lang w:val="vi-VN"/>
        </w:rPr>
        <w:t xml:space="preserve"> bao gồm : </w:t>
      </w:r>
    </w:p>
    <w:p w:rsidR="0079539E" w:rsidRDefault="004561BF" w:rsidP="0079539E">
      <w:pPr>
        <w:spacing w:line="360" w:lineRule="auto"/>
        <w:ind w:left="90" w:firstLine="112"/>
        <w:jc w:val="both"/>
        <w:rPr>
          <w:sz w:val="26"/>
          <w:szCs w:val="26"/>
        </w:rPr>
      </w:pPr>
      <w:r w:rsidRPr="004561BF">
        <w:rPr>
          <w:sz w:val="26"/>
          <w:szCs w:val="26"/>
          <w:lang w:val="vi-VN"/>
        </w:rPr>
        <w:t>+ Cty mẹ bán hàng cho Cty TNHH MTV XM Cần thơ- Hậu Giang là: 854.090.909đ</w:t>
      </w:r>
    </w:p>
    <w:p w:rsidR="004561BF" w:rsidRPr="004561BF" w:rsidRDefault="004561BF" w:rsidP="0079539E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>+ Cty CP BĐS Cantcimex bán hàng  cho Cty TNHH MTV XM Cần thơ- Hậu Giang là: 3.080.032.303đ</w:t>
      </w:r>
    </w:p>
    <w:p w:rsidR="004561BF" w:rsidRPr="004561BF" w:rsidRDefault="004561BF" w:rsidP="0079539E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4561BF">
        <w:rPr>
          <w:sz w:val="26"/>
          <w:szCs w:val="26"/>
          <w:lang w:val="vi-VN"/>
        </w:rPr>
        <w:t xml:space="preserve">Cty mẹ bán hàng cho Cty CP KS Lộc Tài Nguyên là: </w:t>
      </w:r>
      <w:r>
        <w:rPr>
          <w:sz w:val="26"/>
          <w:szCs w:val="26"/>
        </w:rPr>
        <w:t>401.434.382đ</w:t>
      </w:r>
    </w:p>
    <w:p w:rsidR="004561BF" w:rsidRPr="004561BF" w:rsidRDefault="004561BF" w:rsidP="0079539E">
      <w:pPr>
        <w:spacing w:line="360" w:lineRule="auto"/>
        <w:ind w:left="90" w:firstLine="112"/>
        <w:jc w:val="both"/>
        <w:rPr>
          <w:sz w:val="26"/>
          <w:szCs w:val="26"/>
          <w:lang w:val="vi-VN"/>
        </w:rPr>
      </w:pPr>
      <w:r w:rsidRPr="004561BF">
        <w:rPr>
          <w:sz w:val="26"/>
          <w:szCs w:val="26"/>
          <w:lang w:val="vi-VN"/>
        </w:rPr>
        <w:t>+ Cty CP KS Lộc Tài Nguyên gia công cho  Công ty mẹ là: 1.798.000.000đ</w:t>
      </w:r>
    </w:p>
    <w:p w:rsidR="0079539E" w:rsidRPr="008765E7" w:rsidRDefault="0079539E" w:rsidP="008765E7">
      <w:pPr>
        <w:tabs>
          <w:tab w:val="left" w:pos="360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12E22">
        <w:rPr>
          <w:sz w:val="26"/>
          <w:szCs w:val="26"/>
          <w:lang w:val="vi-VN"/>
        </w:rPr>
        <w:t xml:space="preserve">Nay Công ty CP </w:t>
      </w:r>
      <w:r>
        <w:rPr>
          <w:sz w:val="26"/>
          <w:szCs w:val="26"/>
          <w:lang w:val="vi-VN"/>
        </w:rPr>
        <w:t>K</w:t>
      </w:r>
      <w:r w:rsidRPr="00012E22">
        <w:rPr>
          <w:sz w:val="26"/>
          <w:szCs w:val="26"/>
          <w:lang w:val="vi-VN"/>
        </w:rPr>
        <w:t xml:space="preserve">hoáng sản và Xi măng Cần Thơ làm văn bản giải trình để UBCK Nhà </w:t>
      </w:r>
      <w:r>
        <w:rPr>
          <w:sz w:val="26"/>
          <w:szCs w:val="26"/>
          <w:lang w:val="vi-VN"/>
        </w:rPr>
        <w:t>N</w:t>
      </w:r>
      <w:r w:rsidRPr="00012E22">
        <w:rPr>
          <w:sz w:val="26"/>
          <w:szCs w:val="26"/>
          <w:lang w:val="vi-VN"/>
        </w:rPr>
        <w:t xml:space="preserve">ước, Sở GDCK </w:t>
      </w:r>
      <w:r>
        <w:rPr>
          <w:sz w:val="26"/>
          <w:szCs w:val="26"/>
          <w:lang w:val="vi-VN"/>
        </w:rPr>
        <w:t>Hà Nội</w:t>
      </w:r>
      <w:r w:rsidRPr="00012E22">
        <w:rPr>
          <w:sz w:val="26"/>
          <w:szCs w:val="26"/>
          <w:lang w:val="vi-VN"/>
        </w:rPr>
        <w:t>, Phòng quản lý niêm yết và Quý Cổ Đông được biết.</w:t>
      </w:r>
    </w:p>
    <w:p w:rsidR="0079539E" w:rsidRPr="0079539E" w:rsidRDefault="0079539E" w:rsidP="00F069C8">
      <w:pPr>
        <w:ind w:left="3150"/>
        <w:rPr>
          <w:b/>
          <w:lang w:val="vi-VN"/>
        </w:rPr>
      </w:pPr>
    </w:p>
    <w:p w:rsidR="00F069C8" w:rsidRPr="0079539E" w:rsidRDefault="00F069C8" w:rsidP="00F069C8">
      <w:pPr>
        <w:ind w:left="3150"/>
        <w:rPr>
          <w:b/>
          <w:lang w:val="vi-VN"/>
        </w:rPr>
      </w:pPr>
      <w:r w:rsidRPr="0079539E">
        <w:rPr>
          <w:b/>
          <w:lang w:val="vi-VN"/>
        </w:rPr>
        <w:t>CTY  CP KHOÁNG SẢN VÀ XI M</w:t>
      </w:r>
      <w:r w:rsidRPr="0079539E">
        <w:rPr>
          <w:rFonts w:hint="eastAsia"/>
          <w:b/>
          <w:lang w:val="vi-VN"/>
        </w:rPr>
        <w:t>Ă</w:t>
      </w:r>
      <w:r w:rsidRPr="0079539E">
        <w:rPr>
          <w:b/>
          <w:lang w:val="vi-VN"/>
        </w:rPr>
        <w:t>NG 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 Gi</w:t>
      </w:r>
      <w:r w:rsidR="00F2203A" w:rsidRPr="007E1EF2">
        <w:rPr>
          <w:b/>
          <w:i/>
          <w:sz w:val="28"/>
          <w:szCs w:val="28"/>
        </w:rPr>
        <w:t>ám Đốc</w:t>
      </w:r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0746B1" w:rsidRPr="00200576" w:rsidRDefault="00C85D1D" w:rsidP="00200576">
      <w:pPr>
        <w:spacing w:line="360" w:lineRule="auto"/>
        <w:ind w:left="387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12D11">
        <w:rPr>
          <w:b/>
          <w:i/>
          <w:sz w:val="28"/>
          <w:szCs w:val="28"/>
        </w:rPr>
        <w:t xml:space="preserve">   </w:t>
      </w:r>
      <w:r w:rsidR="00F069C8" w:rsidRPr="000746B1">
        <w:rPr>
          <w:b/>
          <w:i/>
          <w:sz w:val="28"/>
          <w:szCs w:val="28"/>
        </w:rPr>
        <w:t xml:space="preserve">Thái Minh Thuyết </w:t>
      </w:r>
      <w:bookmarkStart w:id="0" w:name="_GoBack"/>
      <w:bookmarkEnd w:id="0"/>
    </w:p>
    <w:sectPr w:rsidR="000746B1" w:rsidRPr="00200576" w:rsidSect="004561BF">
      <w:pgSz w:w="11907" w:h="16840" w:code="9"/>
      <w:pgMar w:top="431" w:right="1134" w:bottom="0" w:left="15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47E4F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1218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057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1C9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3039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56973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3558"/>
    <w:rsid w:val="00407742"/>
    <w:rsid w:val="00410174"/>
    <w:rsid w:val="00411F4A"/>
    <w:rsid w:val="004327E9"/>
    <w:rsid w:val="00434C01"/>
    <w:rsid w:val="0043776A"/>
    <w:rsid w:val="00441404"/>
    <w:rsid w:val="00442616"/>
    <w:rsid w:val="004561BF"/>
    <w:rsid w:val="00466744"/>
    <w:rsid w:val="004753FB"/>
    <w:rsid w:val="00480340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1A7D"/>
    <w:rsid w:val="006A625E"/>
    <w:rsid w:val="006B0940"/>
    <w:rsid w:val="006B1FC1"/>
    <w:rsid w:val="006B2AB5"/>
    <w:rsid w:val="006B4FB1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083A"/>
    <w:rsid w:val="0071192D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539E"/>
    <w:rsid w:val="00796783"/>
    <w:rsid w:val="00796E51"/>
    <w:rsid w:val="007C7AC7"/>
    <w:rsid w:val="007D3A22"/>
    <w:rsid w:val="007E1EF2"/>
    <w:rsid w:val="007E671A"/>
    <w:rsid w:val="00801CF3"/>
    <w:rsid w:val="00803D7F"/>
    <w:rsid w:val="00806D78"/>
    <w:rsid w:val="00812D11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765E7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3DBA"/>
    <w:rsid w:val="009B5601"/>
    <w:rsid w:val="009B6A44"/>
    <w:rsid w:val="009C4C6B"/>
    <w:rsid w:val="009C4CB7"/>
    <w:rsid w:val="009D15ED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3B9C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C7A9A"/>
    <w:rsid w:val="00BE1122"/>
    <w:rsid w:val="00BF0779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5563A"/>
    <w:rsid w:val="00C561BA"/>
    <w:rsid w:val="00C606DC"/>
    <w:rsid w:val="00C66B0F"/>
    <w:rsid w:val="00C76AF0"/>
    <w:rsid w:val="00C85D1D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65296"/>
    <w:rsid w:val="00D73821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316D"/>
    <w:rsid w:val="00E263BB"/>
    <w:rsid w:val="00E27C2E"/>
    <w:rsid w:val="00E36154"/>
    <w:rsid w:val="00E461A3"/>
    <w:rsid w:val="00E52FE9"/>
    <w:rsid w:val="00E53F54"/>
    <w:rsid w:val="00E546E5"/>
    <w:rsid w:val="00E5622C"/>
    <w:rsid w:val="00E6120A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2A0FB-6737-4277-B30E-14D4FF0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subject/>
  <dc:creator>MANAGER</dc:creator>
  <cp:keywords/>
  <dc:description/>
  <cp:lastModifiedBy>Windows User</cp:lastModifiedBy>
  <cp:revision>4</cp:revision>
  <cp:lastPrinted>2017-08-23T03:34:00Z</cp:lastPrinted>
  <dcterms:created xsi:type="dcterms:W3CDTF">2017-08-24T10:45:00Z</dcterms:created>
  <dcterms:modified xsi:type="dcterms:W3CDTF">2017-08-24T10:49:00Z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afe12d417cc4791a43789ad1da76e08.psdsxs" Id="R6d6b1d195d0a4e23" /></Relationships>
</file>