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1DB4204" w:rsidR="00985D07" w:rsidRPr="003B6080" w:rsidRDefault="006F2618" w:rsidP="00D267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B6080">
        <w:rPr>
          <w:rFonts w:ascii="Arial" w:hAnsi="Arial" w:cs="Arial"/>
          <w:b/>
          <w:color w:val="010000"/>
          <w:sz w:val="20"/>
        </w:rPr>
        <w:t xml:space="preserve">HSA: </w:t>
      </w:r>
      <w:r w:rsidR="003B6080" w:rsidRPr="003B6080">
        <w:rPr>
          <w:rFonts w:ascii="Arial" w:hAnsi="Arial" w:cs="Arial"/>
          <w:b/>
          <w:color w:val="010000"/>
          <w:sz w:val="20"/>
        </w:rPr>
        <w:t>Report on explaining</w:t>
      </w:r>
      <w:r w:rsidRPr="003B6080">
        <w:rPr>
          <w:rFonts w:ascii="Arial" w:hAnsi="Arial" w:cs="Arial"/>
          <w:b/>
          <w:color w:val="010000"/>
          <w:sz w:val="20"/>
        </w:rPr>
        <w:t xml:space="preserve"> Audit</w:t>
      </w:r>
      <w:r w:rsidR="00D267E6">
        <w:rPr>
          <w:rFonts w:ascii="Arial" w:hAnsi="Arial" w:cs="Arial"/>
          <w:b/>
          <w:color w:val="010000"/>
          <w:sz w:val="20"/>
        </w:rPr>
        <w:t xml:space="preserve">ed Financial Statements for </w:t>
      </w:r>
      <w:r w:rsidRPr="003B6080">
        <w:rPr>
          <w:rFonts w:ascii="Arial" w:hAnsi="Arial" w:cs="Arial"/>
          <w:b/>
          <w:color w:val="010000"/>
          <w:sz w:val="20"/>
        </w:rPr>
        <w:t>fiscal year 2020</w:t>
      </w:r>
    </w:p>
    <w:p w14:paraId="00000002" w14:textId="23F2EA8A" w:rsidR="00985D07" w:rsidRPr="003B6080" w:rsidRDefault="006F2618" w:rsidP="00D267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B6080">
        <w:rPr>
          <w:rFonts w:ascii="Arial" w:hAnsi="Arial" w:cs="Arial"/>
          <w:color w:val="010000"/>
          <w:sz w:val="20"/>
        </w:rPr>
        <w:t xml:space="preserve">On November 21, 2023, Hestia Joint Stock Company </w:t>
      </w:r>
      <w:r w:rsidR="003B6080" w:rsidRPr="003B6080">
        <w:rPr>
          <w:rFonts w:ascii="Arial" w:hAnsi="Arial" w:cs="Arial"/>
          <w:color w:val="010000"/>
          <w:sz w:val="20"/>
        </w:rPr>
        <w:t>announced Report</w:t>
      </w:r>
      <w:r w:rsidRPr="003B6080">
        <w:rPr>
          <w:rFonts w:ascii="Arial" w:hAnsi="Arial" w:cs="Arial"/>
          <w:color w:val="010000"/>
          <w:sz w:val="20"/>
        </w:rPr>
        <w:t xml:space="preserve"> No. 02/2023/CVGT on explaining the</w:t>
      </w:r>
      <w:r w:rsidR="003B6080" w:rsidRPr="003B6080">
        <w:rPr>
          <w:rFonts w:ascii="Arial" w:hAnsi="Arial" w:cs="Arial"/>
          <w:color w:val="010000"/>
          <w:sz w:val="20"/>
        </w:rPr>
        <w:t xml:space="preserve"> </w:t>
      </w:r>
      <w:bookmarkStart w:id="0" w:name="_Hlk151707911"/>
      <w:r w:rsidR="003B6080" w:rsidRPr="003B6080">
        <w:rPr>
          <w:rFonts w:ascii="Arial" w:hAnsi="Arial" w:cs="Arial"/>
          <w:color w:val="010000"/>
          <w:sz w:val="20"/>
        </w:rPr>
        <w:t>difference in</w:t>
      </w:r>
      <w:r w:rsidRPr="003B6080">
        <w:rPr>
          <w:rFonts w:ascii="Arial" w:hAnsi="Arial" w:cs="Arial"/>
          <w:color w:val="010000"/>
          <w:sz w:val="20"/>
        </w:rPr>
        <w:t xml:space="preserve"> </w:t>
      </w:r>
      <w:bookmarkStart w:id="1" w:name="_Hlk151707885"/>
      <w:r w:rsidRPr="003B6080">
        <w:rPr>
          <w:rFonts w:ascii="Arial" w:hAnsi="Arial" w:cs="Arial"/>
          <w:color w:val="010000"/>
          <w:sz w:val="20"/>
        </w:rPr>
        <w:t>profits after tax</w:t>
      </w:r>
      <w:r w:rsidR="003B6080" w:rsidRPr="003B6080">
        <w:rPr>
          <w:rFonts w:ascii="Arial" w:hAnsi="Arial" w:cs="Arial"/>
          <w:color w:val="010000"/>
          <w:sz w:val="20"/>
        </w:rPr>
        <w:t xml:space="preserve"> compared to that of the previous year</w:t>
      </w:r>
      <w:bookmarkEnd w:id="0"/>
      <w:bookmarkEnd w:id="1"/>
      <w:r w:rsidRPr="003B6080">
        <w:rPr>
          <w:rFonts w:ascii="Arial" w:hAnsi="Arial" w:cs="Arial"/>
          <w:color w:val="010000"/>
          <w:sz w:val="20"/>
        </w:rPr>
        <w:t xml:space="preserve">, as follows: </w:t>
      </w:r>
    </w:p>
    <w:p w14:paraId="391C73DE" w14:textId="72FB5ECC" w:rsidR="003B6080" w:rsidRPr="003B6080" w:rsidRDefault="003B6080" w:rsidP="00D267E6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  <w:tab w:val="left" w:pos="2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080">
        <w:rPr>
          <w:rFonts w:ascii="Arial" w:hAnsi="Arial" w:cs="Arial"/>
          <w:color w:val="010000"/>
          <w:sz w:val="20"/>
        </w:rPr>
        <w:t>According to the regulation of the Circular, the Company would like to explain the reasons for the decrease in business results as follows:</w:t>
      </w:r>
    </w:p>
    <w:p w14:paraId="00000003" w14:textId="6DE5A606" w:rsidR="00985D07" w:rsidRPr="003B6080" w:rsidRDefault="003B6080" w:rsidP="00D2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080">
        <w:rPr>
          <w:rFonts w:ascii="Arial" w:hAnsi="Arial" w:cs="Arial"/>
          <w:color w:val="010000"/>
          <w:sz w:val="20"/>
        </w:rPr>
        <w:t>Revenue from f</w:t>
      </w:r>
      <w:r w:rsidR="006F2618" w:rsidRPr="003B6080">
        <w:rPr>
          <w:rFonts w:ascii="Arial" w:hAnsi="Arial" w:cs="Arial"/>
          <w:color w:val="010000"/>
          <w:sz w:val="20"/>
        </w:rPr>
        <w:t xml:space="preserve">inancial activities in 2020 </w:t>
      </w:r>
      <w:r w:rsidRPr="003B6080">
        <w:rPr>
          <w:rFonts w:ascii="Arial" w:hAnsi="Arial" w:cs="Arial"/>
          <w:color w:val="010000"/>
          <w:sz w:val="20"/>
        </w:rPr>
        <w:t>was</w:t>
      </w:r>
      <w:r w:rsidR="006F2618" w:rsidRPr="003B6080">
        <w:rPr>
          <w:rFonts w:ascii="Arial" w:hAnsi="Arial" w:cs="Arial"/>
          <w:color w:val="010000"/>
          <w:sz w:val="20"/>
        </w:rPr>
        <w:t xml:space="preserve"> VND 15,329,002,012, </w:t>
      </w:r>
      <w:r w:rsidRPr="003B6080">
        <w:rPr>
          <w:rFonts w:ascii="Arial" w:hAnsi="Arial" w:cs="Arial"/>
          <w:color w:val="010000"/>
          <w:sz w:val="20"/>
        </w:rPr>
        <w:t xml:space="preserve">decreasing by </w:t>
      </w:r>
      <w:r w:rsidR="006F2618" w:rsidRPr="003B6080">
        <w:rPr>
          <w:rFonts w:ascii="Arial" w:hAnsi="Arial" w:cs="Arial"/>
          <w:color w:val="010000"/>
          <w:sz w:val="20"/>
        </w:rPr>
        <w:t xml:space="preserve">56.49% </w:t>
      </w:r>
      <w:r w:rsidR="00D267E6">
        <w:rPr>
          <w:rFonts w:ascii="Arial" w:hAnsi="Arial" w:cs="Arial"/>
          <w:color w:val="010000"/>
          <w:sz w:val="20"/>
        </w:rPr>
        <w:t>year-on-year</w:t>
      </w:r>
      <w:r w:rsidR="006F2618" w:rsidRPr="003B6080">
        <w:rPr>
          <w:rFonts w:ascii="Arial" w:hAnsi="Arial" w:cs="Arial"/>
          <w:color w:val="010000"/>
          <w:sz w:val="20"/>
        </w:rPr>
        <w:t xml:space="preserve"> in 2019, which was VND 35,235,382,840.</w:t>
      </w:r>
    </w:p>
    <w:p w14:paraId="00000004" w14:textId="06C06E4B" w:rsidR="00985D07" w:rsidRPr="003B6080" w:rsidRDefault="006F2618" w:rsidP="00D2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080">
        <w:rPr>
          <w:rFonts w:ascii="Arial" w:hAnsi="Arial" w:cs="Arial"/>
          <w:color w:val="010000"/>
          <w:sz w:val="20"/>
        </w:rPr>
        <w:t xml:space="preserve">General and administrative expense in 2020 was VND 2,246,439,606, </w:t>
      </w:r>
      <w:r w:rsidR="003B6080" w:rsidRPr="003B6080">
        <w:rPr>
          <w:rFonts w:ascii="Arial" w:hAnsi="Arial" w:cs="Arial"/>
          <w:color w:val="010000"/>
          <w:sz w:val="20"/>
        </w:rPr>
        <w:t xml:space="preserve">increasing </w:t>
      </w:r>
      <w:r w:rsidR="00D267E6">
        <w:rPr>
          <w:rFonts w:ascii="Arial" w:hAnsi="Arial" w:cs="Arial"/>
          <w:color w:val="010000"/>
          <w:sz w:val="20"/>
        </w:rPr>
        <w:t xml:space="preserve">by </w:t>
      </w:r>
      <w:r w:rsidRPr="003B6080">
        <w:rPr>
          <w:rFonts w:ascii="Arial" w:hAnsi="Arial" w:cs="Arial"/>
          <w:color w:val="010000"/>
          <w:sz w:val="20"/>
        </w:rPr>
        <w:t xml:space="preserve">212% </w:t>
      </w:r>
      <w:r w:rsidR="00D267E6">
        <w:rPr>
          <w:rFonts w:ascii="Arial" w:hAnsi="Arial" w:cs="Arial"/>
          <w:color w:val="010000"/>
          <w:sz w:val="20"/>
        </w:rPr>
        <w:t>year-on-year</w:t>
      </w:r>
      <w:r w:rsidRPr="003B6080">
        <w:rPr>
          <w:rFonts w:ascii="Arial" w:hAnsi="Arial" w:cs="Arial"/>
          <w:color w:val="010000"/>
          <w:sz w:val="20"/>
        </w:rPr>
        <w:t xml:space="preserve"> in 2019, which was VND 1,056,119,571.</w:t>
      </w:r>
    </w:p>
    <w:p w14:paraId="00000005" w14:textId="3AE3E3EC" w:rsidR="00985D07" w:rsidRPr="003B6080" w:rsidRDefault="006F2618" w:rsidP="00D2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080">
        <w:rPr>
          <w:rFonts w:ascii="Arial" w:hAnsi="Arial" w:cs="Arial"/>
          <w:color w:val="010000"/>
          <w:sz w:val="20"/>
        </w:rPr>
        <w:t xml:space="preserve">Other expenses in 2020 </w:t>
      </w:r>
      <w:r w:rsidR="003B6080" w:rsidRPr="003B6080">
        <w:rPr>
          <w:rFonts w:ascii="Arial" w:hAnsi="Arial" w:cs="Arial"/>
          <w:color w:val="010000"/>
          <w:sz w:val="20"/>
        </w:rPr>
        <w:t>were</w:t>
      </w:r>
      <w:r w:rsidRPr="003B6080">
        <w:rPr>
          <w:rFonts w:ascii="Arial" w:hAnsi="Arial" w:cs="Arial"/>
          <w:color w:val="010000"/>
          <w:sz w:val="20"/>
        </w:rPr>
        <w:t xml:space="preserve"> VND 103,542,225, </w:t>
      </w:r>
      <w:r w:rsidR="003B6080" w:rsidRPr="003B6080">
        <w:rPr>
          <w:rFonts w:ascii="Arial" w:hAnsi="Arial" w:cs="Arial"/>
          <w:color w:val="010000"/>
          <w:sz w:val="20"/>
        </w:rPr>
        <w:t>increasing</w:t>
      </w:r>
      <w:r w:rsidR="00D267E6">
        <w:rPr>
          <w:rFonts w:ascii="Arial" w:hAnsi="Arial" w:cs="Arial"/>
          <w:color w:val="010000"/>
          <w:sz w:val="20"/>
        </w:rPr>
        <w:t xml:space="preserve"> by</w:t>
      </w:r>
      <w:bookmarkStart w:id="2" w:name="_GoBack"/>
      <w:bookmarkEnd w:id="2"/>
      <w:r w:rsidR="003B6080" w:rsidRPr="003B6080">
        <w:rPr>
          <w:rFonts w:ascii="Arial" w:hAnsi="Arial" w:cs="Arial"/>
          <w:color w:val="010000"/>
          <w:sz w:val="20"/>
        </w:rPr>
        <w:t xml:space="preserve"> </w:t>
      </w:r>
      <w:r w:rsidRPr="003B6080">
        <w:rPr>
          <w:rFonts w:ascii="Arial" w:hAnsi="Arial" w:cs="Arial"/>
          <w:color w:val="010000"/>
          <w:sz w:val="20"/>
        </w:rPr>
        <w:t xml:space="preserve">244% </w:t>
      </w:r>
      <w:r w:rsidR="00D267E6">
        <w:rPr>
          <w:rFonts w:ascii="Arial" w:hAnsi="Arial" w:cs="Arial"/>
          <w:color w:val="010000"/>
          <w:sz w:val="20"/>
        </w:rPr>
        <w:t>year-on-year</w:t>
      </w:r>
      <w:r w:rsidRPr="003B6080">
        <w:rPr>
          <w:rFonts w:ascii="Arial" w:hAnsi="Arial" w:cs="Arial"/>
          <w:color w:val="010000"/>
          <w:sz w:val="20"/>
        </w:rPr>
        <w:t xml:space="preserve"> in 2019, which was VND 42,420,430</w:t>
      </w:r>
    </w:p>
    <w:sectPr w:rsidR="00985D07" w:rsidRPr="003B6080" w:rsidSect="006F261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85748"/>
    <w:multiLevelType w:val="multilevel"/>
    <w:tmpl w:val="5B7054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7"/>
    <w:rsid w:val="003B6080"/>
    <w:rsid w:val="006F2618"/>
    <w:rsid w:val="00985D07"/>
    <w:rsid w:val="00D267E6"/>
    <w:rsid w:val="00E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4BEA1"/>
  <w15:docId w15:val="{B3B2CFC9-9DBF-4A90-B34D-68CB30F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VMqZULNjABjmMkqL48X1nbKLJQ==">CgMxLjA4AHIhMWtDMjJFRzFqMUsxODM2NTVLSm9yMjlBZ1VuYzNtV0NU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Duc Quan</cp:lastModifiedBy>
  <cp:revision>2</cp:revision>
  <dcterms:created xsi:type="dcterms:W3CDTF">2023-11-24T04:08:00Z</dcterms:created>
  <dcterms:modified xsi:type="dcterms:W3CDTF">2023-11-24T04:08:00Z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b5a9b73118de56481a1534d7563b200192c369278a59a50345fef8e3c00e2f45</vt:lpwstr>
  </property>
</Properties>
</file>