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D566B79" w:rsidR="003C4BAC" w:rsidRPr="009F106A" w:rsidRDefault="00C503A8" w:rsidP="00C503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HSA: Report on explaining </w:t>
      </w:r>
      <w:r w:rsidR="00DE61D8" w:rsidRPr="009F106A">
        <w:rPr>
          <w:rFonts w:ascii="Arial" w:hAnsi="Arial" w:cs="Arial"/>
          <w:b/>
          <w:color w:val="010000"/>
          <w:sz w:val="20"/>
        </w:rPr>
        <w:t>Audit</w:t>
      </w:r>
      <w:r>
        <w:rPr>
          <w:rFonts w:ascii="Arial" w:hAnsi="Arial" w:cs="Arial"/>
          <w:b/>
          <w:color w:val="010000"/>
          <w:sz w:val="20"/>
        </w:rPr>
        <w:t xml:space="preserve">ed Financial Statements for </w:t>
      </w:r>
      <w:r w:rsidR="00DE61D8" w:rsidRPr="009F106A">
        <w:rPr>
          <w:rFonts w:ascii="Arial" w:hAnsi="Arial" w:cs="Arial"/>
          <w:b/>
          <w:color w:val="010000"/>
          <w:sz w:val="20"/>
        </w:rPr>
        <w:t>fiscal year 2022</w:t>
      </w:r>
    </w:p>
    <w:p w14:paraId="00000002" w14:textId="603237D1" w:rsidR="003C4BAC" w:rsidRPr="009F106A" w:rsidRDefault="00DE61D8" w:rsidP="00C503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F106A">
        <w:rPr>
          <w:rFonts w:ascii="Arial" w:hAnsi="Arial" w:cs="Arial"/>
          <w:color w:val="010000"/>
          <w:sz w:val="20"/>
        </w:rPr>
        <w:t xml:space="preserve">On November 21, 2023, Hestia Joint Stock Company announced Report No. 04/2023/CVGT on explaining the </w:t>
      </w:r>
      <w:r w:rsidR="007A370B" w:rsidRPr="009F106A">
        <w:rPr>
          <w:rFonts w:ascii="Arial" w:hAnsi="Arial" w:cs="Arial"/>
          <w:color w:val="010000"/>
          <w:sz w:val="20"/>
        </w:rPr>
        <w:t xml:space="preserve">difference in </w:t>
      </w:r>
      <w:bookmarkStart w:id="0" w:name="_Hlk151707885"/>
      <w:r w:rsidR="007A370B" w:rsidRPr="009F106A">
        <w:rPr>
          <w:rFonts w:ascii="Arial" w:hAnsi="Arial" w:cs="Arial"/>
          <w:color w:val="010000"/>
          <w:sz w:val="20"/>
        </w:rPr>
        <w:t>profits after tax compared to that of the previous year</w:t>
      </w:r>
      <w:bookmarkStart w:id="1" w:name="_GoBack"/>
      <w:bookmarkEnd w:id="0"/>
      <w:bookmarkEnd w:id="1"/>
      <w:r w:rsidRPr="009F106A">
        <w:rPr>
          <w:rFonts w:ascii="Arial" w:hAnsi="Arial" w:cs="Arial"/>
          <w:color w:val="010000"/>
          <w:sz w:val="20"/>
        </w:rPr>
        <w:t xml:space="preserve"> as follows: </w:t>
      </w:r>
    </w:p>
    <w:p w14:paraId="528A2DEB" w14:textId="21186CA3" w:rsidR="009F106A" w:rsidRPr="009F106A" w:rsidRDefault="009F106A" w:rsidP="00C503A8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  <w:tab w:val="left" w:pos="2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106A">
        <w:rPr>
          <w:rFonts w:ascii="Arial" w:hAnsi="Arial" w:cs="Arial"/>
          <w:color w:val="010000"/>
          <w:sz w:val="20"/>
        </w:rPr>
        <w:t>According to the regulation of the Circular, the Company would like to explain the reasons for the decrease in business results as follows:</w:t>
      </w:r>
    </w:p>
    <w:p w14:paraId="00000003" w14:textId="462C606D" w:rsidR="003C4BAC" w:rsidRPr="009F106A" w:rsidRDefault="00DE61D8" w:rsidP="00C5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106A">
        <w:rPr>
          <w:rFonts w:ascii="Arial" w:hAnsi="Arial" w:cs="Arial"/>
          <w:color w:val="010000"/>
          <w:sz w:val="20"/>
        </w:rPr>
        <w:t xml:space="preserve">Because the securities market in 2022 stagnated in the last 6 months of the year, securities investment activities </w:t>
      </w:r>
      <w:r w:rsidR="009F106A" w:rsidRPr="009F106A">
        <w:rPr>
          <w:rFonts w:ascii="Arial" w:hAnsi="Arial" w:cs="Arial"/>
          <w:color w:val="010000"/>
          <w:sz w:val="20"/>
        </w:rPr>
        <w:t>were declining</w:t>
      </w:r>
      <w:r w:rsidRPr="009F106A">
        <w:rPr>
          <w:rFonts w:ascii="Arial" w:hAnsi="Arial" w:cs="Arial"/>
          <w:color w:val="010000"/>
          <w:sz w:val="20"/>
        </w:rPr>
        <w:t>.</w:t>
      </w:r>
    </w:p>
    <w:p w14:paraId="00000004" w14:textId="797C164C" w:rsidR="003C4BAC" w:rsidRPr="009F106A" w:rsidRDefault="00DE61D8" w:rsidP="00C5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106A">
        <w:rPr>
          <w:rFonts w:ascii="Arial" w:hAnsi="Arial" w:cs="Arial"/>
          <w:color w:val="010000"/>
          <w:sz w:val="20"/>
        </w:rPr>
        <w:t xml:space="preserve">The revenue from financial activities in 2022 was VND 3,840,970,996, </w:t>
      </w:r>
      <w:r w:rsidR="009F106A" w:rsidRPr="009F106A">
        <w:rPr>
          <w:rFonts w:ascii="Arial" w:hAnsi="Arial" w:cs="Arial"/>
          <w:color w:val="010000"/>
          <w:sz w:val="20"/>
        </w:rPr>
        <w:t>decreasing</w:t>
      </w:r>
      <w:r w:rsidRPr="009F106A">
        <w:rPr>
          <w:rFonts w:ascii="Arial" w:hAnsi="Arial" w:cs="Arial"/>
          <w:color w:val="010000"/>
          <w:sz w:val="20"/>
        </w:rPr>
        <w:t xml:space="preserve"> by 90% </w:t>
      </w:r>
      <w:r w:rsidR="00C503A8">
        <w:rPr>
          <w:rFonts w:ascii="Arial" w:hAnsi="Arial" w:cs="Arial"/>
          <w:color w:val="010000"/>
          <w:sz w:val="20"/>
        </w:rPr>
        <w:t>year-on-year</w:t>
      </w:r>
      <w:r w:rsidRPr="009F106A">
        <w:rPr>
          <w:rFonts w:ascii="Arial" w:hAnsi="Arial" w:cs="Arial"/>
          <w:color w:val="010000"/>
          <w:sz w:val="20"/>
        </w:rPr>
        <w:t xml:space="preserve"> in 2021, which was VND 41,998,540,980.</w:t>
      </w:r>
    </w:p>
    <w:p w14:paraId="00000005" w14:textId="770CA0D8" w:rsidR="003C4BAC" w:rsidRPr="009F106A" w:rsidRDefault="009F106A" w:rsidP="00C5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106A">
        <w:rPr>
          <w:rFonts w:ascii="Arial" w:hAnsi="Arial" w:cs="Arial"/>
          <w:color w:val="010000"/>
          <w:sz w:val="20"/>
        </w:rPr>
        <w:t>F</w:t>
      </w:r>
      <w:r w:rsidR="00DE61D8" w:rsidRPr="009F106A">
        <w:rPr>
          <w:rFonts w:ascii="Arial" w:hAnsi="Arial" w:cs="Arial"/>
          <w:color w:val="010000"/>
          <w:sz w:val="20"/>
        </w:rPr>
        <w:t xml:space="preserve">inancial activity expenses in 2022 were VND 2,037,640,586, </w:t>
      </w:r>
      <w:r w:rsidRPr="009F106A">
        <w:rPr>
          <w:rFonts w:ascii="Arial" w:hAnsi="Arial" w:cs="Arial"/>
          <w:color w:val="010000"/>
          <w:sz w:val="20"/>
        </w:rPr>
        <w:t>decreasing</w:t>
      </w:r>
      <w:r w:rsidR="00DE61D8" w:rsidRPr="009F106A">
        <w:rPr>
          <w:rFonts w:ascii="Arial" w:hAnsi="Arial" w:cs="Arial"/>
          <w:color w:val="010000"/>
          <w:sz w:val="20"/>
        </w:rPr>
        <w:t xml:space="preserve"> by 70% </w:t>
      </w:r>
      <w:r w:rsidR="00C503A8">
        <w:rPr>
          <w:rFonts w:ascii="Arial" w:hAnsi="Arial" w:cs="Arial"/>
          <w:color w:val="010000"/>
          <w:sz w:val="20"/>
        </w:rPr>
        <w:t>year-on-year</w:t>
      </w:r>
      <w:r w:rsidR="00DE61D8" w:rsidRPr="009F106A">
        <w:rPr>
          <w:rFonts w:ascii="Arial" w:hAnsi="Arial" w:cs="Arial"/>
          <w:color w:val="010000"/>
          <w:sz w:val="20"/>
        </w:rPr>
        <w:t xml:space="preserve"> in 2021, which was VND 6,947,346,091.</w:t>
      </w:r>
    </w:p>
    <w:p w14:paraId="00000006" w14:textId="62AAB221" w:rsidR="003C4BAC" w:rsidRPr="009F106A" w:rsidRDefault="009F106A" w:rsidP="00C50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106A">
        <w:rPr>
          <w:rFonts w:ascii="Arial" w:hAnsi="Arial" w:cs="Arial"/>
          <w:color w:val="010000"/>
          <w:sz w:val="20"/>
        </w:rPr>
        <w:t>General</w:t>
      </w:r>
      <w:r w:rsidR="00DE61D8" w:rsidRPr="009F106A">
        <w:rPr>
          <w:rFonts w:ascii="Arial" w:hAnsi="Arial" w:cs="Arial"/>
          <w:color w:val="010000"/>
          <w:sz w:val="20"/>
        </w:rPr>
        <w:t xml:space="preserve"> and administrative expense in 2022 was VND 796,854,371, </w:t>
      </w:r>
      <w:r w:rsidRPr="009F106A">
        <w:rPr>
          <w:rFonts w:ascii="Arial" w:hAnsi="Arial" w:cs="Arial"/>
          <w:color w:val="010000"/>
          <w:sz w:val="20"/>
        </w:rPr>
        <w:t>decreasing</w:t>
      </w:r>
      <w:r w:rsidR="00DE61D8" w:rsidRPr="009F106A">
        <w:rPr>
          <w:rFonts w:ascii="Arial" w:hAnsi="Arial" w:cs="Arial"/>
          <w:color w:val="010000"/>
          <w:sz w:val="20"/>
        </w:rPr>
        <w:t xml:space="preserve"> by 41.9% </w:t>
      </w:r>
      <w:r w:rsidR="00C503A8">
        <w:rPr>
          <w:rFonts w:ascii="Arial" w:hAnsi="Arial" w:cs="Arial"/>
          <w:color w:val="010000"/>
          <w:sz w:val="20"/>
        </w:rPr>
        <w:t>year-on-year</w:t>
      </w:r>
      <w:r w:rsidR="00DE61D8" w:rsidRPr="009F106A">
        <w:rPr>
          <w:rFonts w:ascii="Arial" w:hAnsi="Arial" w:cs="Arial"/>
          <w:color w:val="010000"/>
          <w:sz w:val="20"/>
        </w:rPr>
        <w:t xml:space="preserve"> in 2021, which was VND 1,372,688,173.</w:t>
      </w:r>
    </w:p>
    <w:sectPr w:rsidR="003C4BAC" w:rsidRPr="009F106A" w:rsidSect="00DE61D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DA"/>
    <w:multiLevelType w:val="multilevel"/>
    <w:tmpl w:val="30EE94A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C"/>
    <w:rsid w:val="003C4BAC"/>
    <w:rsid w:val="00413130"/>
    <w:rsid w:val="007A370B"/>
    <w:rsid w:val="009F106A"/>
    <w:rsid w:val="00C503A8"/>
    <w:rsid w:val="00D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761B8"/>
  <w15:docId w15:val="{B3B2CFC9-9DBF-4A90-B34D-68CB30F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firstLine="35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m/PSZgMIWC4QWphrRXzuzdUL4A==">CgMxLjA4AHIhMU9BVnlMcDVkOTlQdHk1UjR0cHctS0JzQ1M0OE1XRzZK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Duc Quan</cp:lastModifiedBy>
  <cp:revision>2</cp:revision>
  <dcterms:created xsi:type="dcterms:W3CDTF">2023-11-24T04:10:00Z</dcterms:created>
  <dcterms:modified xsi:type="dcterms:W3CDTF">2023-11-24T04:10:00Z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449a21488c194e5b1baf2566dad6d6e69fbfbcb1637235893abe3ce0e539d2a4</vt:lpwstr>
  </property>
</Properties>
</file>