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D3E50" w:rsidRPr="00656E70" w:rsidRDefault="00DE14AD" w:rsidP="007202E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656E70">
        <w:rPr>
          <w:rFonts w:ascii="Arial" w:hAnsi="Arial" w:cs="Arial"/>
          <w:b/>
          <w:color w:val="010000"/>
          <w:sz w:val="20"/>
        </w:rPr>
        <w:t>VCM: Board Resolution</w:t>
      </w:r>
    </w:p>
    <w:p w14:paraId="00000002" w14:textId="77777777" w:rsidR="00BD3E50" w:rsidRPr="00656E70" w:rsidRDefault="00DE14AD" w:rsidP="007202E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40"/>
        </w:rPr>
      </w:pPr>
      <w:r w:rsidRPr="00656E70">
        <w:rPr>
          <w:rFonts w:ascii="Arial" w:hAnsi="Arial" w:cs="Arial"/>
          <w:color w:val="010000"/>
          <w:sz w:val="20"/>
        </w:rPr>
        <w:t>On November 21, 2023, Vinaconex Trading and Manpower JSC announced Resolution No. 13/2023/NQ/HDQT-MEC on approving the contents under the authorities of the Board of Directors, as follows:</w:t>
      </w:r>
    </w:p>
    <w:p w14:paraId="00000003" w14:textId="4D184709" w:rsidR="00BD3E50" w:rsidRPr="00656E70" w:rsidRDefault="00DE14AD" w:rsidP="007202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6E70">
        <w:rPr>
          <w:rFonts w:ascii="Arial" w:hAnsi="Arial" w:cs="Arial"/>
          <w:color w:val="010000"/>
          <w:sz w:val="20"/>
        </w:rPr>
        <w:t xml:space="preserve">Article 1: Approve the </w:t>
      </w:r>
      <w:r w:rsidR="00656E70" w:rsidRPr="00656E70">
        <w:rPr>
          <w:rFonts w:ascii="Arial" w:hAnsi="Arial" w:cs="Arial"/>
          <w:color w:val="010000"/>
          <w:sz w:val="20"/>
        </w:rPr>
        <w:t>following</w:t>
      </w:r>
      <w:r w:rsidRPr="00656E70">
        <w:rPr>
          <w:rFonts w:ascii="Arial" w:hAnsi="Arial" w:cs="Arial"/>
          <w:color w:val="010000"/>
          <w:sz w:val="20"/>
        </w:rPr>
        <w:t xml:space="preserve"> contents:</w:t>
      </w:r>
    </w:p>
    <w:p w14:paraId="00000004" w14:textId="77777777" w:rsidR="00BD3E50" w:rsidRPr="00656E70" w:rsidRDefault="00DE14AD" w:rsidP="007202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6E70">
        <w:rPr>
          <w:rFonts w:ascii="Arial" w:hAnsi="Arial" w:cs="Arial"/>
          <w:color w:val="010000"/>
          <w:sz w:val="20"/>
        </w:rPr>
        <w:t>New promulgation: Salary and Bonus Regulation of Vinaconex Trading and Manpower JSC.</w:t>
      </w:r>
    </w:p>
    <w:p w14:paraId="00000005" w14:textId="6D14BD61" w:rsidR="00BD3E50" w:rsidRPr="00656E70" w:rsidRDefault="00DE14AD" w:rsidP="007202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6E70">
        <w:rPr>
          <w:rFonts w:ascii="Arial" w:hAnsi="Arial" w:cs="Arial"/>
          <w:color w:val="010000"/>
          <w:sz w:val="20"/>
        </w:rPr>
        <w:t xml:space="preserve">Pledge 09 deposit contracts of Vinaconex Trading and Manpower JSC at OCB Bank - Hanoi Branch as collateral for the loan of BV Invest Joint Stock Company (Tax code: 0101367050) </w:t>
      </w:r>
      <w:r w:rsidR="00656E70" w:rsidRPr="00656E70">
        <w:rPr>
          <w:rFonts w:ascii="Arial" w:hAnsi="Arial" w:cs="Arial"/>
          <w:color w:val="010000"/>
          <w:sz w:val="20"/>
        </w:rPr>
        <w:t xml:space="preserve">with the </w:t>
      </w:r>
      <w:r w:rsidRPr="00656E70">
        <w:rPr>
          <w:rFonts w:ascii="Arial" w:hAnsi="Arial" w:cs="Arial"/>
          <w:color w:val="010000"/>
          <w:sz w:val="20"/>
        </w:rPr>
        <w:t xml:space="preserve">total value of VND 29,700,000,000 for a period not exceeding 3 months. At the same time, charge a fee of 0.5%/month during the </w:t>
      </w:r>
      <w:r w:rsidR="00656E70" w:rsidRPr="00656E70">
        <w:rPr>
          <w:rFonts w:ascii="Arial" w:hAnsi="Arial" w:cs="Arial"/>
          <w:color w:val="010000"/>
          <w:sz w:val="20"/>
        </w:rPr>
        <w:t xml:space="preserve">pledging </w:t>
      </w:r>
      <w:r w:rsidRPr="00656E70">
        <w:rPr>
          <w:rFonts w:ascii="Arial" w:hAnsi="Arial" w:cs="Arial"/>
          <w:color w:val="010000"/>
          <w:sz w:val="20"/>
        </w:rPr>
        <w:t>process.</w:t>
      </w:r>
    </w:p>
    <w:p w14:paraId="00000006" w14:textId="6FD22975" w:rsidR="00BD3E50" w:rsidRPr="00656E70" w:rsidRDefault="00DE14AD" w:rsidP="007202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  <w:tab w:val="left" w:pos="432"/>
          <w:tab w:val="left" w:pos="109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BD3E50" w:rsidRPr="00656E70" w:rsidSect="00656E70">
          <w:pgSz w:w="11909" w:h="16840"/>
          <w:pgMar w:top="1440" w:right="1440" w:bottom="1440" w:left="1440" w:header="0" w:footer="6" w:gutter="0"/>
          <w:pgNumType w:start="1"/>
          <w:cols w:space="720"/>
          <w:docGrid w:linePitch="326"/>
        </w:sectPr>
      </w:pPr>
      <w:r w:rsidRPr="00656E70">
        <w:rPr>
          <w:rFonts w:ascii="Arial" w:hAnsi="Arial" w:cs="Arial"/>
          <w:color w:val="010000"/>
          <w:sz w:val="20"/>
        </w:rPr>
        <w:t>Approve the establishment of Công ty cổ phần Nhân lực và Thương mại Vina-MEC (tentatively translated as Vina-MEC Manpower and Trading Joint Stock Company) (</w:t>
      </w:r>
      <w:r w:rsidR="00656E70" w:rsidRPr="00656E70">
        <w:rPr>
          <w:rFonts w:ascii="Arial" w:hAnsi="Arial" w:cs="Arial"/>
          <w:color w:val="010000"/>
          <w:sz w:val="20"/>
        </w:rPr>
        <w:t xml:space="preserve">the </w:t>
      </w:r>
      <w:r w:rsidRPr="00656E70">
        <w:rPr>
          <w:rFonts w:ascii="Arial" w:hAnsi="Arial" w:cs="Arial"/>
          <w:color w:val="010000"/>
          <w:sz w:val="20"/>
        </w:rPr>
        <w:t>name may change during the process of business establishment procedures according to legal regulations), charter capital of VND 5,000,000,000 with the participation rate of 20%. After 05 months from the date of establishment, if a labor export permit</w:t>
      </w:r>
      <w:r w:rsidR="00656E70" w:rsidRPr="00656E70">
        <w:rPr>
          <w:rFonts w:ascii="Arial" w:hAnsi="Arial" w:cs="Arial"/>
          <w:color w:val="010000"/>
          <w:sz w:val="20"/>
        </w:rPr>
        <w:t xml:space="preserve"> is not acquired</w:t>
      </w:r>
      <w:r w:rsidRPr="00656E70">
        <w:rPr>
          <w:rFonts w:ascii="Arial" w:hAnsi="Arial" w:cs="Arial"/>
          <w:color w:val="010000"/>
          <w:sz w:val="20"/>
        </w:rPr>
        <w:t>, the Chair of the Board of Directors is authorized to transfer/withdraw capital of the newly established company to preserve the capital of Vinaconex MEC.</w:t>
      </w:r>
    </w:p>
    <w:p w14:paraId="00000007" w14:textId="55ACE63A" w:rsidR="00BD3E50" w:rsidRPr="00656E70" w:rsidRDefault="00DE14AD" w:rsidP="007202E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56E70">
        <w:rPr>
          <w:rFonts w:ascii="Arial" w:hAnsi="Arial" w:cs="Arial"/>
          <w:color w:val="010000"/>
          <w:sz w:val="20"/>
        </w:rPr>
        <w:lastRenderedPageBreak/>
        <w:t>Article 2: Assign the Board of Management to promulgate the new salary and bonus regulation and implement the contents as Article 1, the effective date</w:t>
      </w:r>
      <w:r w:rsidR="00656E70">
        <w:rPr>
          <w:rFonts w:ascii="Arial" w:hAnsi="Arial" w:cs="Arial"/>
          <w:color w:val="010000"/>
          <w:sz w:val="20"/>
        </w:rPr>
        <w:t xml:space="preserve"> is</w:t>
      </w:r>
      <w:r w:rsidRPr="00656E70">
        <w:rPr>
          <w:rFonts w:ascii="Arial" w:hAnsi="Arial" w:cs="Arial"/>
          <w:color w:val="010000"/>
          <w:sz w:val="20"/>
        </w:rPr>
        <w:t xml:space="preserve"> from November 21, 2023</w:t>
      </w:r>
      <w:bookmarkEnd w:id="0"/>
    </w:p>
    <w:sectPr w:rsidR="00BD3E50" w:rsidRPr="00656E70" w:rsidSect="00DE14AD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33D6F"/>
    <w:multiLevelType w:val="multilevel"/>
    <w:tmpl w:val="1B46D3B8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50"/>
    <w:rsid w:val="003C5D97"/>
    <w:rsid w:val="00656E70"/>
    <w:rsid w:val="007202E3"/>
    <w:rsid w:val="00BD3E50"/>
    <w:rsid w:val="00D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A144A"/>
  <w15:docId w15:val="{0A70045F-897B-4C6F-AE01-AB0BC429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03133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DD617A"/>
      <w:sz w:val="17"/>
      <w:szCs w:val="1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DD617A"/>
      <w:sz w:val="48"/>
      <w:szCs w:val="48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Arial" w:eastAsia="Arial" w:hAnsi="Arial" w:cs="Arial"/>
      <w:b w:val="0"/>
      <w:bCs w:val="0"/>
      <w:i w:val="0"/>
      <w:iCs w:val="0"/>
      <w:smallCaps/>
      <w:strike w:val="0"/>
      <w:color w:val="DD617A"/>
      <w:u w:val="none"/>
      <w:shd w:val="clear" w:color="auto" w:fill="auto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Arial" w:eastAsia="Arial" w:hAnsi="Arial" w:cs="Arial"/>
      <w:sz w:val="40"/>
      <w:szCs w:val="40"/>
    </w:rPr>
  </w:style>
  <w:style w:type="paragraph" w:styleId="BodyText">
    <w:name w:val="Body Text"/>
    <w:basedOn w:val="Normal"/>
    <w:link w:val="BodyTextChar"/>
    <w:qFormat/>
    <w:pPr>
      <w:spacing w:line="33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233" w:lineRule="auto"/>
    </w:pPr>
    <w:rPr>
      <w:rFonts w:ascii="Arial" w:eastAsia="Arial" w:hAnsi="Arial" w:cs="Arial"/>
      <w:sz w:val="9"/>
      <w:szCs w:val="9"/>
    </w:rPr>
  </w:style>
  <w:style w:type="paragraph" w:customStyle="1" w:styleId="Heading41">
    <w:name w:val="Heading #4"/>
    <w:basedOn w:val="Normal"/>
    <w:link w:val="Heading40"/>
    <w:pPr>
      <w:outlineLvl w:val="3"/>
    </w:pPr>
    <w:rPr>
      <w:rFonts w:ascii="Times New Roman" w:eastAsia="Times New Roman" w:hAnsi="Times New Roman" w:cs="Times New Roman"/>
      <w:b/>
      <w:bCs/>
      <w:color w:val="303133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90" w:lineRule="auto"/>
      <w:ind w:left="340" w:hanging="340"/>
    </w:pPr>
    <w:rPr>
      <w:rFonts w:ascii="Times New Roman" w:eastAsia="Times New Roman" w:hAnsi="Times New Roman" w:cs="Times New Roman"/>
      <w:i/>
      <w:iCs/>
    </w:rPr>
  </w:style>
  <w:style w:type="paragraph" w:customStyle="1" w:styleId="Bodytext40">
    <w:name w:val="Body text (4)"/>
    <w:basedOn w:val="Normal"/>
    <w:link w:val="Bodytext4"/>
    <w:pPr>
      <w:spacing w:line="320" w:lineRule="exact"/>
      <w:ind w:left="1660" w:firstLine="3760"/>
    </w:pPr>
    <w:rPr>
      <w:rFonts w:ascii="Arial" w:eastAsia="Arial" w:hAnsi="Arial" w:cs="Arial"/>
      <w:b/>
      <w:bCs/>
      <w:color w:val="DD617A"/>
      <w:sz w:val="17"/>
      <w:szCs w:val="17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MS Gothic" w:eastAsia="MS Gothic" w:hAnsi="MS Gothic" w:cs="MS Gothic"/>
      <w:color w:val="DD617A"/>
      <w:sz w:val="48"/>
      <w:szCs w:val="48"/>
    </w:rPr>
  </w:style>
  <w:style w:type="paragraph" w:customStyle="1" w:styleId="Heading31">
    <w:name w:val="Heading #3"/>
    <w:basedOn w:val="Normal"/>
    <w:link w:val="Heading30"/>
    <w:pPr>
      <w:spacing w:line="298" w:lineRule="auto"/>
      <w:jc w:val="right"/>
      <w:outlineLvl w:val="2"/>
    </w:pPr>
    <w:rPr>
      <w:rFonts w:ascii="Arial" w:eastAsia="Arial" w:hAnsi="Arial" w:cs="Arial"/>
      <w:smallCaps/>
      <w:color w:val="DD617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UaMI6wekNMBb5zyhZJ2vJ5ap8w==">CgMxLjA4AHIhMVM2c0RGYWVZM1Bic0N5S05uMjVrQTkyNVZuaXJwMUt5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6</cp:revision>
  <dcterms:created xsi:type="dcterms:W3CDTF">2023-11-23T04:03:00Z</dcterms:created>
  <dcterms:modified xsi:type="dcterms:W3CDTF">2023-11-24T03:34:00Z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de5cedbd548cfc67ae32551a16c349c7091623737c748a79c5efc7caa2048c61</vt:lpwstr>
  </property>
</Properties>
</file>