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F1D87" w:rsidRPr="00841177" w:rsidRDefault="00D248A1" w:rsidP="00A33E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841177">
        <w:rPr>
          <w:rFonts w:ascii="Arial" w:hAnsi="Arial" w:cs="Arial"/>
          <w:b/>
          <w:bCs/>
          <w:color w:val="010000"/>
          <w:sz w:val="20"/>
        </w:rPr>
        <w:t>BVB122028:</w:t>
      </w:r>
      <w:r w:rsidRPr="00841177">
        <w:rPr>
          <w:rFonts w:ascii="Arial" w:hAnsi="Arial" w:cs="Arial"/>
          <w:b/>
          <w:color w:val="010000"/>
          <w:sz w:val="20"/>
        </w:rPr>
        <w:t xml:space="preserve"> Bond registration and depository of Viet Capital Bank</w:t>
      </w:r>
    </w:p>
    <w:p w14:paraId="00000002" w14:textId="7F68CC43" w:rsidR="00FF1D87" w:rsidRPr="00841177" w:rsidRDefault="00D248A1" w:rsidP="00A33E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On November 15, 2023, Viet</w:t>
      </w:r>
      <w:r w:rsidR="006C0971">
        <w:rPr>
          <w:rFonts w:ascii="Arial" w:hAnsi="Arial" w:cs="Arial"/>
          <w:color w:val="010000"/>
          <w:sz w:val="20"/>
        </w:rPr>
        <w:t>na</w:t>
      </w:r>
      <w:r w:rsidRPr="00841177">
        <w:rPr>
          <w:rFonts w:ascii="Arial" w:hAnsi="Arial" w:cs="Arial"/>
          <w:color w:val="010000"/>
          <w:sz w:val="20"/>
        </w:rPr>
        <w:t>m Securities Depository and Clearing Corporation announced Notice No. 14238/VSDC-DK.NV on the bond registration and depository of Viet Capital Bank, as follows:</w:t>
      </w:r>
    </w:p>
    <w:p w14:paraId="00000003" w14:textId="792A194E" w:rsidR="00FF1D87" w:rsidRPr="00841177" w:rsidRDefault="00D248A1" w:rsidP="00A33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Regist</w:t>
      </w:r>
      <w:r w:rsidR="0042211A" w:rsidRPr="00841177">
        <w:rPr>
          <w:rFonts w:ascii="Arial" w:hAnsi="Arial" w:cs="Arial"/>
          <w:color w:val="010000"/>
          <w:sz w:val="20"/>
        </w:rPr>
        <w:t>ering organization</w:t>
      </w:r>
      <w:r w:rsidRPr="00841177">
        <w:rPr>
          <w:rFonts w:ascii="Arial" w:hAnsi="Arial" w:cs="Arial"/>
          <w:color w:val="010000"/>
          <w:sz w:val="20"/>
        </w:rPr>
        <w:t xml:space="preserve">: Viet Capital Bank </w:t>
      </w:r>
    </w:p>
    <w:p w14:paraId="00000004" w14:textId="3AF3781C" w:rsidR="00FF1D87" w:rsidRPr="00841177" w:rsidRDefault="00D248A1" w:rsidP="00A33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 xml:space="preserve">English name: Viet Capital </w:t>
      </w:r>
      <w:r w:rsidR="0042211A" w:rsidRPr="00841177">
        <w:rPr>
          <w:rFonts w:ascii="Arial" w:hAnsi="Arial" w:cs="Arial"/>
          <w:color w:val="010000"/>
          <w:sz w:val="20"/>
        </w:rPr>
        <w:t>Commercial Joint Stock Bank</w:t>
      </w:r>
    </w:p>
    <w:p w14:paraId="00000005" w14:textId="77777777" w:rsidR="00FF1D87" w:rsidRPr="00841177" w:rsidRDefault="00D248A1" w:rsidP="00A33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Abbreviated name: Viet Capital Bank</w:t>
      </w:r>
    </w:p>
    <w:p w14:paraId="00000006" w14:textId="77777777" w:rsidR="00FF1D87" w:rsidRPr="00841177" w:rsidRDefault="00D248A1" w:rsidP="00A33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Head office: HM Town Building, No. 412 Nguyen Thi Minh Khai Street, Ward 05, District 3, Ho Chi Minh City.</w:t>
      </w:r>
    </w:p>
    <w:p w14:paraId="00000007" w14:textId="77777777" w:rsidR="00FF1D87" w:rsidRPr="00841177" w:rsidRDefault="00D248A1" w:rsidP="00A33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326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Tel: 028 62679679</w:t>
      </w:r>
      <w:r w:rsidRPr="00841177">
        <w:rPr>
          <w:rFonts w:ascii="Arial" w:hAnsi="Arial" w:cs="Arial"/>
          <w:color w:val="010000"/>
          <w:sz w:val="20"/>
        </w:rPr>
        <w:tab/>
        <w:t xml:space="preserve"> Fax: 028.62638668</w:t>
      </w:r>
    </w:p>
    <w:p w14:paraId="00000008" w14:textId="06359662" w:rsidR="00FF1D87" w:rsidRPr="00841177" w:rsidRDefault="00D248A1" w:rsidP="00A33E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Charter capital:</w:t>
      </w:r>
      <w:r w:rsidR="0042211A" w:rsidRPr="00841177">
        <w:rPr>
          <w:rFonts w:ascii="Arial" w:hAnsi="Arial" w:cs="Arial"/>
          <w:color w:val="010000"/>
          <w:sz w:val="20"/>
        </w:rPr>
        <w:t xml:space="preserve"> </w:t>
      </w:r>
      <w:r w:rsidRPr="00841177">
        <w:rPr>
          <w:rFonts w:ascii="Arial" w:hAnsi="Arial" w:cs="Arial"/>
          <w:color w:val="010000"/>
          <w:sz w:val="20"/>
        </w:rPr>
        <w:t>VND 5,016,800,000,000</w:t>
      </w:r>
    </w:p>
    <w:p w14:paraId="00000009" w14:textId="4DA34555" w:rsidR="00FF1D87" w:rsidRPr="00841177" w:rsidRDefault="00D248A1" w:rsidP="00A33E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 xml:space="preserve">Business Registration Certificate for joint stock company No. 0301378892, first issued by Ho Chi Minh City Department of Planning and Investment on October 16, 1992, and </w:t>
      </w:r>
      <w:r w:rsidR="0042211A" w:rsidRPr="00841177">
        <w:rPr>
          <w:rFonts w:ascii="Arial" w:hAnsi="Arial" w:cs="Arial"/>
          <w:color w:val="010000"/>
          <w:sz w:val="20"/>
        </w:rPr>
        <w:t>issued</w:t>
      </w:r>
      <w:r w:rsidRPr="00841177">
        <w:rPr>
          <w:rFonts w:ascii="Arial" w:hAnsi="Arial" w:cs="Arial"/>
          <w:color w:val="010000"/>
          <w:sz w:val="20"/>
        </w:rPr>
        <w:t xml:space="preserve"> for the 30th change on June 19, 2023.</w:t>
      </w:r>
    </w:p>
    <w:p w14:paraId="0000000A" w14:textId="2F75D642" w:rsidR="00FF1D87" w:rsidRPr="00841177" w:rsidRDefault="0042211A" w:rsidP="00A33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 xml:space="preserve">Name of Bond: </w:t>
      </w:r>
      <w:r w:rsidR="00D248A1" w:rsidRPr="00841177">
        <w:rPr>
          <w:rFonts w:ascii="Arial" w:hAnsi="Arial" w:cs="Arial"/>
          <w:color w:val="010000"/>
          <w:sz w:val="20"/>
        </w:rPr>
        <w:t>BVB bonds issued to the public in 2021-2022 (</w:t>
      </w:r>
      <w:r w:rsidRPr="00841177">
        <w:rPr>
          <w:rFonts w:ascii="Arial" w:hAnsi="Arial" w:cs="Arial"/>
          <w:color w:val="010000"/>
          <w:sz w:val="20"/>
        </w:rPr>
        <w:t>Round</w:t>
      </w:r>
      <w:r w:rsidR="00D248A1" w:rsidRPr="00841177">
        <w:rPr>
          <w:rFonts w:ascii="Arial" w:hAnsi="Arial" w:cs="Arial"/>
          <w:color w:val="010000"/>
          <w:sz w:val="20"/>
        </w:rPr>
        <w:t xml:space="preserve"> 3)</w:t>
      </w:r>
    </w:p>
    <w:p w14:paraId="0000000B" w14:textId="56A95BAC" w:rsidR="00FF1D87" w:rsidRPr="00841177" w:rsidRDefault="0042211A" w:rsidP="00A33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Bond</w:t>
      </w:r>
      <w:r w:rsidR="00D248A1" w:rsidRPr="00841177">
        <w:rPr>
          <w:rFonts w:ascii="Arial" w:hAnsi="Arial" w:cs="Arial"/>
          <w:color w:val="010000"/>
          <w:sz w:val="20"/>
        </w:rPr>
        <w:t xml:space="preserve"> type: </w:t>
      </w:r>
      <w:r w:rsidRPr="00841177">
        <w:rPr>
          <w:rFonts w:ascii="Arial" w:hAnsi="Arial" w:cs="Arial"/>
          <w:color w:val="010000"/>
          <w:sz w:val="20"/>
        </w:rPr>
        <w:t>C</w:t>
      </w:r>
      <w:r w:rsidR="00D248A1" w:rsidRPr="00841177">
        <w:rPr>
          <w:rFonts w:ascii="Arial" w:hAnsi="Arial" w:cs="Arial"/>
          <w:color w:val="010000"/>
          <w:sz w:val="20"/>
        </w:rPr>
        <w:t>orporate bonds</w:t>
      </w:r>
    </w:p>
    <w:p w14:paraId="0000000C" w14:textId="13D9FFB8" w:rsidR="00FF1D87" w:rsidRPr="00841177" w:rsidRDefault="0042211A" w:rsidP="00A33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 xml:space="preserve">Bond </w:t>
      </w:r>
      <w:r w:rsidR="00D248A1" w:rsidRPr="00841177">
        <w:rPr>
          <w:rFonts w:ascii="Arial" w:hAnsi="Arial" w:cs="Arial"/>
          <w:color w:val="010000"/>
          <w:sz w:val="20"/>
        </w:rPr>
        <w:t>code: BVB123025</w:t>
      </w:r>
    </w:p>
    <w:p w14:paraId="0000000D" w14:textId="77777777" w:rsidR="00FF1D87" w:rsidRPr="00841177" w:rsidRDefault="00D248A1" w:rsidP="00A33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ISIN code: VNBVB1230255</w:t>
      </w:r>
    </w:p>
    <w:p w14:paraId="0000000E" w14:textId="77777777" w:rsidR="00FF1D87" w:rsidRPr="00841177" w:rsidRDefault="00D248A1" w:rsidP="00A33E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Par value: VND 100,000</w:t>
      </w:r>
    </w:p>
    <w:p w14:paraId="0000000F" w14:textId="232B22FE" w:rsidR="00FF1D87" w:rsidRPr="00841177" w:rsidRDefault="00D248A1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 xml:space="preserve">Total </w:t>
      </w:r>
      <w:r w:rsidR="0042211A" w:rsidRPr="00841177">
        <w:rPr>
          <w:rFonts w:ascii="Arial" w:hAnsi="Arial" w:cs="Arial"/>
          <w:color w:val="010000"/>
          <w:sz w:val="20"/>
        </w:rPr>
        <w:t>number</w:t>
      </w:r>
      <w:r w:rsidRPr="00841177">
        <w:rPr>
          <w:rFonts w:ascii="Arial" w:hAnsi="Arial" w:cs="Arial"/>
          <w:color w:val="010000"/>
          <w:sz w:val="20"/>
        </w:rPr>
        <w:t xml:space="preserve"> of registered bonds: 3,843,800 bonds</w:t>
      </w:r>
    </w:p>
    <w:p w14:paraId="00000010" w14:textId="77777777" w:rsidR="00FF1D87" w:rsidRPr="00841177" w:rsidRDefault="00D248A1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Total value of registered bonds: VND 384,380,000,000</w:t>
      </w:r>
    </w:p>
    <w:p w14:paraId="00000011" w14:textId="4575BC78" w:rsidR="00FF1D87" w:rsidRPr="00841177" w:rsidRDefault="0042211A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Form</w:t>
      </w:r>
      <w:r w:rsidR="00D248A1" w:rsidRPr="00841177">
        <w:rPr>
          <w:rFonts w:ascii="Arial" w:hAnsi="Arial" w:cs="Arial"/>
          <w:color w:val="010000"/>
          <w:sz w:val="20"/>
        </w:rPr>
        <w:t xml:space="preserve"> of issuance: Pubic offering</w:t>
      </w:r>
    </w:p>
    <w:p w14:paraId="00000012" w14:textId="2A800530" w:rsidR="00FF1D87" w:rsidRPr="00841177" w:rsidRDefault="00D248A1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5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Bond terms</w:t>
      </w:r>
      <w:r w:rsidR="0042211A" w:rsidRPr="00841177">
        <w:rPr>
          <w:rFonts w:ascii="Arial" w:hAnsi="Arial" w:cs="Arial"/>
          <w:color w:val="010000"/>
          <w:sz w:val="20"/>
        </w:rPr>
        <w:t>:</w:t>
      </w:r>
      <w:r w:rsidRPr="00841177">
        <w:rPr>
          <w:rFonts w:ascii="Arial" w:hAnsi="Arial" w:cs="Arial"/>
          <w:color w:val="010000"/>
          <w:sz w:val="20"/>
        </w:rPr>
        <w:t xml:space="preserve"> 6 year</w:t>
      </w:r>
      <w:r w:rsidR="00A33ECC">
        <w:rPr>
          <w:rFonts w:ascii="Arial" w:hAnsi="Arial" w:cs="Arial"/>
          <w:color w:val="010000"/>
          <w:sz w:val="20"/>
        </w:rPr>
        <w:t>s</w:t>
      </w:r>
      <w:bookmarkStart w:id="1" w:name="_GoBack"/>
      <w:bookmarkEnd w:id="1"/>
    </w:p>
    <w:p w14:paraId="00000013" w14:textId="77777777" w:rsidR="00FF1D87" w:rsidRPr="00841177" w:rsidRDefault="00D248A1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5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The issuance date: August 22, 2023.</w:t>
      </w:r>
    </w:p>
    <w:p w14:paraId="00000014" w14:textId="276A939B" w:rsidR="00FF1D87" w:rsidRPr="00841177" w:rsidRDefault="00D248A1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60"/>
          <w:tab w:val="left" w:pos="273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Maturity date: August 22, 2029.</w:t>
      </w:r>
    </w:p>
    <w:p w14:paraId="00000015" w14:textId="77777777" w:rsidR="00FF1D87" w:rsidRPr="00841177" w:rsidRDefault="00D248A1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Interest rate: 9.0%/year</w:t>
      </w:r>
    </w:p>
    <w:p w14:paraId="00000016" w14:textId="2EA43EBB" w:rsidR="00FF1D87" w:rsidRPr="00841177" w:rsidRDefault="00D248A1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Interest payment term</w:t>
      </w:r>
      <w:r w:rsidR="00890D2D" w:rsidRPr="00841177">
        <w:rPr>
          <w:rFonts w:ascii="Arial" w:hAnsi="Arial" w:cs="Arial"/>
          <w:color w:val="010000"/>
          <w:sz w:val="20"/>
        </w:rPr>
        <w:t>:</w:t>
      </w:r>
      <w:r w:rsidRPr="00841177">
        <w:rPr>
          <w:rFonts w:ascii="Arial" w:hAnsi="Arial" w:cs="Arial"/>
          <w:color w:val="010000"/>
          <w:sz w:val="20"/>
        </w:rPr>
        <w:t xml:space="preserve"> Every 12 months.</w:t>
      </w:r>
    </w:p>
    <w:p w14:paraId="00000017" w14:textId="04F78DD8" w:rsidR="00FF1D87" w:rsidRPr="00841177" w:rsidRDefault="00D248A1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5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 xml:space="preserve">Interest payment method: Interest is paid </w:t>
      </w:r>
      <w:r w:rsidR="00890D2D" w:rsidRPr="00841177">
        <w:rPr>
          <w:rFonts w:ascii="Arial" w:hAnsi="Arial" w:cs="Arial"/>
          <w:color w:val="010000"/>
          <w:sz w:val="20"/>
        </w:rPr>
        <w:t>in arrears</w:t>
      </w:r>
      <w:r w:rsidRPr="00841177">
        <w:rPr>
          <w:rFonts w:ascii="Arial" w:hAnsi="Arial" w:cs="Arial"/>
          <w:color w:val="010000"/>
          <w:sz w:val="20"/>
        </w:rPr>
        <w:t>, once annually.</w:t>
      </w:r>
    </w:p>
    <w:p w14:paraId="00000018" w14:textId="063224E2" w:rsidR="00FF1D87" w:rsidRPr="00841177" w:rsidRDefault="00D248A1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8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 xml:space="preserve">Principal payment method: Principal is lump-sum paid </w:t>
      </w:r>
      <w:r w:rsidR="00890D2D" w:rsidRPr="00841177">
        <w:rPr>
          <w:rFonts w:ascii="Arial" w:hAnsi="Arial" w:cs="Arial"/>
          <w:color w:val="010000"/>
          <w:sz w:val="20"/>
        </w:rPr>
        <w:t>at the</w:t>
      </w:r>
      <w:r w:rsidRPr="00841177">
        <w:rPr>
          <w:rFonts w:ascii="Arial" w:hAnsi="Arial" w:cs="Arial"/>
          <w:color w:val="010000"/>
          <w:sz w:val="20"/>
        </w:rPr>
        <w:t xml:space="preserve"> maturity</w:t>
      </w:r>
      <w:r w:rsidR="00890D2D" w:rsidRPr="00841177">
        <w:rPr>
          <w:rFonts w:ascii="Arial" w:hAnsi="Arial" w:cs="Arial"/>
          <w:color w:val="010000"/>
          <w:sz w:val="20"/>
        </w:rPr>
        <w:t xml:space="preserve"> date</w:t>
      </w:r>
      <w:r w:rsidRPr="00841177">
        <w:rPr>
          <w:rFonts w:ascii="Arial" w:hAnsi="Arial" w:cs="Arial"/>
          <w:color w:val="010000"/>
          <w:sz w:val="20"/>
        </w:rPr>
        <w:t xml:space="preserve"> or on </w:t>
      </w:r>
      <w:r w:rsidR="00890D2D" w:rsidRPr="00841177">
        <w:rPr>
          <w:rFonts w:ascii="Arial" w:hAnsi="Arial" w:cs="Arial"/>
          <w:color w:val="010000"/>
          <w:sz w:val="20"/>
        </w:rPr>
        <w:t>the early redemption</w:t>
      </w:r>
      <w:r w:rsidRPr="00841177">
        <w:rPr>
          <w:rFonts w:ascii="Arial" w:hAnsi="Arial" w:cs="Arial"/>
          <w:color w:val="010000"/>
          <w:sz w:val="20"/>
        </w:rPr>
        <w:t xml:space="preserve"> date according to regulations.</w:t>
      </w:r>
    </w:p>
    <w:p w14:paraId="00000019" w14:textId="43E428E2" w:rsidR="00FF1D87" w:rsidRPr="00841177" w:rsidRDefault="00D248A1" w:rsidP="00A33E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5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t>Registration form:</w:t>
      </w:r>
      <w:r w:rsidR="00890D2D" w:rsidRPr="00841177">
        <w:rPr>
          <w:rFonts w:ascii="Arial" w:hAnsi="Arial" w:cs="Arial"/>
          <w:color w:val="010000"/>
          <w:sz w:val="20"/>
        </w:rPr>
        <w:t xml:space="preserve"> Book </w:t>
      </w:r>
      <w:r w:rsidRPr="00841177">
        <w:rPr>
          <w:rFonts w:ascii="Arial" w:hAnsi="Arial" w:cs="Arial"/>
          <w:color w:val="010000"/>
          <w:sz w:val="20"/>
        </w:rPr>
        <w:t>Record</w:t>
      </w:r>
    </w:p>
    <w:p w14:paraId="0000001A" w14:textId="53C6216A" w:rsidR="00FF1D87" w:rsidRPr="00841177" w:rsidRDefault="00D248A1" w:rsidP="00A33E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841177">
        <w:rPr>
          <w:rFonts w:ascii="Arial" w:hAnsi="Arial" w:cs="Arial"/>
          <w:color w:val="010000"/>
          <w:sz w:val="20"/>
        </w:rPr>
        <w:t>Viet</w:t>
      </w:r>
      <w:r w:rsidR="001E1E27">
        <w:rPr>
          <w:rFonts w:ascii="Arial" w:hAnsi="Arial" w:cs="Arial"/>
          <w:color w:val="010000"/>
          <w:sz w:val="20"/>
        </w:rPr>
        <w:t>n</w:t>
      </w:r>
      <w:r w:rsidRPr="00841177">
        <w:rPr>
          <w:rFonts w:ascii="Arial" w:hAnsi="Arial" w:cs="Arial"/>
          <w:color w:val="010000"/>
          <w:sz w:val="20"/>
        </w:rPr>
        <w:t xml:space="preserve">am Securities Depository and Clearing Corporation </w:t>
      </w:r>
      <w:proofErr w:type="gramStart"/>
      <w:r w:rsidRPr="00841177">
        <w:rPr>
          <w:rFonts w:ascii="Arial" w:hAnsi="Arial" w:cs="Arial"/>
          <w:color w:val="010000"/>
          <w:sz w:val="20"/>
        </w:rPr>
        <w:t>has</w:t>
      </w:r>
      <w:proofErr w:type="gramEnd"/>
      <w:r w:rsidRPr="00841177">
        <w:rPr>
          <w:rFonts w:ascii="Arial" w:hAnsi="Arial" w:cs="Arial"/>
          <w:color w:val="010000"/>
          <w:sz w:val="20"/>
        </w:rPr>
        <w:t xml:space="preserve"> </w:t>
      </w:r>
      <w:r w:rsidR="00890D2D" w:rsidRPr="00841177">
        <w:rPr>
          <w:rFonts w:ascii="Arial" w:hAnsi="Arial" w:cs="Arial"/>
          <w:color w:val="010000"/>
          <w:sz w:val="20"/>
        </w:rPr>
        <w:t>deposited</w:t>
      </w:r>
      <w:r w:rsidRPr="00841177">
        <w:rPr>
          <w:rFonts w:ascii="Arial" w:hAnsi="Arial" w:cs="Arial"/>
          <w:color w:val="010000"/>
          <w:sz w:val="20"/>
        </w:rPr>
        <w:t xml:space="preserve"> BVB123025 bonds since November 16, 2023.</w:t>
      </w:r>
    </w:p>
    <w:p w14:paraId="0000001B" w14:textId="4A3BE835" w:rsidR="00FF1D87" w:rsidRPr="00841177" w:rsidRDefault="00D248A1" w:rsidP="00A33EC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841177">
        <w:rPr>
          <w:rFonts w:ascii="Arial" w:hAnsi="Arial" w:cs="Arial"/>
          <w:color w:val="010000"/>
          <w:sz w:val="20"/>
        </w:rPr>
        <w:lastRenderedPageBreak/>
        <w:t xml:space="preserve">Notes: Viet Capital Bank registered to list BVB123025 </w:t>
      </w:r>
      <w:r w:rsidR="00841177" w:rsidRPr="00841177">
        <w:rPr>
          <w:rFonts w:ascii="Arial" w:hAnsi="Arial" w:cs="Arial"/>
          <w:color w:val="010000"/>
          <w:sz w:val="20"/>
        </w:rPr>
        <w:t xml:space="preserve">bonds </w:t>
      </w:r>
      <w:r w:rsidRPr="00841177">
        <w:rPr>
          <w:rFonts w:ascii="Arial" w:hAnsi="Arial" w:cs="Arial"/>
          <w:color w:val="010000"/>
          <w:sz w:val="20"/>
        </w:rPr>
        <w:t xml:space="preserve">at </w:t>
      </w:r>
      <w:r w:rsidR="00841177" w:rsidRPr="00841177">
        <w:rPr>
          <w:rFonts w:ascii="Arial" w:hAnsi="Arial" w:cs="Arial"/>
          <w:color w:val="010000"/>
          <w:sz w:val="20"/>
        </w:rPr>
        <w:t xml:space="preserve">the </w:t>
      </w:r>
      <w:r w:rsidRPr="00841177">
        <w:rPr>
          <w:rFonts w:ascii="Arial" w:hAnsi="Arial" w:cs="Arial"/>
          <w:color w:val="010000"/>
          <w:sz w:val="20"/>
        </w:rPr>
        <w:t>Hanoi Stock Exchange. The listing and trading of bonds are carried out according to the Decision of Hanoi Stock Exchange.</w:t>
      </w:r>
    </w:p>
    <w:sectPr w:rsidR="00FF1D87" w:rsidRPr="00841177" w:rsidSect="00D248A1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83DD8"/>
    <w:multiLevelType w:val="multilevel"/>
    <w:tmpl w:val="DAEC45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start w:val="1"/>
      <w:numFmt w:val="bullet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B69235E"/>
    <w:multiLevelType w:val="multilevel"/>
    <w:tmpl w:val="7A6847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start w:val="1"/>
      <w:numFmt w:val="bullet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DA55228"/>
    <w:multiLevelType w:val="multilevel"/>
    <w:tmpl w:val="12409D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start w:val="1"/>
      <w:numFmt w:val="bullet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87"/>
    <w:rsid w:val="001E1E27"/>
    <w:rsid w:val="0042211A"/>
    <w:rsid w:val="006C0971"/>
    <w:rsid w:val="00841177"/>
    <w:rsid w:val="00890D2D"/>
    <w:rsid w:val="008D1B64"/>
    <w:rsid w:val="00A33ECC"/>
    <w:rsid w:val="00BF60B2"/>
    <w:rsid w:val="00D248A1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DE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lang w:eastAsia="vi-VN" w:bidi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2">
    <w:name w:val="Văn bản nội dung (2)_"/>
    <w:basedOn w:val="DefaultParagraphFont"/>
    <w:link w:val="Vnbnnidung20"/>
    <w:qFormat/>
    <w:rPr>
      <w:rFonts w:ascii="Times New Roman" w:eastAsia="Times New Roman" w:hAnsi="Times New Roman" w:cs="Times New Roman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qFormat/>
    <w:pPr>
      <w:ind w:firstLine="320"/>
    </w:pPr>
    <w:rPr>
      <w:rFonts w:ascii="Times New Roman" w:eastAsia="Times New Roman" w:hAnsi="Times New Roman" w:cs="Times New Roman"/>
    </w:rPr>
  </w:style>
  <w:style w:type="character" w:customStyle="1" w:styleId="Vnbnnidung">
    <w:name w:val="Văn bản nội dung_"/>
    <w:basedOn w:val="DefaultParagraphFont"/>
    <w:link w:val="Vnbnnidung0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qFormat/>
    <w:pPr>
      <w:spacing w:line="298" w:lineRule="auto"/>
      <w:ind w:firstLine="25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w w:val="70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qFormat/>
    <w:pPr>
      <w:ind w:left="880"/>
    </w:pPr>
    <w:rPr>
      <w:rFonts w:ascii="Arial" w:eastAsia="Arial" w:hAnsi="Arial" w:cs="Arial"/>
      <w:w w:val="70"/>
    </w:rPr>
  </w:style>
  <w:style w:type="character" w:customStyle="1" w:styleId="Vnbnnidung3">
    <w:name w:val="Văn bản nội dung (3)_"/>
    <w:basedOn w:val="DefaultParagraphFont"/>
    <w:link w:val="Vnbnnidung30"/>
    <w:qFormat/>
    <w:rPr>
      <w:rFonts w:ascii="Tahoma" w:eastAsia="Tahoma" w:hAnsi="Tahoma" w:cs="Tahoma"/>
      <w:w w:val="70"/>
      <w:sz w:val="18"/>
      <w:szCs w:val="18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qFormat/>
    <w:rPr>
      <w:rFonts w:ascii="Tahoma" w:eastAsia="Tahoma" w:hAnsi="Tahoma" w:cs="Tahoma"/>
      <w:w w:val="70"/>
      <w:sz w:val="18"/>
      <w:szCs w:val="18"/>
    </w:rPr>
  </w:style>
  <w:style w:type="character" w:customStyle="1" w:styleId="Vnbnnidung5">
    <w:name w:val="Văn bản nội dung (5)_"/>
    <w:basedOn w:val="DefaultParagraphFont"/>
    <w:link w:val="Vnbnnidung50"/>
    <w:qFormat/>
    <w:rPr>
      <w:rFonts w:ascii="Cambria" w:eastAsia="Cambria" w:hAnsi="Cambria" w:cs="Cambria"/>
      <w:b/>
      <w:bCs/>
      <w:w w:val="100"/>
      <w:sz w:val="20"/>
      <w:szCs w:val="20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qFormat/>
    <w:rPr>
      <w:rFonts w:ascii="Cambria" w:eastAsia="Cambria" w:hAnsi="Cambria" w:cs="Cambria"/>
      <w:b/>
      <w:bCs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u w:val="none"/>
      <w:shd w:val="clear" w:color="auto" w:fill="auto"/>
    </w:rPr>
  </w:style>
  <w:style w:type="paragraph" w:customStyle="1" w:styleId="Chthchbng0">
    <w:name w:val="Chú thích bảng"/>
    <w:basedOn w:val="Normal"/>
    <w:link w:val="Chthchbng"/>
    <w:qFormat/>
    <w:pPr>
      <w:spacing w:line="322" w:lineRule="auto"/>
      <w:ind w:firstLine="330"/>
    </w:pPr>
    <w:rPr>
      <w:rFonts w:ascii="Times New Roman" w:eastAsia="Times New Roman" w:hAnsi="Times New Roman" w:cs="Times New Roman"/>
    </w:rPr>
  </w:style>
  <w:style w:type="character" w:customStyle="1" w:styleId="Khc">
    <w:name w:val="Khác_"/>
    <w:basedOn w:val="DefaultParagraphFont"/>
    <w:link w:val="Khc0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Khc0">
    <w:name w:val="Khác"/>
    <w:basedOn w:val="Normal"/>
    <w:link w:val="Khc"/>
    <w:pPr>
      <w:spacing w:line="298" w:lineRule="auto"/>
      <w:ind w:firstLine="25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iu1">
    <w:name w:val="Tiêu đề #1_"/>
    <w:basedOn w:val="DefaultParagraphFont"/>
    <w:link w:val="Tiu10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pPr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lang w:eastAsia="vi-VN" w:bidi="vi-V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2">
    <w:name w:val="Văn bản nội dung (2)_"/>
    <w:basedOn w:val="DefaultParagraphFont"/>
    <w:link w:val="Vnbnnidung20"/>
    <w:qFormat/>
    <w:rPr>
      <w:rFonts w:ascii="Times New Roman" w:eastAsia="Times New Roman" w:hAnsi="Times New Roman" w:cs="Times New Roman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qFormat/>
    <w:pPr>
      <w:ind w:firstLine="320"/>
    </w:pPr>
    <w:rPr>
      <w:rFonts w:ascii="Times New Roman" w:eastAsia="Times New Roman" w:hAnsi="Times New Roman" w:cs="Times New Roman"/>
    </w:rPr>
  </w:style>
  <w:style w:type="character" w:customStyle="1" w:styleId="Vnbnnidung">
    <w:name w:val="Văn bản nội dung_"/>
    <w:basedOn w:val="DefaultParagraphFont"/>
    <w:link w:val="Vnbnnidung0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qFormat/>
    <w:pPr>
      <w:spacing w:line="298" w:lineRule="auto"/>
      <w:ind w:firstLine="25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w w:val="70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qFormat/>
    <w:pPr>
      <w:ind w:left="880"/>
    </w:pPr>
    <w:rPr>
      <w:rFonts w:ascii="Arial" w:eastAsia="Arial" w:hAnsi="Arial" w:cs="Arial"/>
      <w:w w:val="70"/>
    </w:rPr>
  </w:style>
  <w:style w:type="character" w:customStyle="1" w:styleId="Vnbnnidung3">
    <w:name w:val="Văn bản nội dung (3)_"/>
    <w:basedOn w:val="DefaultParagraphFont"/>
    <w:link w:val="Vnbnnidung30"/>
    <w:qFormat/>
    <w:rPr>
      <w:rFonts w:ascii="Tahoma" w:eastAsia="Tahoma" w:hAnsi="Tahoma" w:cs="Tahoma"/>
      <w:w w:val="70"/>
      <w:sz w:val="18"/>
      <w:szCs w:val="18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qFormat/>
    <w:rPr>
      <w:rFonts w:ascii="Tahoma" w:eastAsia="Tahoma" w:hAnsi="Tahoma" w:cs="Tahoma"/>
      <w:w w:val="70"/>
      <w:sz w:val="18"/>
      <w:szCs w:val="18"/>
    </w:rPr>
  </w:style>
  <w:style w:type="character" w:customStyle="1" w:styleId="Vnbnnidung5">
    <w:name w:val="Văn bản nội dung (5)_"/>
    <w:basedOn w:val="DefaultParagraphFont"/>
    <w:link w:val="Vnbnnidung50"/>
    <w:qFormat/>
    <w:rPr>
      <w:rFonts w:ascii="Cambria" w:eastAsia="Cambria" w:hAnsi="Cambria" w:cs="Cambria"/>
      <w:b/>
      <w:bCs/>
      <w:w w:val="100"/>
      <w:sz w:val="20"/>
      <w:szCs w:val="20"/>
      <w:u w:val="none"/>
      <w:shd w:val="clear" w:color="auto" w:fill="auto"/>
    </w:rPr>
  </w:style>
  <w:style w:type="paragraph" w:customStyle="1" w:styleId="Vnbnnidung50">
    <w:name w:val="Văn bản nội dung (5)"/>
    <w:basedOn w:val="Normal"/>
    <w:link w:val="Vnbnnidung5"/>
    <w:qFormat/>
    <w:rPr>
      <w:rFonts w:ascii="Cambria" w:eastAsia="Cambria" w:hAnsi="Cambria" w:cs="Cambria"/>
      <w:b/>
      <w:bCs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u w:val="none"/>
      <w:shd w:val="clear" w:color="auto" w:fill="auto"/>
    </w:rPr>
  </w:style>
  <w:style w:type="paragraph" w:customStyle="1" w:styleId="Chthchbng0">
    <w:name w:val="Chú thích bảng"/>
    <w:basedOn w:val="Normal"/>
    <w:link w:val="Chthchbng"/>
    <w:qFormat/>
    <w:pPr>
      <w:spacing w:line="322" w:lineRule="auto"/>
      <w:ind w:firstLine="330"/>
    </w:pPr>
    <w:rPr>
      <w:rFonts w:ascii="Times New Roman" w:eastAsia="Times New Roman" w:hAnsi="Times New Roman" w:cs="Times New Roman"/>
    </w:rPr>
  </w:style>
  <w:style w:type="character" w:customStyle="1" w:styleId="Khc">
    <w:name w:val="Khác_"/>
    <w:basedOn w:val="DefaultParagraphFont"/>
    <w:link w:val="Khc0"/>
    <w:qFormat/>
    <w:rPr>
      <w:rFonts w:ascii="Times New Roman" w:eastAsia="Times New Roman" w:hAnsi="Times New Roman" w:cs="Times New Roman"/>
      <w:b/>
      <w:bCs/>
      <w:sz w:val="22"/>
      <w:szCs w:val="22"/>
      <w:u w:val="none"/>
      <w:shd w:val="clear" w:color="auto" w:fill="auto"/>
    </w:rPr>
  </w:style>
  <w:style w:type="paragraph" w:customStyle="1" w:styleId="Khc0">
    <w:name w:val="Khác"/>
    <w:basedOn w:val="Normal"/>
    <w:link w:val="Khc"/>
    <w:pPr>
      <w:spacing w:line="298" w:lineRule="auto"/>
      <w:ind w:firstLine="25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iu1">
    <w:name w:val="Tiêu đề #1_"/>
    <w:basedOn w:val="DefaultParagraphFont"/>
    <w:link w:val="Tiu10"/>
    <w:qFormat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auto"/>
    </w:rPr>
  </w:style>
  <w:style w:type="paragraph" w:customStyle="1" w:styleId="Tiu10">
    <w:name w:val="Tiêu đề #1"/>
    <w:basedOn w:val="Normal"/>
    <w:link w:val="Tiu1"/>
    <w:pPr>
      <w:ind w:left="10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56WSusJgRoVMrhL9exPUpuYGg==">CgMxLjAyCGguZ2pkZ3hzOAByITFKZEQ5blY2NjdVcUdqZjcyWmR4aS1vQll4d0VaZWtTbw==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Tran Ha Anh</cp:lastModifiedBy>
  <cp:revision>10</cp:revision>
  <dcterms:created xsi:type="dcterms:W3CDTF">2023-11-24T03:11:00Z</dcterms:created>
  <dcterms:modified xsi:type="dcterms:W3CDTF">2023-11-27T03:50:00Z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A7B4A43384614D649C4B368C2248640C_12</vt:lpwstr>
  </property>
  <property fmtid="{D5CDD505-2E9C-101B-9397-08002B2CF9AE}" pid="4" name="GrammarlyDocumentId">
    <vt:lpwstr>281fa4ab3c8cb1919a4d0118aa82ae24a54c8c653677b55c8bf68bdd5e0a00c4</vt:lpwstr>
  </property>
</Properties>
</file>