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796D" w:rsidRPr="00617A41" w:rsidRDefault="00FD379B" w:rsidP="00FD379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617A41">
        <w:rPr>
          <w:rFonts w:ascii="Arial" w:hAnsi="Arial" w:cs="Arial"/>
          <w:b/>
          <w:color w:val="010000"/>
          <w:sz w:val="20"/>
        </w:rPr>
        <w:t>DLM</w:t>
      </w:r>
      <w:proofErr w:type="spellEnd"/>
      <w:r w:rsidRPr="00617A41">
        <w:rPr>
          <w:rFonts w:ascii="Arial" w:hAnsi="Arial" w:cs="Arial"/>
          <w:b/>
          <w:color w:val="010000"/>
          <w:sz w:val="20"/>
        </w:rPr>
        <w:t xml:space="preserve">: Board Resolution </w:t>
      </w:r>
    </w:p>
    <w:p w14:paraId="00000002" w14:textId="77777777" w:rsidR="00B1796D" w:rsidRPr="00617A41" w:rsidRDefault="00FD379B" w:rsidP="00FD37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7A41">
        <w:rPr>
          <w:rFonts w:ascii="Arial" w:hAnsi="Arial" w:cs="Arial"/>
          <w:color w:val="010000"/>
          <w:sz w:val="20"/>
        </w:rPr>
        <w:t>On November 17, 2023, Da Nang Public Lighting Joint Stock Company announced Resolution No. 37/NQ-</w:t>
      </w:r>
      <w:proofErr w:type="spellStart"/>
      <w:r w:rsidRPr="00617A41">
        <w:rPr>
          <w:rFonts w:ascii="Arial" w:hAnsi="Arial" w:cs="Arial"/>
          <w:color w:val="010000"/>
          <w:sz w:val="20"/>
        </w:rPr>
        <w:t>HDQT</w:t>
      </w:r>
      <w:proofErr w:type="spellEnd"/>
      <w:r w:rsidRPr="00617A41">
        <w:rPr>
          <w:rFonts w:ascii="Arial" w:hAnsi="Arial" w:cs="Arial"/>
          <w:color w:val="010000"/>
          <w:sz w:val="20"/>
        </w:rPr>
        <w:t xml:space="preserve"> on recording the list of shareholders to pay dividends in cash in 2022 as follows:</w:t>
      </w:r>
    </w:p>
    <w:p w14:paraId="00000003" w14:textId="77777777" w:rsidR="00B1796D" w:rsidRPr="00617A41" w:rsidRDefault="00FD379B" w:rsidP="00FD37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7A41">
        <w:rPr>
          <w:rFonts w:ascii="Arial" w:hAnsi="Arial" w:cs="Arial"/>
          <w:color w:val="010000"/>
          <w:sz w:val="20"/>
        </w:rPr>
        <w:t>Article 1: Approve recording the list of shareholders to pay dividends in cash in 2022, as follows:</w:t>
      </w:r>
    </w:p>
    <w:p w14:paraId="00000004" w14:textId="77777777" w:rsidR="00B1796D" w:rsidRPr="00617A41" w:rsidRDefault="00FD379B" w:rsidP="00FD379B">
      <w:pPr>
        <w:numPr>
          <w:ilvl w:val="0"/>
          <w:numId w:val="1"/>
        </w:numPr>
        <w:pBdr>
          <w:top w:val="nil"/>
          <w:left w:val="nil"/>
          <w:bottom w:val="nil"/>
          <w:right w:val="nil"/>
          <w:between w:val="nil"/>
        </w:pBdr>
        <w:tabs>
          <w:tab w:val="left" w:pos="432"/>
          <w:tab w:val="left" w:pos="1526"/>
        </w:tabs>
        <w:spacing w:after="120" w:line="360" w:lineRule="auto"/>
        <w:rPr>
          <w:rFonts w:ascii="Arial" w:eastAsia="Arial" w:hAnsi="Arial" w:cs="Arial"/>
          <w:color w:val="010000"/>
          <w:sz w:val="20"/>
          <w:szCs w:val="20"/>
        </w:rPr>
      </w:pPr>
      <w:r w:rsidRPr="00617A41">
        <w:rPr>
          <w:rFonts w:ascii="Arial" w:hAnsi="Arial" w:cs="Arial"/>
          <w:color w:val="010000"/>
          <w:sz w:val="20"/>
        </w:rPr>
        <w:t>Securities name: Shares of Da Nang Public Lighting Joint Stock Company</w:t>
      </w:r>
    </w:p>
    <w:p w14:paraId="00000005"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 xml:space="preserve">Securities code: </w:t>
      </w:r>
      <w:proofErr w:type="spellStart"/>
      <w:r w:rsidRPr="00617A41">
        <w:rPr>
          <w:rFonts w:ascii="Arial" w:hAnsi="Arial" w:cs="Arial"/>
          <w:color w:val="010000"/>
          <w:sz w:val="20"/>
        </w:rPr>
        <w:t>DLM</w:t>
      </w:r>
      <w:proofErr w:type="spellEnd"/>
    </w:p>
    <w:p w14:paraId="00000006"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Securities type: Common share</w:t>
      </w:r>
    </w:p>
    <w:p w14:paraId="00000007"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 xml:space="preserve">Exchange: </w:t>
      </w:r>
      <w:proofErr w:type="spellStart"/>
      <w:r w:rsidRPr="00617A41">
        <w:rPr>
          <w:rFonts w:ascii="Arial" w:hAnsi="Arial" w:cs="Arial"/>
          <w:color w:val="010000"/>
          <w:sz w:val="20"/>
        </w:rPr>
        <w:t>UpCom</w:t>
      </w:r>
      <w:proofErr w:type="spellEnd"/>
    </w:p>
    <w:p w14:paraId="00000008"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 xml:space="preserve">Par value: </w:t>
      </w:r>
      <w:proofErr w:type="spellStart"/>
      <w:r w:rsidRPr="00617A41">
        <w:rPr>
          <w:rFonts w:ascii="Arial" w:hAnsi="Arial" w:cs="Arial"/>
          <w:color w:val="010000"/>
          <w:sz w:val="20"/>
        </w:rPr>
        <w:t>VND</w:t>
      </w:r>
      <w:proofErr w:type="spellEnd"/>
      <w:r w:rsidRPr="00617A41">
        <w:rPr>
          <w:rFonts w:ascii="Arial" w:hAnsi="Arial" w:cs="Arial"/>
          <w:color w:val="010000"/>
          <w:sz w:val="20"/>
        </w:rPr>
        <w:t xml:space="preserve"> 10,000/share</w:t>
      </w:r>
    </w:p>
    <w:p w14:paraId="00000009"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Record date: December 01, 2023</w:t>
      </w:r>
    </w:p>
    <w:p w14:paraId="0000000A" w14:textId="77777777" w:rsidR="00B1796D" w:rsidRPr="00617A41" w:rsidRDefault="00FD379B" w:rsidP="00FD379B">
      <w:pPr>
        <w:numPr>
          <w:ilvl w:val="0"/>
          <w:numId w:val="1"/>
        </w:numPr>
        <w:pBdr>
          <w:top w:val="nil"/>
          <w:left w:val="nil"/>
          <w:bottom w:val="nil"/>
          <w:right w:val="nil"/>
          <w:between w:val="nil"/>
        </w:pBdr>
        <w:tabs>
          <w:tab w:val="left" w:pos="432"/>
          <w:tab w:val="left" w:pos="1518"/>
        </w:tabs>
        <w:spacing w:after="120" w:line="360" w:lineRule="auto"/>
        <w:rPr>
          <w:rFonts w:ascii="Arial" w:eastAsia="Arial" w:hAnsi="Arial" w:cs="Arial"/>
          <w:color w:val="010000"/>
          <w:sz w:val="20"/>
          <w:szCs w:val="20"/>
        </w:rPr>
      </w:pPr>
      <w:r w:rsidRPr="00617A41">
        <w:rPr>
          <w:rFonts w:ascii="Arial" w:hAnsi="Arial" w:cs="Arial"/>
          <w:color w:val="010000"/>
          <w:sz w:val="20"/>
        </w:rPr>
        <w:t>Reason and purpose: Record the list of shareholders to pay dividends in cash in 2022.</w:t>
      </w:r>
    </w:p>
    <w:p w14:paraId="0000000B"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 xml:space="preserve">Exercise rate: 9% (receive </w:t>
      </w:r>
      <w:proofErr w:type="spellStart"/>
      <w:r w:rsidRPr="00617A41">
        <w:rPr>
          <w:rFonts w:ascii="Arial" w:hAnsi="Arial" w:cs="Arial"/>
          <w:color w:val="010000"/>
          <w:sz w:val="20"/>
        </w:rPr>
        <w:t>VND</w:t>
      </w:r>
      <w:proofErr w:type="spellEnd"/>
      <w:r w:rsidRPr="00617A41">
        <w:rPr>
          <w:rFonts w:ascii="Arial" w:hAnsi="Arial" w:cs="Arial"/>
          <w:color w:val="010000"/>
          <w:sz w:val="20"/>
        </w:rPr>
        <w:t xml:space="preserve"> 900 for each share).</w:t>
      </w:r>
    </w:p>
    <w:p w14:paraId="0000000C"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Payment date: December 15, 2023</w:t>
      </w:r>
    </w:p>
    <w:p w14:paraId="0000000D" w14:textId="77777777" w:rsidR="00B1796D" w:rsidRPr="00617A41" w:rsidRDefault="00FD379B" w:rsidP="00FD379B">
      <w:pPr>
        <w:numPr>
          <w:ilvl w:val="0"/>
          <w:numId w:val="1"/>
        </w:num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Implementation venue:</w:t>
      </w:r>
    </w:p>
    <w:p w14:paraId="0000000E" w14:textId="77777777" w:rsidR="00B1796D" w:rsidRPr="00617A41" w:rsidRDefault="00FD379B" w:rsidP="00FD379B">
      <w:pPr>
        <w:numPr>
          <w:ilvl w:val="0"/>
          <w:numId w:val="2"/>
        </w:numPr>
        <w:pBdr>
          <w:top w:val="nil"/>
          <w:left w:val="nil"/>
          <w:bottom w:val="nil"/>
          <w:right w:val="nil"/>
          <w:between w:val="nil"/>
        </w:pBdr>
        <w:tabs>
          <w:tab w:val="left" w:pos="432"/>
          <w:tab w:val="left" w:pos="1517"/>
        </w:tabs>
        <w:spacing w:after="120" w:line="360" w:lineRule="auto"/>
        <w:ind w:left="0" w:firstLine="0"/>
        <w:rPr>
          <w:rFonts w:ascii="Arial" w:eastAsia="Arial" w:hAnsi="Arial" w:cs="Arial"/>
          <w:color w:val="010000"/>
          <w:sz w:val="20"/>
          <w:szCs w:val="20"/>
        </w:rPr>
      </w:pPr>
      <w:r w:rsidRPr="00617A41">
        <w:rPr>
          <w:rFonts w:ascii="Arial" w:hAnsi="Arial" w:cs="Arial"/>
          <w:color w:val="010000"/>
          <w:sz w:val="20"/>
        </w:rPr>
        <w:t>For deposited securities: Owners carry out procedures to receive dividends at depository members where depository accounts are opened.</w:t>
      </w:r>
    </w:p>
    <w:p w14:paraId="0000000F" w14:textId="77777777" w:rsidR="00B1796D" w:rsidRPr="00617A41" w:rsidRDefault="00FD379B" w:rsidP="00FD379B">
      <w:pPr>
        <w:numPr>
          <w:ilvl w:val="0"/>
          <w:numId w:val="2"/>
        </w:numPr>
        <w:pBdr>
          <w:top w:val="nil"/>
          <w:left w:val="nil"/>
          <w:bottom w:val="nil"/>
          <w:right w:val="nil"/>
          <w:between w:val="nil"/>
        </w:pBdr>
        <w:tabs>
          <w:tab w:val="left" w:pos="432"/>
          <w:tab w:val="left" w:pos="1517"/>
        </w:tabs>
        <w:spacing w:after="120" w:line="360" w:lineRule="auto"/>
        <w:ind w:left="0" w:firstLine="0"/>
        <w:rPr>
          <w:rFonts w:ascii="Arial" w:eastAsia="Arial" w:hAnsi="Arial" w:cs="Arial"/>
          <w:color w:val="010000"/>
          <w:sz w:val="20"/>
          <w:szCs w:val="20"/>
        </w:rPr>
      </w:pPr>
      <w:r w:rsidRPr="00617A41">
        <w:rPr>
          <w:rFonts w:ascii="Arial" w:hAnsi="Arial" w:cs="Arial"/>
          <w:color w:val="010000"/>
          <w:sz w:val="20"/>
        </w:rPr>
        <w:t xml:space="preserve">For </w:t>
      </w:r>
      <w:proofErr w:type="spellStart"/>
      <w:r w:rsidRPr="00617A41">
        <w:rPr>
          <w:rFonts w:ascii="Arial" w:hAnsi="Arial" w:cs="Arial"/>
          <w:color w:val="010000"/>
          <w:sz w:val="20"/>
        </w:rPr>
        <w:t>undeposited</w:t>
      </w:r>
      <w:proofErr w:type="spellEnd"/>
      <w:r w:rsidRPr="00617A41">
        <w:rPr>
          <w:rFonts w:ascii="Arial" w:hAnsi="Arial" w:cs="Arial"/>
          <w:color w:val="010000"/>
          <w:sz w:val="20"/>
        </w:rPr>
        <w:t xml:space="preserve"> securities: Owners carry out procedures to receive dividends at Da Nang Public Lighting Joint Stock Company starting from December 15, 2023 and present their Identity cards/Citizen Identification cards.</w:t>
      </w:r>
    </w:p>
    <w:p w14:paraId="00000010" w14:textId="77777777" w:rsidR="00B1796D" w:rsidRPr="00617A41" w:rsidRDefault="00FD379B" w:rsidP="00FD379B">
      <w:pPr>
        <w:pBdr>
          <w:top w:val="nil"/>
          <w:left w:val="nil"/>
          <w:bottom w:val="nil"/>
          <w:right w:val="nil"/>
          <w:between w:val="nil"/>
        </w:pBdr>
        <w:tabs>
          <w:tab w:val="left" w:pos="432"/>
          <w:tab w:val="left" w:pos="1517"/>
        </w:tabs>
        <w:spacing w:after="120" w:line="360" w:lineRule="auto"/>
        <w:rPr>
          <w:rFonts w:ascii="Arial" w:eastAsia="Arial" w:hAnsi="Arial" w:cs="Arial"/>
          <w:color w:val="010000"/>
          <w:sz w:val="20"/>
          <w:szCs w:val="20"/>
        </w:rPr>
      </w:pPr>
      <w:r w:rsidRPr="00617A41">
        <w:rPr>
          <w:rFonts w:ascii="Arial" w:hAnsi="Arial" w:cs="Arial"/>
          <w:color w:val="010000"/>
          <w:sz w:val="20"/>
        </w:rPr>
        <w:t>Article 2: The Resolution takes effect from November 17, 2023.</w:t>
      </w:r>
    </w:p>
    <w:p w14:paraId="00000011" w14:textId="77777777" w:rsidR="00B1796D" w:rsidRPr="00617A41" w:rsidRDefault="00FD379B" w:rsidP="00FD37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7A41">
        <w:rPr>
          <w:rFonts w:ascii="Arial" w:hAnsi="Arial" w:cs="Arial"/>
          <w:color w:val="010000"/>
          <w:sz w:val="20"/>
        </w:rPr>
        <w:t>Members of the Board of Directors, the Executive Board, Heads of specialized departments, Professional teams, relevant organizations and individuals of the Company shall base on the Resolution to organize the implementation</w:t>
      </w:r>
      <w:proofErr w:type="gramStart"/>
      <w:r w:rsidRPr="00617A41">
        <w:rPr>
          <w:rFonts w:ascii="Arial" w:hAnsi="Arial" w:cs="Arial"/>
          <w:color w:val="010000"/>
          <w:sz w:val="20"/>
        </w:rPr>
        <w:t>./</w:t>
      </w:r>
      <w:proofErr w:type="gramEnd"/>
      <w:r w:rsidRPr="00617A41">
        <w:rPr>
          <w:rFonts w:ascii="Arial" w:hAnsi="Arial" w:cs="Arial"/>
          <w:color w:val="010000"/>
          <w:sz w:val="20"/>
        </w:rPr>
        <w:t>.</w:t>
      </w:r>
    </w:p>
    <w:sectPr w:rsidR="00B1796D" w:rsidRPr="00617A41" w:rsidSect="00FD379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420AB"/>
    <w:multiLevelType w:val="multilevel"/>
    <w:tmpl w:val="C3F8AC2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E34C43"/>
    <w:multiLevelType w:val="multilevel"/>
    <w:tmpl w:val="EE5CDADC"/>
    <w:lvl w:ilvl="0">
      <w:start w:val="1"/>
      <w:numFmt w:val="bullet"/>
      <w:lvlText w:val="−"/>
      <w:lvlJc w:val="left"/>
      <w:pPr>
        <w:ind w:left="0" w:firstLine="0"/>
      </w:pPr>
      <w:rPr>
        <w:rFonts w:ascii="Arial" w:eastAsia="Noto Sans Symbols"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D"/>
    <w:rsid w:val="003D497C"/>
    <w:rsid w:val="005F7B0B"/>
    <w:rsid w:val="00617A41"/>
    <w:rsid w:val="00B1796D"/>
    <w:rsid w:val="00FD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EBF84-3EE3-44ED-92E5-2EEDFFB2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8D0E29"/>
      <w:sz w:val="16"/>
      <w:szCs w:val="16"/>
      <w:u w:val="none"/>
      <w:shd w:val="clear" w:color="auto" w:fill="auto"/>
    </w:rPr>
  </w:style>
  <w:style w:type="character" w:customStyle="1" w:styleId="Vnbnnidung2">
    <w:name w:val="Văn bản nội dung (2)_"/>
    <w:basedOn w:val="DefaultParagraphFont"/>
    <w:link w:val="Vnbnnidung20"/>
    <w:rPr>
      <w:rFonts w:ascii="Consolas" w:eastAsia="Consolas" w:hAnsi="Consolas" w:cs="Consolas"/>
      <w:b w:val="0"/>
      <w:bCs w:val="0"/>
      <w:i w:val="0"/>
      <w:iCs w:val="0"/>
      <w:smallCaps w:val="0"/>
      <w:strike w:val="0"/>
      <w:color w:val="B02D52"/>
      <w:sz w:val="24"/>
      <w:szCs w:val="2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8D0E29"/>
      <w:w w:val="8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B02D52"/>
      <w:sz w:val="19"/>
      <w:szCs w:val="1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2"/>
      <w:szCs w:val="1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95"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8" w:lineRule="auto"/>
      <w:jc w:val="center"/>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Arial" w:eastAsia="Arial" w:hAnsi="Arial" w:cs="Arial"/>
      <w:b/>
      <w:bCs/>
      <w:color w:val="8D0E29"/>
      <w:sz w:val="16"/>
      <w:szCs w:val="16"/>
    </w:rPr>
  </w:style>
  <w:style w:type="paragraph" w:customStyle="1" w:styleId="Vnbnnidung20">
    <w:name w:val="Văn bản nội dung (2)"/>
    <w:basedOn w:val="Normal"/>
    <w:link w:val="Vnbnnidung2"/>
    <w:pPr>
      <w:spacing w:line="216" w:lineRule="auto"/>
      <w:ind w:firstLine="120"/>
      <w:jc w:val="right"/>
    </w:pPr>
    <w:rPr>
      <w:rFonts w:ascii="Consolas" w:eastAsia="Consolas" w:hAnsi="Consolas" w:cs="Consolas"/>
      <w:color w:val="B02D52"/>
    </w:rPr>
  </w:style>
  <w:style w:type="paragraph" w:customStyle="1" w:styleId="Vnbnnidung40">
    <w:name w:val="Văn bản nội dung (4)"/>
    <w:basedOn w:val="Normal"/>
    <w:link w:val="Vnbnnidung4"/>
    <w:rPr>
      <w:rFonts w:ascii="Times New Roman" w:eastAsia="Times New Roman" w:hAnsi="Times New Roman" w:cs="Times New Roman"/>
      <w:b/>
      <w:bCs/>
      <w:color w:val="8D0E29"/>
      <w:w w:val="80"/>
      <w:sz w:val="20"/>
      <w:szCs w:val="20"/>
    </w:rPr>
  </w:style>
  <w:style w:type="paragraph" w:customStyle="1" w:styleId="Vnbnnidung30">
    <w:name w:val="Văn bản nội dung (3)"/>
    <w:basedOn w:val="Normal"/>
    <w:link w:val="Vnbnnidung3"/>
    <w:pPr>
      <w:spacing w:line="209" w:lineRule="auto"/>
      <w:jc w:val="right"/>
    </w:pPr>
    <w:rPr>
      <w:rFonts w:ascii="Arial" w:eastAsia="Arial" w:hAnsi="Arial" w:cs="Arial"/>
      <w:i/>
      <w:iCs/>
      <w:color w:val="B02D52"/>
      <w:sz w:val="19"/>
      <w:szCs w:val="19"/>
    </w:rPr>
  </w:style>
  <w:style w:type="paragraph" w:customStyle="1" w:styleId="Vnbnnidung60">
    <w:name w:val="Văn bản nội dung (6)"/>
    <w:basedOn w:val="Normal"/>
    <w:link w:val="Vnbnnidung6"/>
    <w:pPr>
      <w:ind w:left="1820"/>
    </w:pPr>
    <w:rPr>
      <w:rFonts w:ascii="Arial" w:eastAsia="Arial" w:hAnsi="Arial" w:cs="Arial"/>
      <w:sz w:val="12"/>
      <w:szCs w:val="12"/>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95"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hLr/2QHl6Un1qsAcJIzTLRIgg==">CgMxLjA4AHIhMTdxVkZfSkJjT2VPTndPS056emZiT21iLUhoM3NZd2JZ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2023-11-28T04:27:00Z</dcterms:created>
  <dcterms:modified xsi:type="dcterms:W3CDTF">2023-11-28T04:27:00Z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0d6fafdccfe181c54725947f2c3d217aea6d7910a6a7aeddf1ecef94a6c5f826</vt:lpwstr>
  </property>
</Properties>
</file>