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AC87C" w14:textId="77777777" w:rsidR="00E0549B" w:rsidRPr="0019457F" w:rsidRDefault="00E0549B" w:rsidP="00364F90">
      <w:pPr>
        <w:pStyle w:val="Khc0"/>
        <w:spacing w:after="120" w:line="360" w:lineRule="auto"/>
        <w:jc w:val="both"/>
        <w:rPr>
          <w:rFonts w:ascii="Arial" w:eastAsia="Arial" w:hAnsi="Arial" w:cs="Arial"/>
          <w:b/>
          <w:bCs/>
          <w:color w:val="010000"/>
          <w:sz w:val="20"/>
          <w:szCs w:val="22"/>
        </w:rPr>
      </w:pPr>
      <w:r w:rsidRPr="0019457F">
        <w:rPr>
          <w:rFonts w:ascii="Arial" w:hAnsi="Arial" w:cs="Arial"/>
          <w:b/>
          <w:color w:val="010000"/>
          <w:sz w:val="20"/>
        </w:rPr>
        <w:t>GLT: Board Resolution</w:t>
      </w:r>
    </w:p>
    <w:p w14:paraId="6CAA1C94" w14:textId="05FAF643" w:rsidR="00E0549B" w:rsidRPr="0019457F" w:rsidRDefault="00E0549B" w:rsidP="00364F90">
      <w:pPr>
        <w:pStyle w:val="Khc0"/>
        <w:spacing w:after="120" w:line="360" w:lineRule="auto"/>
        <w:jc w:val="both"/>
        <w:rPr>
          <w:rFonts w:ascii="Arial" w:eastAsia="Arial" w:hAnsi="Arial" w:cs="Arial"/>
          <w:bCs/>
          <w:color w:val="010000"/>
          <w:sz w:val="20"/>
          <w:szCs w:val="22"/>
        </w:rPr>
      </w:pPr>
      <w:r w:rsidRPr="0019457F">
        <w:rPr>
          <w:rFonts w:ascii="Arial" w:hAnsi="Arial" w:cs="Arial"/>
          <w:color w:val="010000"/>
          <w:sz w:val="20"/>
        </w:rPr>
        <w:t>On November 23, 2023, Global Electrical Technology Corp. announced Resolution No. 10/2023/NQ-HDQT-CBTT, as follows:</w:t>
      </w:r>
    </w:p>
    <w:p w14:paraId="55174A4F" w14:textId="77777777" w:rsidR="00BB6EF9" w:rsidRPr="0019457F" w:rsidRDefault="00A123B3" w:rsidP="00364F90">
      <w:pPr>
        <w:pStyle w:val="Vnbnnidung0"/>
        <w:spacing w:after="120" w:line="360" w:lineRule="auto"/>
        <w:jc w:val="both"/>
        <w:rPr>
          <w:rFonts w:ascii="Arial" w:hAnsi="Arial" w:cs="Arial"/>
          <w:color w:val="010000"/>
          <w:sz w:val="20"/>
        </w:rPr>
      </w:pPr>
      <w:r w:rsidRPr="0019457F">
        <w:rPr>
          <w:rFonts w:ascii="Arial" w:hAnsi="Arial" w:cs="Arial"/>
          <w:color w:val="010000"/>
          <w:sz w:val="20"/>
        </w:rPr>
        <w:t>‎‎Article 1. Approving the income statement for Q2/2023 (July 1, 2023-September 30, 2023).</w:t>
      </w:r>
    </w:p>
    <w:p w14:paraId="798A8BF1" w14:textId="77777777" w:rsidR="00BB6EF9" w:rsidRPr="0019457F" w:rsidRDefault="00A123B3" w:rsidP="00364F90">
      <w:pPr>
        <w:pStyle w:val="Vnbnnidung0"/>
        <w:spacing w:after="120" w:line="360" w:lineRule="auto"/>
        <w:jc w:val="both"/>
        <w:rPr>
          <w:rFonts w:ascii="Arial" w:hAnsi="Arial" w:cs="Arial"/>
          <w:color w:val="010000"/>
          <w:sz w:val="20"/>
        </w:rPr>
      </w:pPr>
      <w:r w:rsidRPr="0019457F">
        <w:rPr>
          <w:rFonts w:ascii="Arial" w:hAnsi="Arial" w:cs="Arial"/>
          <w:color w:val="010000"/>
          <w:sz w:val="20"/>
        </w:rPr>
        <w:t>‎‎Article 2. Agree to authorize the General Manager to approve each specific case of regular transactions between member companies based on optimizing resources of the Group in 2024, including the following transactions:</w:t>
      </w:r>
    </w:p>
    <w:p w14:paraId="5327952F" w14:textId="77777777" w:rsidR="00BB6EF9" w:rsidRPr="0019457F" w:rsidRDefault="00A123B3" w:rsidP="00364F90">
      <w:pPr>
        <w:pStyle w:val="Vnbnnidung0"/>
        <w:numPr>
          <w:ilvl w:val="0"/>
          <w:numId w:val="1"/>
        </w:numPr>
        <w:tabs>
          <w:tab w:val="left" w:pos="284"/>
        </w:tabs>
        <w:spacing w:after="120" w:line="360" w:lineRule="auto"/>
        <w:jc w:val="both"/>
        <w:rPr>
          <w:rFonts w:ascii="Arial" w:hAnsi="Arial" w:cs="Arial"/>
          <w:color w:val="010000"/>
          <w:sz w:val="20"/>
        </w:rPr>
      </w:pPr>
      <w:r w:rsidRPr="0019457F">
        <w:rPr>
          <w:rFonts w:ascii="Arial" w:hAnsi="Arial" w:cs="Arial"/>
          <w:color w:val="010000"/>
          <w:sz w:val="20"/>
        </w:rPr>
        <w:t>Rent ITD Building office, rent warehouse.</w:t>
      </w:r>
    </w:p>
    <w:p w14:paraId="30931700" w14:textId="77777777" w:rsidR="00BB6EF9" w:rsidRPr="0019457F" w:rsidRDefault="00A123B3" w:rsidP="00364F90">
      <w:pPr>
        <w:pStyle w:val="Vnbnnidung0"/>
        <w:numPr>
          <w:ilvl w:val="0"/>
          <w:numId w:val="1"/>
        </w:numPr>
        <w:tabs>
          <w:tab w:val="left" w:pos="284"/>
          <w:tab w:val="left" w:pos="2561"/>
        </w:tabs>
        <w:spacing w:after="120" w:line="360" w:lineRule="auto"/>
        <w:jc w:val="both"/>
        <w:rPr>
          <w:rFonts w:ascii="Arial" w:hAnsi="Arial" w:cs="Arial"/>
          <w:color w:val="010000"/>
          <w:sz w:val="20"/>
        </w:rPr>
      </w:pPr>
      <w:r w:rsidRPr="0019457F">
        <w:rPr>
          <w:rFonts w:ascii="Arial" w:hAnsi="Arial" w:cs="Arial"/>
          <w:color w:val="010000"/>
          <w:sz w:val="20"/>
        </w:rPr>
        <w:t>Internal network administration.</w:t>
      </w:r>
    </w:p>
    <w:p w14:paraId="15E61632" w14:textId="6176F3B3" w:rsidR="00BB6EF9" w:rsidRPr="0019457F" w:rsidRDefault="00A123B3" w:rsidP="00364F90">
      <w:pPr>
        <w:pStyle w:val="Vnbnnidung0"/>
        <w:numPr>
          <w:ilvl w:val="0"/>
          <w:numId w:val="1"/>
        </w:numPr>
        <w:tabs>
          <w:tab w:val="left" w:pos="284"/>
          <w:tab w:val="left" w:pos="2561"/>
        </w:tabs>
        <w:spacing w:after="120" w:line="360" w:lineRule="auto"/>
        <w:jc w:val="both"/>
        <w:rPr>
          <w:rFonts w:ascii="Arial" w:hAnsi="Arial" w:cs="Arial"/>
          <w:color w:val="010000"/>
          <w:sz w:val="20"/>
        </w:rPr>
      </w:pPr>
      <w:r w:rsidRPr="0019457F">
        <w:rPr>
          <w:rFonts w:ascii="Arial" w:hAnsi="Arial" w:cs="Arial"/>
          <w:color w:val="010000"/>
          <w:sz w:val="20"/>
        </w:rPr>
        <w:t xml:space="preserve">Buy and sell goods and assets </w:t>
      </w:r>
      <w:r w:rsidR="00EA2946">
        <w:rPr>
          <w:rFonts w:ascii="Arial" w:hAnsi="Arial" w:cs="Arial"/>
          <w:color w:val="010000"/>
          <w:sz w:val="20"/>
        </w:rPr>
        <w:t>under</w:t>
      </w:r>
      <w:bookmarkStart w:id="0" w:name="_GoBack"/>
      <w:bookmarkEnd w:id="0"/>
      <w:r w:rsidRPr="0019457F">
        <w:rPr>
          <w:rFonts w:ascii="Arial" w:hAnsi="Arial" w:cs="Arial"/>
          <w:color w:val="010000"/>
          <w:sz w:val="20"/>
        </w:rPr>
        <w:t xml:space="preserve"> </w:t>
      </w:r>
      <w:r w:rsidR="00EA2946">
        <w:rPr>
          <w:rFonts w:ascii="Arial" w:hAnsi="Arial" w:cs="Arial"/>
          <w:color w:val="010000"/>
          <w:sz w:val="20"/>
        </w:rPr>
        <w:t xml:space="preserve">the </w:t>
      </w:r>
      <w:r w:rsidRPr="0019457F">
        <w:rPr>
          <w:rFonts w:ascii="Arial" w:hAnsi="Arial" w:cs="Arial"/>
          <w:color w:val="010000"/>
          <w:sz w:val="20"/>
        </w:rPr>
        <w:t>i</w:t>
      </w:r>
      <w:r w:rsidR="00EA2946">
        <w:rPr>
          <w:rFonts w:ascii="Arial" w:hAnsi="Arial" w:cs="Arial"/>
          <w:color w:val="010000"/>
          <w:sz w:val="20"/>
        </w:rPr>
        <w:t>nternal selling price principle</w:t>
      </w:r>
      <w:r w:rsidRPr="0019457F">
        <w:rPr>
          <w:rFonts w:ascii="Arial" w:hAnsi="Arial" w:cs="Arial"/>
          <w:color w:val="010000"/>
          <w:sz w:val="20"/>
        </w:rPr>
        <w:t>.</w:t>
      </w:r>
    </w:p>
    <w:p w14:paraId="36EE42AC" w14:textId="77777777" w:rsidR="00BB6EF9" w:rsidRPr="0019457F" w:rsidRDefault="00A123B3" w:rsidP="00364F90">
      <w:pPr>
        <w:pStyle w:val="Vnbnnidung0"/>
        <w:numPr>
          <w:ilvl w:val="0"/>
          <w:numId w:val="1"/>
        </w:numPr>
        <w:tabs>
          <w:tab w:val="left" w:pos="284"/>
          <w:tab w:val="left" w:pos="2561"/>
        </w:tabs>
        <w:spacing w:after="120" w:line="360" w:lineRule="auto"/>
        <w:jc w:val="both"/>
        <w:rPr>
          <w:rFonts w:ascii="Arial" w:hAnsi="Arial" w:cs="Arial"/>
          <w:color w:val="010000"/>
          <w:sz w:val="20"/>
        </w:rPr>
      </w:pPr>
      <w:r w:rsidRPr="0019457F">
        <w:rPr>
          <w:rFonts w:ascii="Arial" w:hAnsi="Arial" w:cs="Arial"/>
          <w:color w:val="010000"/>
          <w:sz w:val="20"/>
        </w:rPr>
        <w:t>Other regular transactions (if any).</w:t>
      </w:r>
    </w:p>
    <w:p w14:paraId="6D809766" w14:textId="0CFA328E" w:rsidR="00BB6EF9" w:rsidRPr="0019457F" w:rsidRDefault="00A123B3" w:rsidP="00364F90">
      <w:pPr>
        <w:pStyle w:val="Vnbnnidung0"/>
        <w:spacing w:after="120" w:line="360" w:lineRule="auto"/>
        <w:jc w:val="both"/>
        <w:rPr>
          <w:rFonts w:ascii="Arial" w:hAnsi="Arial" w:cs="Arial"/>
          <w:color w:val="010000"/>
          <w:sz w:val="20"/>
        </w:rPr>
      </w:pPr>
      <w:r w:rsidRPr="0019457F">
        <w:rPr>
          <w:rFonts w:ascii="Arial" w:hAnsi="Arial" w:cs="Arial"/>
          <w:color w:val="010000"/>
          <w:sz w:val="20"/>
        </w:rPr>
        <w:t>‎‎Article 3. Appro</w:t>
      </w:r>
      <w:r w:rsidR="00EA2946">
        <w:rPr>
          <w:rFonts w:ascii="Arial" w:hAnsi="Arial" w:cs="Arial"/>
          <w:color w:val="010000"/>
          <w:sz w:val="20"/>
        </w:rPr>
        <w:t>ve the recovery of shares issued</w:t>
      </w:r>
      <w:r w:rsidRPr="0019457F">
        <w:rPr>
          <w:rFonts w:ascii="Arial" w:hAnsi="Arial" w:cs="Arial"/>
          <w:color w:val="010000"/>
          <w:sz w:val="20"/>
        </w:rPr>
        <w:t xml:space="preserve"> under the ESOP 2022 from employees who quit their jobs from October 1, 2023 to the present (01 person;</w:t>
      </w:r>
      <w:r w:rsidR="00EA2946">
        <w:rPr>
          <w:rFonts w:ascii="Arial" w:hAnsi="Arial" w:cs="Arial"/>
          <w:color w:val="010000"/>
          <w:sz w:val="20"/>
        </w:rPr>
        <w:t xml:space="preserve"> owning</w:t>
      </w:r>
      <w:r w:rsidRPr="0019457F">
        <w:rPr>
          <w:rFonts w:ascii="Arial" w:hAnsi="Arial" w:cs="Arial"/>
          <w:color w:val="010000"/>
          <w:sz w:val="20"/>
        </w:rPr>
        <w:t xml:space="preserve"> 24,200 shares). The Board of Directors assigned the </w:t>
      </w:r>
      <w:r w:rsidR="00EA2946">
        <w:rPr>
          <w:rFonts w:ascii="Arial" w:hAnsi="Arial" w:cs="Arial"/>
          <w:color w:val="010000"/>
          <w:sz w:val="20"/>
        </w:rPr>
        <w:t>Managing Director</w:t>
      </w:r>
      <w:r w:rsidRPr="0019457F">
        <w:rPr>
          <w:rFonts w:ascii="Arial" w:hAnsi="Arial" w:cs="Arial"/>
          <w:color w:val="010000"/>
          <w:sz w:val="20"/>
        </w:rPr>
        <w:t xml:space="preserve"> to carry out the necessary procedures and complete the recovery of ESOP shares </w:t>
      </w:r>
      <w:r w:rsidR="00EA2946">
        <w:rPr>
          <w:rFonts w:ascii="Arial" w:hAnsi="Arial" w:cs="Arial"/>
          <w:color w:val="010000"/>
          <w:sz w:val="20"/>
        </w:rPr>
        <w:t>as per</w:t>
      </w:r>
      <w:r w:rsidRPr="0019457F">
        <w:rPr>
          <w:rFonts w:ascii="Arial" w:hAnsi="Arial" w:cs="Arial"/>
          <w:color w:val="010000"/>
          <w:sz w:val="20"/>
        </w:rPr>
        <w:t xml:space="preserve"> regulations.</w:t>
      </w:r>
    </w:p>
    <w:p w14:paraId="793D18DD" w14:textId="6CF065FC" w:rsidR="00BB6EF9" w:rsidRPr="0019457F" w:rsidRDefault="00A123B3" w:rsidP="00364F90">
      <w:pPr>
        <w:pStyle w:val="Vnbnnidung0"/>
        <w:spacing w:after="120" w:line="360" w:lineRule="auto"/>
        <w:jc w:val="both"/>
        <w:rPr>
          <w:rFonts w:ascii="Arial" w:hAnsi="Arial" w:cs="Arial"/>
          <w:color w:val="010000"/>
          <w:sz w:val="20"/>
        </w:rPr>
      </w:pPr>
      <w:r w:rsidRPr="0019457F">
        <w:rPr>
          <w:rFonts w:ascii="Arial" w:hAnsi="Arial" w:cs="Arial"/>
          <w:color w:val="010000"/>
          <w:sz w:val="20"/>
        </w:rPr>
        <w:t xml:space="preserve">‎‎Article 4. Members of the Board of Directors, </w:t>
      </w:r>
      <w:r w:rsidR="00EA2946">
        <w:rPr>
          <w:rFonts w:ascii="Arial" w:hAnsi="Arial" w:cs="Arial"/>
          <w:color w:val="010000"/>
          <w:sz w:val="20"/>
        </w:rPr>
        <w:t>Managing Director and</w:t>
      </w:r>
      <w:r w:rsidRPr="0019457F">
        <w:rPr>
          <w:rFonts w:ascii="Arial" w:hAnsi="Arial" w:cs="Arial"/>
          <w:color w:val="010000"/>
          <w:sz w:val="20"/>
        </w:rPr>
        <w:t xml:space="preserve"> relevant departments and individuals shall implement the contents of this Resolution.</w:t>
      </w:r>
    </w:p>
    <w:p w14:paraId="37EFDD62" w14:textId="7011EE37" w:rsidR="00BB6EF9" w:rsidRPr="0019457F" w:rsidRDefault="00A123B3" w:rsidP="00364F90">
      <w:pPr>
        <w:pStyle w:val="Vnbnnidung0"/>
        <w:spacing w:after="120" w:line="360" w:lineRule="auto"/>
        <w:jc w:val="both"/>
        <w:rPr>
          <w:rFonts w:ascii="Arial" w:hAnsi="Arial" w:cs="Arial"/>
          <w:color w:val="010000"/>
          <w:sz w:val="20"/>
        </w:rPr>
      </w:pPr>
      <w:r w:rsidRPr="0019457F">
        <w:rPr>
          <w:rFonts w:ascii="Arial" w:hAnsi="Arial" w:cs="Arial"/>
          <w:color w:val="010000"/>
          <w:sz w:val="20"/>
        </w:rPr>
        <w:t xml:space="preserve">‎‎Article 5. This </w:t>
      </w:r>
      <w:r w:rsidR="00EA2946">
        <w:rPr>
          <w:rFonts w:ascii="Arial" w:hAnsi="Arial" w:cs="Arial"/>
          <w:color w:val="010000"/>
          <w:sz w:val="20"/>
        </w:rPr>
        <w:t xml:space="preserve">Board </w:t>
      </w:r>
      <w:r w:rsidRPr="0019457F">
        <w:rPr>
          <w:rFonts w:ascii="Arial" w:hAnsi="Arial" w:cs="Arial"/>
          <w:color w:val="010000"/>
          <w:sz w:val="20"/>
        </w:rPr>
        <w:t>Resolution takes effect from the date of its signing.</w:t>
      </w:r>
    </w:p>
    <w:sectPr w:rsidR="00BB6EF9" w:rsidRPr="0019457F" w:rsidSect="00364F90">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312DB" w14:textId="77777777" w:rsidR="00E25094" w:rsidRDefault="00E25094">
      <w:r>
        <w:separator/>
      </w:r>
    </w:p>
  </w:endnote>
  <w:endnote w:type="continuationSeparator" w:id="0">
    <w:p w14:paraId="751E3852" w14:textId="77777777" w:rsidR="00E25094" w:rsidRDefault="00E2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F42F4" w14:textId="77777777" w:rsidR="00E25094" w:rsidRDefault="00E25094"/>
  </w:footnote>
  <w:footnote w:type="continuationSeparator" w:id="0">
    <w:p w14:paraId="3235B789" w14:textId="77777777" w:rsidR="00E25094" w:rsidRDefault="00E2509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D7847"/>
    <w:multiLevelType w:val="multilevel"/>
    <w:tmpl w:val="FABCC354"/>
    <w:lvl w:ilvl="0">
      <w:start w:val="1"/>
      <w:numFmt w:val="bullet"/>
      <w:lvlText w:val="•"/>
      <w:lvlJc w:val="left"/>
      <w:rPr>
        <w:rFonts w:ascii="Arial" w:eastAsia="Times New Roman" w:hAnsi="Arial" w:cs="Arial"/>
        <w:b w:val="0"/>
        <w:bCs w:val="0"/>
        <w:i w:val="0"/>
        <w:iCs w:val="0"/>
        <w:smallCaps w:val="0"/>
        <w:strike w:val="0"/>
        <w:color w:val="272A2F"/>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F9"/>
    <w:rsid w:val="0019457F"/>
    <w:rsid w:val="002048A4"/>
    <w:rsid w:val="002F6FB4"/>
    <w:rsid w:val="00364F90"/>
    <w:rsid w:val="00A123B3"/>
    <w:rsid w:val="00BB6EF9"/>
    <w:rsid w:val="00BD0A53"/>
    <w:rsid w:val="00E0549B"/>
    <w:rsid w:val="00E25094"/>
    <w:rsid w:val="00EA2946"/>
    <w:rsid w:val="00F115C3"/>
    <w:rsid w:val="00FF3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0C87B"/>
  <w15:docId w15:val="{FA246D7A-FBA6-4F67-87AC-0AD6C557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basedOn w:val="DefaultParagraphFont"/>
    <w:link w:val="Khc0"/>
    <w:rPr>
      <w:rFonts w:ascii="Times New Roman" w:eastAsia="Times New Roman" w:hAnsi="Times New Roman" w:cs="Times New Roman"/>
      <w:color w:val="101317"/>
    </w:rPr>
  </w:style>
  <w:style w:type="character" w:customStyle="1" w:styleId="Vnbnnidung">
    <w:name w:val="Văn bản nội dung_"/>
    <w:basedOn w:val="DefaultParagraphFont"/>
    <w:link w:val="Vnbnnidung0"/>
    <w:rPr>
      <w:rFonts w:ascii="Times New Roman" w:eastAsia="Times New Roman" w:hAnsi="Times New Roman" w:cs="Times New Roman"/>
      <w:color w:val="101317"/>
    </w:rPr>
  </w:style>
  <w:style w:type="paragraph" w:customStyle="1" w:styleId="Khc0">
    <w:name w:val="Khác"/>
    <w:basedOn w:val="Normal"/>
    <w:link w:val="Khc"/>
    <w:rPr>
      <w:rFonts w:ascii="Times New Roman" w:eastAsia="Times New Roman" w:hAnsi="Times New Roman" w:cs="Times New Roman"/>
      <w:color w:val="101317"/>
    </w:rPr>
  </w:style>
  <w:style w:type="paragraph" w:customStyle="1" w:styleId="Vnbnnidung0">
    <w:name w:val="Văn bản nội dung"/>
    <w:basedOn w:val="Normal"/>
    <w:link w:val="Vnbnnidung"/>
    <w:rPr>
      <w:rFonts w:ascii="Times New Roman" w:eastAsia="Times New Roman" w:hAnsi="Times New Roman" w:cs="Times New Roman"/>
      <w:color w:val="1013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2023-11-28T05:08:00Z</dcterms:created>
  <dcterms:modified xsi:type="dcterms:W3CDTF">2023-11-28T05:08:00Z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5f97a7071e19f2633e52ad896eee2d0c9c1883e440a471c529f40b28b9d88655</vt:lpwstr>
  </property>
</Properties>
</file>