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C3D04" w14:textId="77777777" w:rsidR="00FD1AE1" w:rsidRPr="002D5B52" w:rsidRDefault="003D5E20" w:rsidP="00650229">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2D5B52">
        <w:rPr>
          <w:rFonts w:ascii="Arial" w:hAnsi="Arial" w:cs="Arial"/>
          <w:b/>
          <w:color w:val="010000"/>
          <w:sz w:val="20"/>
        </w:rPr>
        <w:t xml:space="preserve">DHT: Board Resolution </w:t>
      </w:r>
    </w:p>
    <w:p w14:paraId="019D8811" w14:textId="77777777" w:rsidR="00FD1AE1" w:rsidRPr="002D5B52" w:rsidRDefault="003D5E20" w:rsidP="006502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D5B52">
        <w:rPr>
          <w:rFonts w:ascii="Arial" w:hAnsi="Arial" w:cs="Arial"/>
          <w:color w:val="010000"/>
          <w:sz w:val="20"/>
        </w:rPr>
        <w:t xml:space="preserve">On November 29, 2023, </w:t>
      </w:r>
      <w:proofErr w:type="spellStart"/>
      <w:r w:rsidRPr="002D5B52">
        <w:rPr>
          <w:rFonts w:ascii="Arial" w:hAnsi="Arial" w:cs="Arial"/>
          <w:color w:val="010000"/>
          <w:sz w:val="20"/>
        </w:rPr>
        <w:t>HaTay</w:t>
      </w:r>
      <w:proofErr w:type="spellEnd"/>
      <w:r w:rsidRPr="002D5B52">
        <w:rPr>
          <w:rFonts w:ascii="Arial" w:hAnsi="Arial" w:cs="Arial"/>
          <w:color w:val="010000"/>
          <w:sz w:val="20"/>
        </w:rPr>
        <w:t xml:space="preserve"> Pharmaceutical JSC announced Resolution No. 1136/NQ-DHT on implementing the plan on private placement as follows:</w:t>
      </w:r>
    </w:p>
    <w:p w14:paraId="6830458E" w14:textId="3397CD4F" w:rsidR="00C60149" w:rsidRPr="00C60149" w:rsidRDefault="003D5E20" w:rsidP="00C60149">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2D5B52">
        <w:rPr>
          <w:rFonts w:ascii="Arial" w:hAnsi="Arial" w:cs="Arial"/>
          <w:color w:val="010000"/>
          <w:sz w:val="20"/>
        </w:rPr>
        <w:t xml:space="preserve">Article 1. </w:t>
      </w:r>
      <w:r w:rsidR="00C60149" w:rsidRPr="00C60149">
        <w:rPr>
          <w:rFonts w:ascii="Arial" w:hAnsi="Arial" w:cs="Arial"/>
          <w:color w:val="010000"/>
          <w:sz w:val="20"/>
        </w:rPr>
        <w:t>Approval of temporarily locking the foreign ownership ratio at 44.31% to facilitate the private stock offering plan to meet the regulations on the maximum foreign ownership ratio</w:t>
      </w:r>
      <w:r w:rsidR="00C60149">
        <w:rPr>
          <w:rFonts w:ascii="Arial" w:hAnsi="Arial" w:cs="Arial"/>
          <w:color w:val="010000"/>
          <w:sz w:val="20"/>
        </w:rPr>
        <w:t>.</w:t>
      </w:r>
    </w:p>
    <w:p w14:paraId="6409F97D" w14:textId="39348013" w:rsidR="00C60149" w:rsidRPr="00C60149" w:rsidRDefault="00C60149" w:rsidP="00C60149">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C60149">
        <w:rPr>
          <w:rFonts w:ascii="Arial" w:hAnsi="Arial" w:cs="Arial"/>
          <w:color w:val="010000"/>
          <w:sz w:val="20"/>
        </w:rPr>
        <w:t>According to the provisions of Decree No. 155/2020/ND</w:t>
      </w:r>
      <w:r>
        <w:rPr>
          <w:rFonts w:ascii="Arial" w:hAnsi="Arial" w:cs="Arial"/>
          <w:color w:val="010000"/>
          <w:sz w:val="20"/>
        </w:rPr>
        <w:t xml:space="preserve">-CP, dated December 31, 2020 of </w:t>
      </w:r>
      <w:r w:rsidRPr="00C60149">
        <w:rPr>
          <w:rFonts w:ascii="Arial" w:hAnsi="Arial" w:cs="Arial"/>
          <w:color w:val="010000"/>
          <w:sz w:val="20"/>
        </w:rPr>
        <w:t>The Government regulates the implementation of a number of articles of t</w:t>
      </w:r>
      <w:r>
        <w:rPr>
          <w:rFonts w:ascii="Arial" w:hAnsi="Arial" w:cs="Arial"/>
          <w:color w:val="010000"/>
          <w:sz w:val="20"/>
        </w:rPr>
        <w:t>he Securities Law, on November 23, 2023, the Company</w:t>
      </w:r>
      <w:r w:rsidRPr="00C60149">
        <w:rPr>
          <w:rFonts w:ascii="Arial" w:hAnsi="Arial" w:cs="Arial"/>
          <w:color w:val="010000"/>
          <w:sz w:val="20"/>
        </w:rPr>
        <w:t xml:space="preserve"> implemented the Notice of owne</w:t>
      </w:r>
      <w:r>
        <w:rPr>
          <w:rFonts w:ascii="Arial" w:hAnsi="Arial" w:cs="Arial"/>
          <w:color w:val="010000"/>
          <w:sz w:val="20"/>
        </w:rPr>
        <w:t xml:space="preserve">rship ratio of foreign investors </w:t>
      </w:r>
      <w:r w:rsidRPr="00C60149">
        <w:rPr>
          <w:rFonts w:ascii="Arial" w:hAnsi="Arial" w:cs="Arial"/>
          <w:color w:val="010000"/>
          <w:sz w:val="20"/>
        </w:rPr>
        <w:t>in Vietnam is 50%.</w:t>
      </w:r>
    </w:p>
    <w:p w14:paraId="1A10648B" w14:textId="751CEC98" w:rsidR="00C60149" w:rsidRDefault="00C60149" w:rsidP="00C60149">
      <w:pPr>
        <w:pBdr>
          <w:top w:val="nil"/>
          <w:left w:val="nil"/>
          <w:bottom w:val="nil"/>
          <w:right w:val="nil"/>
          <w:between w:val="nil"/>
        </w:pBdr>
        <w:tabs>
          <w:tab w:val="left" w:pos="432"/>
        </w:tabs>
        <w:spacing w:after="120" w:line="360" w:lineRule="auto"/>
        <w:jc w:val="both"/>
        <w:rPr>
          <w:rFonts w:ascii="Arial" w:hAnsi="Arial" w:cs="Arial"/>
          <w:color w:val="010000"/>
          <w:sz w:val="20"/>
        </w:rPr>
      </w:pPr>
      <w:r>
        <w:rPr>
          <w:rFonts w:ascii="Arial" w:hAnsi="Arial" w:cs="Arial"/>
          <w:color w:val="010000"/>
          <w:sz w:val="20"/>
        </w:rPr>
        <w:t xml:space="preserve">On </w:t>
      </w:r>
      <w:r w:rsidRPr="00C60149">
        <w:rPr>
          <w:rFonts w:ascii="Arial" w:hAnsi="Arial" w:cs="Arial"/>
          <w:color w:val="010000"/>
          <w:sz w:val="20"/>
        </w:rPr>
        <w:t>April 7, 2023, 2023 Annual General Meeting of Shareholders (AGM)</w:t>
      </w:r>
      <w:r>
        <w:rPr>
          <w:rFonts w:ascii="Arial" w:hAnsi="Arial" w:cs="Arial"/>
          <w:color w:val="010000"/>
          <w:sz w:val="20"/>
        </w:rPr>
        <w:t xml:space="preserve"> approved Resolution No. 429/NQ-</w:t>
      </w:r>
      <w:r w:rsidRPr="00C60149">
        <w:rPr>
          <w:rFonts w:ascii="Arial" w:hAnsi="Arial" w:cs="Arial"/>
          <w:color w:val="010000"/>
          <w:sz w:val="20"/>
        </w:rPr>
        <w:t>DHT on the sale of private shares to strategic investors</w:t>
      </w:r>
      <w:r>
        <w:rPr>
          <w:rFonts w:ascii="Arial" w:hAnsi="Arial" w:cs="Arial"/>
          <w:color w:val="010000"/>
          <w:sz w:val="20"/>
        </w:rPr>
        <w:t xml:space="preserve"> with </w:t>
      </w:r>
      <w:r w:rsidRPr="00C60149">
        <w:rPr>
          <w:rFonts w:ascii="Arial" w:hAnsi="Arial" w:cs="Arial"/>
          <w:color w:val="010000"/>
          <w:sz w:val="20"/>
        </w:rPr>
        <w:t xml:space="preserve">8400,000 </w:t>
      </w:r>
      <w:r>
        <w:rPr>
          <w:rFonts w:ascii="Arial" w:hAnsi="Arial" w:cs="Arial"/>
          <w:color w:val="010000"/>
          <w:sz w:val="20"/>
        </w:rPr>
        <w:t>shares</w:t>
      </w:r>
      <w:r w:rsidRPr="00C60149">
        <w:rPr>
          <w:rFonts w:ascii="Arial" w:hAnsi="Arial" w:cs="Arial"/>
          <w:color w:val="010000"/>
          <w:sz w:val="20"/>
        </w:rPr>
        <w:t>. To ensure that, the Board of Directors approves</w:t>
      </w:r>
      <w:r>
        <w:rPr>
          <w:rFonts w:ascii="Arial" w:hAnsi="Arial" w:cs="Arial"/>
          <w:color w:val="010000"/>
          <w:sz w:val="20"/>
        </w:rPr>
        <w:t xml:space="preserve"> to lock</w:t>
      </w:r>
      <w:r w:rsidRPr="00C60149">
        <w:rPr>
          <w:rFonts w:ascii="Arial" w:hAnsi="Arial" w:cs="Arial"/>
          <w:color w:val="010000"/>
          <w:sz w:val="20"/>
        </w:rPr>
        <w:t xml:space="preserve"> the foreign ownership ratio at 44.31% to facilitate the private stock offering plan to meet the regulations on the maximum foreign ownership ratio</w:t>
      </w:r>
      <w:r>
        <w:rPr>
          <w:rFonts w:ascii="Arial" w:hAnsi="Arial" w:cs="Arial"/>
          <w:color w:val="010000"/>
          <w:sz w:val="20"/>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095"/>
      </w:tblGrid>
      <w:tr w:rsidR="00C60149" w14:paraId="77E8BA76" w14:textId="63E023FE" w:rsidTr="00C60149">
        <w:tblPrEx>
          <w:tblCellMar>
            <w:top w:w="0" w:type="dxa"/>
            <w:bottom w:w="0" w:type="dxa"/>
          </w:tblCellMar>
        </w:tblPrEx>
        <w:trPr>
          <w:trHeight w:val="465"/>
        </w:trPr>
        <w:tc>
          <w:tcPr>
            <w:tcW w:w="4500" w:type="dxa"/>
          </w:tcPr>
          <w:p w14:paraId="0D0E47E4" w14:textId="68366FCF" w:rsidR="00C60149" w:rsidRDefault="00B36755" w:rsidP="00C60149">
            <w:pPr>
              <w:tabs>
                <w:tab w:val="left" w:pos="432"/>
              </w:tabs>
              <w:spacing w:after="120" w:line="360" w:lineRule="auto"/>
              <w:jc w:val="both"/>
              <w:rPr>
                <w:rFonts w:ascii="Arial" w:hAnsi="Arial" w:cs="Arial"/>
                <w:color w:val="010000"/>
                <w:sz w:val="20"/>
              </w:rPr>
            </w:pPr>
            <w:r>
              <w:rPr>
                <w:rFonts w:ascii="Arial" w:hAnsi="Arial" w:cs="Arial"/>
                <w:color w:val="010000"/>
                <w:sz w:val="20"/>
              </w:rPr>
              <w:t>Issued shares</w:t>
            </w:r>
          </w:p>
        </w:tc>
        <w:tc>
          <w:tcPr>
            <w:tcW w:w="4095" w:type="dxa"/>
          </w:tcPr>
          <w:p w14:paraId="28D1AB9B" w14:textId="197FF538" w:rsidR="00C60149" w:rsidRDefault="00B36755" w:rsidP="00C60149">
            <w:pPr>
              <w:tabs>
                <w:tab w:val="left" w:pos="432"/>
              </w:tabs>
              <w:spacing w:after="120" w:line="360" w:lineRule="auto"/>
              <w:jc w:val="both"/>
              <w:rPr>
                <w:rFonts w:ascii="Arial" w:hAnsi="Arial" w:cs="Arial"/>
                <w:color w:val="010000"/>
                <w:sz w:val="20"/>
              </w:rPr>
            </w:pPr>
            <w:r>
              <w:rPr>
                <w:rFonts w:ascii="Arial" w:hAnsi="Arial" w:cs="Arial"/>
                <w:color w:val="010000"/>
                <w:sz w:val="20"/>
              </w:rPr>
              <w:t>73,941773 shares</w:t>
            </w:r>
          </w:p>
        </w:tc>
      </w:tr>
      <w:tr w:rsidR="00C60149" w14:paraId="1061FFC2" w14:textId="77777777" w:rsidTr="00C60149">
        <w:tblPrEx>
          <w:tblCellMar>
            <w:top w:w="0" w:type="dxa"/>
            <w:bottom w:w="0" w:type="dxa"/>
          </w:tblCellMar>
        </w:tblPrEx>
        <w:trPr>
          <w:trHeight w:val="465"/>
        </w:trPr>
        <w:tc>
          <w:tcPr>
            <w:tcW w:w="4500" w:type="dxa"/>
          </w:tcPr>
          <w:p w14:paraId="5CC6E58D" w14:textId="724711E4" w:rsidR="00C60149" w:rsidRDefault="00B36755" w:rsidP="00C60149">
            <w:pPr>
              <w:tabs>
                <w:tab w:val="left" w:pos="432"/>
              </w:tabs>
              <w:spacing w:after="120" w:line="360" w:lineRule="auto"/>
              <w:jc w:val="both"/>
              <w:rPr>
                <w:rFonts w:ascii="Arial" w:hAnsi="Arial" w:cs="Arial"/>
                <w:color w:val="010000"/>
                <w:sz w:val="20"/>
              </w:rPr>
            </w:pPr>
            <w:r>
              <w:rPr>
                <w:rFonts w:ascii="Arial" w:hAnsi="Arial" w:cs="Arial"/>
                <w:color w:val="010000"/>
                <w:sz w:val="20"/>
              </w:rPr>
              <w:t>Expected to offer</w:t>
            </w:r>
          </w:p>
        </w:tc>
        <w:tc>
          <w:tcPr>
            <w:tcW w:w="4095" w:type="dxa"/>
          </w:tcPr>
          <w:p w14:paraId="55614A08" w14:textId="20067539" w:rsidR="00C60149" w:rsidRDefault="00B36755" w:rsidP="00C60149">
            <w:pPr>
              <w:tabs>
                <w:tab w:val="left" w:pos="432"/>
              </w:tabs>
              <w:spacing w:after="120" w:line="360" w:lineRule="auto"/>
              <w:jc w:val="both"/>
              <w:rPr>
                <w:rFonts w:ascii="Arial" w:hAnsi="Arial" w:cs="Arial"/>
                <w:color w:val="010000"/>
                <w:sz w:val="20"/>
              </w:rPr>
            </w:pPr>
            <w:r>
              <w:rPr>
                <w:rFonts w:ascii="Arial" w:hAnsi="Arial" w:cs="Arial"/>
                <w:color w:val="010000"/>
                <w:sz w:val="20"/>
              </w:rPr>
              <w:t>8,400.000 shares</w:t>
            </w:r>
          </w:p>
        </w:tc>
      </w:tr>
      <w:tr w:rsidR="00B36755" w14:paraId="6E3BF98B" w14:textId="77777777" w:rsidTr="00C60149">
        <w:tblPrEx>
          <w:tblCellMar>
            <w:top w:w="0" w:type="dxa"/>
            <w:bottom w:w="0" w:type="dxa"/>
          </w:tblCellMar>
        </w:tblPrEx>
        <w:trPr>
          <w:trHeight w:val="465"/>
        </w:trPr>
        <w:tc>
          <w:tcPr>
            <w:tcW w:w="4500" w:type="dxa"/>
          </w:tcPr>
          <w:p w14:paraId="36177543" w14:textId="4E00C223" w:rsidR="00B36755" w:rsidRDefault="00B36755" w:rsidP="00C60149">
            <w:pPr>
              <w:tabs>
                <w:tab w:val="left" w:pos="432"/>
              </w:tabs>
              <w:spacing w:after="120" w:line="360" w:lineRule="auto"/>
              <w:jc w:val="both"/>
              <w:rPr>
                <w:rFonts w:ascii="Arial" w:hAnsi="Arial" w:cs="Arial"/>
                <w:color w:val="010000"/>
                <w:sz w:val="20"/>
              </w:rPr>
            </w:pPr>
            <w:r>
              <w:rPr>
                <w:rFonts w:ascii="Arial" w:hAnsi="Arial" w:cs="Arial"/>
                <w:color w:val="010000"/>
                <w:sz w:val="20"/>
              </w:rPr>
              <w:t>Total issued shares after the offering</w:t>
            </w:r>
          </w:p>
        </w:tc>
        <w:tc>
          <w:tcPr>
            <w:tcW w:w="4095" w:type="dxa"/>
          </w:tcPr>
          <w:p w14:paraId="3CFA6D32" w14:textId="5709F77B" w:rsidR="00B36755" w:rsidRDefault="00B36755" w:rsidP="00C60149">
            <w:pPr>
              <w:tabs>
                <w:tab w:val="left" w:pos="432"/>
              </w:tabs>
              <w:spacing w:after="120" w:line="360" w:lineRule="auto"/>
              <w:jc w:val="both"/>
              <w:rPr>
                <w:rFonts w:ascii="Arial" w:hAnsi="Arial" w:cs="Arial"/>
                <w:color w:val="010000"/>
                <w:sz w:val="20"/>
              </w:rPr>
            </w:pPr>
            <w:r>
              <w:rPr>
                <w:rFonts w:ascii="Arial" w:hAnsi="Arial" w:cs="Arial"/>
                <w:color w:val="010000"/>
                <w:sz w:val="20"/>
              </w:rPr>
              <w:t>82,341,773 shares</w:t>
            </w:r>
          </w:p>
        </w:tc>
      </w:tr>
      <w:tr w:rsidR="00B36755" w14:paraId="64F90E04" w14:textId="77777777" w:rsidTr="00C60149">
        <w:tblPrEx>
          <w:tblCellMar>
            <w:top w:w="0" w:type="dxa"/>
            <w:bottom w:w="0" w:type="dxa"/>
          </w:tblCellMar>
        </w:tblPrEx>
        <w:trPr>
          <w:trHeight w:val="465"/>
        </w:trPr>
        <w:tc>
          <w:tcPr>
            <w:tcW w:w="4500" w:type="dxa"/>
          </w:tcPr>
          <w:p w14:paraId="7CBD002F" w14:textId="621C3986" w:rsidR="00B36755" w:rsidRDefault="00B36755" w:rsidP="00C60149">
            <w:pPr>
              <w:tabs>
                <w:tab w:val="left" w:pos="432"/>
              </w:tabs>
              <w:spacing w:after="120" w:line="360" w:lineRule="auto"/>
              <w:jc w:val="both"/>
              <w:rPr>
                <w:rFonts w:ascii="Arial" w:hAnsi="Arial" w:cs="Arial"/>
                <w:color w:val="010000"/>
                <w:sz w:val="20"/>
              </w:rPr>
            </w:pPr>
            <w:r>
              <w:rPr>
                <w:rFonts w:ascii="Arial" w:hAnsi="Arial" w:cs="Arial"/>
                <w:color w:val="010000"/>
                <w:sz w:val="20"/>
              </w:rPr>
              <w:t xml:space="preserve">The </w:t>
            </w:r>
            <w:r w:rsidRPr="00C60149">
              <w:rPr>
                <w:rFonts w:ascii="Arial" w:hAnsi="Arial" w:cs="Arial"/>
                <w:color w:val="010000"/>
                <w:sz w:val="20"/>
              </w:rPr>
              <w:t>maximum foreign ownership ratio</w:t>
            </w:r>
          </w:p>
        </w:tc>
        <w:tc>
          <w:tcPr>
            <w:tcW w:w="4095" w:type="dxa"/>
          </w:tcPr>
          <w:p w14:paraId="79BD0F18" w14:textId="5F588A05" w:rsidR="00B36755" w:rsidRDefault="00B36755" w:rsidP="00C60149">
            <w:pPr>
              <w:tabs>
                <w:tab w:val="left" w:pos="432"/>
              </w:tabs>
              <w:spacing w:after="120" w:line="360" w:lineRule="auto"/>
              <w:jc w:val="both"/>
              <w:rPr>
                <w:rFonts w:ascii="Arial" w:hAnsi="Arial" w:cs="Arial"/>
                <w:color w:val="010000"/>
                <w:sz w:val="20"/>
              </w:rPr>
            </w:pPr>
            <w:r>
              <w:rPr>
                <w:rFonts w:ascii="Arial" w:hAnsi="Arial" w:cs="Arial"/>
                <w:color w:val="010000"/>
                <w:sz w:val="20"/>
              </w:rPr>
              <w:t>50%</w:t>
            </w:r>
          </w:p>
        </w:tc>
      </w:tr>
      <w:tr w:rsidR="00B36755" w14:paraId="6D6CE602" w14:textId="77777777" w:rsidTr="00C60149">
        <w:tblPrEx>
          <w:tblCellMar>
            <w:top w:w="0" w:type="dxa"/>
            <w:bottom w:w="0" w:type="dxa"/>
          </w:tblCellMar>
        </w:tblPrEx>
        <w:trPr>
          <w:trHeight w:val="465"/>
        </w:trPr>
        <w:tc>
          <w:tcPr>
            <w:tcW w:w="4500" w:type="dxa"/>
          </w:tcPr>
          <w:p w14:paraId="2975DA54" w14:textId="0D6D21C7" w:rsidR="00B36755" w:rsidRDefault="00B36755" w:rsidP="00B36755">
            <w:pPr>
              <w:tabs>
                <w:tab w:val="left" w:pos="432"/>
              </w:tabs>
              <w:spacing w:after="120" w:line="360" w:lineRule="auto"/>
              <w:jc w:val="both"/>
              <w:rPr>
                <w:rFonts w:ascii="Arial" w:hAnsi="Arial" w:cs="Arial"/>
                <w:color w:val="010000"/>
                <w:sz w:val="20"/>
              </w:rPr>
            </w:pPr>
            <w:r>
              <w:rPr>
                <w:rFonts w:ascii="Arial" w:hAnsi="Arial" w:cs="Arial"/>
                <w:color w:val="010000"/>
                <w:sz w:val="20"/>
              </w:rPr>
              <w:t xml:space="preserve">The </w:t>
            </w:r>
            <w:r w:rsidRPr="00C60149">
              <w:rPr>
                <w:rFonts w:ascii="Arial" w:hAnsi="Arial" w:cs="Arial"/>
                <w:color w:val="010000"/>
                <w:sz w:val="20"/>
              </w:rPr>
              <w:t xml:space="preserve">maximum foreign ownership </w:t>
            </w:r>
            <w:r>
              <w:rPr>
                <w:rFonts w:ascii="Arial" w:hAnsi="Arial" w:cs="Arial"/>
                <w:color w:val="010000"/>
                <w:sz w:val="20"/>
              </w:rPr>
              <w:t xml:space="preserve">shares after </w:t>
            </w:r>
            <w:r>
              <w:rPr>
                <w:rFonts w:ascii="Arial" w:hAnsi="Arial" w:cs="Arial"/>
                <w:color w:val="010000"/>
                <w:sz w:val="20"/>
              </w:rPr>
              <w:t>the offering</w:t>
            </w:r>
          </w:p>
        </w:tc>
        <w:tc>
          <w:tcPr>
            <w:tcW w:w="4095" w:type="dxa"/>
          </w:tcPr>
          <w:p w14:paraId="294594DF" w14:textId="74A04D5A" w:rsidR="00B36755" w:rsidRDefault="00B36755" w:rsidP="00C60149">
            <w:pPr>
              <w:tabs>
                <w:tab w:val="left" w:pos="432"/>
              </w:tabs>
              <w:spacing w:after="120" w:line="360" w:lineRule="auto"/>
              <w:jc w:val="both"/>
              <w:rPr>
                <w:rFonts w:ascii="Arial" w:hAnsi="Arial" w:cs="Arial"/>
                <w:color w:val="010000"/>
                <w:sz w:val="20"/>
              </w:rPr>
            </w:pPr>
            <w:r>
              <w:rPr>
                <w:rFonts w:ascii="Arial" w:hAnsi="Arial" w:cs="Arial"/>
                <w:color w:val="010000"/>
                <w:sz w:val="20"/>
              </w:rPr>
              <w:t>41,170,886 shares</w:t>
            </w:r>
          </w:p>
        </w:tc>
      </w:tr>
      <w:tr w:rsidR="00B36755" w14:paraId="550C07F6" w14:textId="77777777" w:rsidTr="00C60149">
        <w:tblPrEx>
          <w:tblCellMar>
            <w:top w:w="0" w:type="dxa"/>
            <w:bottom w:w="0" w:type="dxa"/>
          </w:tblCellMar>
        </w:tblPrEx>
        <w:trPr>
          <w:trHeight w:val="465"/>
        </w:trPr>
        <w:tc>
          <w:tcPr>
            <w:tcW w:w="4500" w:type="dxa"/>
          </w:tcPr>
          <w:p w14:paraId="2688F195" w14:textId="7441C2B1" w:rsidR="00B36755" w:rsidRDefault="00B36755" w:rsidP="00B36755">
            <w:pPr>
              <w:tabs>
                <w:tab w:val="left" w:pos="432"/>
              </w:tabs>
              <w:spacing w:after="120" w:line="360" w:lineRule="auto"/>
              <w:jc w:val="both"/>
              <w:rPr>
                <w:rFonts w:ascii="Arial" w:hAnsi="Arial" w:cs="Arial"/>
                <w:color w:val="010000"/>
                <w:sz w:val="20"/>
              </w:rPr>
            </w:pPr>
            <w:r>
              <w:rPr>
                <w:rFonts w:ascii="Arial" w:hAnsi="Arial" w:cs="Arial"/>
                <w:color w:val="010000"/>
                <w:sz w:val="20"/>
              </w:rPr>
              <w:t>The shares are allowed to buy to ensure the issuing plan</w:t>
            </w:r>
          </w:p>
        </w:tc>
        <w:tc>
          <w:tcPr>
            <w:tcW w:w="4095" w:type="dxa"/>
          </w:tcPr>
          <w:p w14:paraId="6EA8993F" w14:textId="5AFF3362" w:rsidR="00B36755" w:rsidRDefault="00B36755" w:rsidP="00C60149">
            <w:pPr>
              <w:tabs>
                <w:tab w:val="left" w:pos="432"/>
              </w:tabs>
              <w:spacing w:after="120" w:line="360" w:lineRule="auto"/>
              <w:jc w:val="both"/>
              <w:rPr>
                <w:rFonts w:ascii="Arial" w:hAnsi="Arial" w:cs="Arial"/>
                <w:color w:val="010000"/>
                <w:sz w:val="20"/>
              </w:rPr>
            </w:pPr>
            <w:r>
              <w:rPr>
                <w:rFonts w:ascii="Arial" w:hAnsi="Arial" w:cs="Arial"/>
                <w:color w:val="010000"/>
                <w:sz w:val="20"/>
              </w:rPr>
              <w:t>32,770,886 shares</w:t>
            </w:r>
          </w:p>
        </w:tc>
      </w:tr>
      <w:tr w:rsidR="00B36755" w14:paraId="7A9504F5" w14:textId="77777777" w:rsidTr="00C60149">
        <w:tblPrEx>
          <w:tblCellMar>
            <w:top w:w="0" w:type="dxa"/>
            <w:bottom w:w="0" w:type="dxa"/>
          </w:tblCellMar>
        </w:tblPrEx>
        <w:trPr>
          <w:trHeight w:val="465"/>
        </w:trPr>
        <w:tc>
          <w:tcPr>
            <w:tcW w:w="4500" w:type="dxa"/>
          </w:tcPr>
          <w:p w14:paraId="4F94271E" w14:textId="432A1B65" w:rsidR="00B36755" w:rsidRDefault="00B36755" w:rsidP="00B36755">
            <w:pPr>
              <w:tabs>
                <w:tab w:val="left" w:pos="432"/>
              </w:tabs>
              <w:spacing w:after="120" w:line="360" w:lineRule="auto"/>
              <w:jc w:val="both"/>
              <w:rPr>
                <w:rFonts w:ascii="Arial" w:hAnsi="Arial" w:cs="Arial"/>
                <w:color w:val="010000"/>
                <w:sz w:val="20"/>
              </w:rPr>
            </w:pPr>
            <w:r>
              <w:rPr>
                <w:rFonts w:ascii="Arial" w:hAnsi="Arial" w:cs="Arial"/>
                <w:color w:val="010000"/>
                <w:sz w:val="20"/>
              </w:rPr>
              <w:t xml:space="preserve">The </w:t>
            </w:r>
            <w:r w:rsidRPr="00C60149">
              <w:rPr>
                <w:rFonts w:ascii="Arial" w:hAnsi="Arial" w:cs="Arial"/>
                <w:color w:val="010000"/>
                <w:sz w:val="20"/>
              </w:rPr>
              <w:t>temporarily locking the foreign ownership ratio</w:t>
            </w:r>
          </w:p>
        </w:tc>
        <w:tc>
          <w:tcPr>
            <w:tcW w:w="4095" w:type="dxa"/>
          </w:tcPr>
          <w:p w14:paraId="01AD90B4" w14:textId="223758C6" w:rsidR="00B36755" w:rsidRDefault="00B36755" w:rsidP="00C60149">
            <w:pPr>
              <w:tabs>
                <w:tab w:val="left" w:pos="432"/>
              </w:tabs>
              <w:spacing w:after="120" w:line="360" w:lineRule="auto"/>
              <w:jc w:val="both"/>
              <w:rPr>
                <w:rFonts w:ascii="Arial" w:hAnsi="Arial" w:cs="Arial"/>
                <w:color w:val="010000"/>
                <w:sz w:val="20"/>
              </w:rPr>
            </w:pPr>
            <w:r w:rsidRPr="00C60149">
              <w:rPr>
                <w:rFonts w:ascii="Arial" w:hAnsi="Arial" w:cs="Arial"/>
                <w:color w:val="010000"/>
                <w:sz w:val="20"/>
              </w:rPr>
              <w:t>44.31%</w:t>
            </w:r>
          </w:p>
        </w:tc>
      </w:tr>
    </w:tbl>
    <w:p w14:paraId="71AD71CF" w14:textId="77777777" w:rsidR="00C60149" w:rsidRPr="00C60149" w:rsidRDefault="00C60149" w:rsidP="00C60149">
      <w:pPr>
        <w:pBdr>
          <w:top w:val="nil"/>
          <w:left w:val="nil"/>
          <w:bottom w:val="nil"/>
          <w:right w:val="nil"/>
          <w:between w:val="nil"/>
        </w:pBdr>
        <w:tabs>
          <w:tab w:val="left" w:pos="432"/>
        </w:tabs>
        <w:spacing w:after="120" w:line="360" w:lineRule="auto"/>
        <w:jc w:val="both"/>
        <w:rPr>
          <w:rFonts w:ascii="Arial" w:hAnsi="Arial" w:cs="Arial"/>
          <w:color w:val="010000"/>
          <w:sz w:val="20"/>
        </w:rPr>
      </w:pPr>
    </w:p>
    <w:p w14:paraId="13799DD7" w14:textId="5C9BAC92" w:rsidR="00FD1AE1" w:rsidRPr="00C60149" w:rsidRDefault="00B36755" w:rsidP="00B36755">
      <w:pPr>
        <w:pBdr>
          <w:top w:val="nil"/>
          <w:left w:val="nil"/>
          <w:bottom w:val="nil"/>
          <w:right w:val="nil"/>
          <w:between w:val="nil"/>
        </w:pBdr>
        <w:tabs>
          <w:tab w:val="left" w:pos="432"/>
        </w:tabs>
        <w:spacing w:after="120" w:line="360" w:lineRule="auto"/>
        <w:jc w:val="both"/>
        <w:rPr>
          <w:rFonts w:ascii="Arial" w:hAnsi="Arial" w:cs="Arial"/>
          <w:color w:val="010000"/>
          <w:sz w:val="20"/>
        </w:rPr>
      </w:pPr>
      <w:r>
        <w:rPr>
          <w:rFonts w:ascii="Arial" w:hAnsi="Arial" w:cs="Arial"/>
          <w:color w:val="010000"/>
          <w:sz w:val="20"/>
        </w:rPr>
        <w:t>Article 2</w:t>
      </w:r>
      <w:r w:rsidRPr="002D5B52">
        <w:rPr>
          <w:rFonts w:ascii="Arial" w:hAnsi="Arial" w:cs="Arial"/>
          <w:color w:val="010000"/>
          <w:sz w:val="20"/>
        </w:rPr>
        <w:t>.</w:t>
      </w:r>
      <w:r>
        <w:rPr>
          <w:rFonts w:ascii="Arial" w:hAnsi="Arial" w:cs="Arial"/>
          <w:color w:val="010000"/>
          <w:sz w:val="20"/>
        </w:rPr>
        <w:t xml:space="preserve"> </w:t>
      </w:r>
      <w:r>
        <w:rPr>
          <w:rFonts w:ascii="Arial" w:hAnsi="Arial" w:cs="Arial"/>
          <w:color w:val="010000"/>
          <w:sz w:val="20"/>
        </w:rPr>
        <w:t xml:space="preserve">The </w:t>
      </w:r>
      <w:r w:rsidRPr="00C60149">
        <w:rPr>
          <w:rFonts w:ascii="Arial" w:hAnsi="Arial" w:cs="Arial"/>
          <w:color w:val="010000"/>
          <w:sz w:val="20"/>
        </w:rPr>
        <w:t xml:space="preserve">temporarily locking the foreign ownership </w:t>
      </w:r>
      <w:r>
        <w:rPr>
          <w:rFonts w:ascii="Arial" w:hAnsi="Arial" w:cs="Arial"/>
          <w:color w:val="010000"/>
          <w:sz w:val="20"/>
        </w:rPr>
        <w:t>ration on update day at 25/7/2023 was 27.14%.</w:t>
      </w:r>
    </w:p>
    <w:p w14:paraId="4B1E1A81" w14:textId="414BCE9C" w:rsidR="00FD1AE1" w:rsidRPr="002D5B52" w:rsidRDefault="00B36755" w:rsidP="00EE16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Article 3</w:t>
      </w:r>
      <w:r w:rsidR="003D5E20" w:rsidRPr="002D5B52">
        <w:rPr>
          <w:rFonts w:ascii="Arial" w:hAnsi="Arial" w:cs="Arial"/>
          <w:color w:val="010000"/>
          <w:sz w:val="20"/>
        </w:rPr>
        <w:t xml:space="preserve">. </w:t>
      </w:r>
      <w:bookmarkStart w:id="0" w:name="_heading=h.gjdgxs"/>
      <w:bookmarkEnd w:id="0"/>
      <w:r w:rsidR="003D5E20" w:rsidRPr="002D5B52">
        <w:rPr>
          <w:rFonts w:ascii="Arial" w:hAnsi="Arial" w:cs="Arial"/>
          <w:color w:val="010000"/>
          <w:sz w:val="20"/>
        </w:rPr>
        <w:t>This Resolution takes effect from the date of its signing. Members of the Board of Directors, the General Manager, the Deputy General Managers of the Company and related departments and individuals of the Company are responsible for the impl</w:t>
      </w:r>
      <w:r>
        <w:rPr>
          <w:rFonts w:ascii="Arial" w:hAnsi="Arial" w:cs="Arial"/>
          <w:color w:val="010000"/>
          <w:sz w:val="20"/>
        </w:rPr>
        <w:t>ementation of this Resolution./.</w:t>
      </w:r>
      <w:bookmarkStart w:id="1" w:name="_GoBack"/>
      <w:bookmarkEnd w:id="1"/>
    </w:p>
    <w:sectPr w:rsidR="00FD1AE1" w:rsidRPr="002D5B52" w:rsidSect="008F3527">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057F2"/>
    <w:multiLevelType w:val="multilevel"/>
    <w:tmpl w:val="F43C6CF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03C7576"/>
    <w:multiLevelType w:val="multilevel"/>
    <w:tmpl w:val="AFFAA888"/>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9AF12B5"/>
    <w:multiLevelType w:val="multilevel"/>
    <w:tmpl w:val="1608A12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2CB71C8"/>
    <w:multiLevelType w:val="multilevel"/>
    <w:tmpl w:val="73F2729E"/>
    <w:lvl w:ilvl="0">
      <w:start w:val="1"/>
      <w:numFmt w:val="decimal"/>
      <w:lvlText w:val="4.%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3B26B9"/>
    <w:multiLevelType w:val="multilevel"/>
    <w:tmpl w:val="AC3E69B8"/>
    <w:lvl w:ilvl="0">
      <w:start w:val="1"/>
      <w:numFmt w:val="bullet"/>
      <w:lvlText w:val="o"/>
      <w:lvlJc w:val="left"/>
      <w:pPr>
        <w:ind w:left="720" w:hanging="360"/>
      </w:pPr>
      <w:rPr>
        <w:rFonts w:ascii="Courier New" w:eastAsia="Courier New" w:hAnsi="Courier New" w:cs="Courier New"/>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694674"/>
    <w:multiLevelType w:val="multilevel"/>
    <w:tmpl w:val="81CA9BB6"/>
    <w:lvl w:ilvl="0">
      <w:start w:val="3"/>
      <w:numFmt w:val="decimal"/>
      <w:lvlText w:val="4.%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D61133F"/>
    <w:multiLevelType w:val="multilevel"/>
    <w:tmpl w:val="4814B496"/>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4ED74C1"/>
    <w:multiLevelType w:val="multilevel"/>
    <w:tmpl w:val="4E8CE37C"/>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A2B254A"/>
    <w:multiLevelType w:val="multilevel"/>
    <w:tmpl w:val="29608B66"/>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BCD32E1"/>
    <w:multiLevelType w:val="multilevel"/>
    <w:tmpl w:val="50DA26F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E4313E4"/>
    <w:multiLevelType w:val="multilevel"/>
    <w:tmpl w:val="EB082AB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FD61C22"/>
    <w:multiLevelType w:val="multilevel"/>
    <w:tmpl w:val="E916984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3B0102B"/>
    <w:multiLevelType w:val="multilevel"/>
    <w:tmpl w:val="C15694F6"/>
    <w:lvl w:ilvl="0">
      <w:start w:val="1"/>
      <w:numFmt w:val="decimal"/>
      <w:lvlText w:val="3.%1."/>
      <w:lvlJc w:val="left"/>
      <w:pPr>
        <w:ind w:left="720" w:hanging="360"/>
      </w:pPr>
      <w:rPr>
        <w:b w:val="0"/>
        <w:i w:val="0"/>
        <w:sz w:val="20"/>
      </w:rPr>
    </w:lvl>
    <w:lvl w:ilvl="1">
      <w:start w:val="1"/>
      <w:numFmt w:val="decimal"/>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55362DB"/>
    <w:multiLevelType w:val="multilevel"/>
    <w:tmpl w:val="E6364076"/>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4F34E75"/>
    <w:multiLevelType w:val="multilevel"/>
    <w:tmpl w:val="4642DC02"/>
    <w:lvl w:ilvl="0">
      <w:start w:val="2"/>
      <w:numFmt w:val="decimal"/>
      <w:lvlText w:val="3.%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5326159"/>
    <w:multiLevelType w:val="multilevel"/>
    <w:tmpl w:val="24CAACC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1"/>
  </w:num>
  <w:num w:numId="3">
    <w:abstractNumId w:val="10"/>
  </w:num>
  <w:num w:numId="4">
    <w:abstractNumId w:val="12"/>
  </w:num>
  <w:num w:numId="5">
    <w:abstractNumId w:val="0"/>
  </w:num>
  <w:num w:numId="6">
    <w:abstractNumId w:val="15"/>
  </w:num>
  <w:num w:numId="7">
    <w:abstractNumId w:val="13"/>
  </w:num>
  <w:num w:numId="8">
    <w:abstractNumId w:val="14"/>
  </w:num>
  <w:num w:numId="9">
    <w:abstractNumId w:val="3"/>
  </w:num>
  <w:num w:numId="10">
    <w:abstractNumId w:val="9"/>
  </w:num>
  <w:num w:numId="11">
    <w:abstractNumId w:val="4"/>
  </w:num>
  <w:num w:numId="12">
    <w:abstractNumId w:val="1"/>
  </w:num>
  <w:num w:numId="13">
    <w:abstractNumId w:val="5"/>
  </w:num>
  <w:num w:numId="14">
    <w:abstractNumId w:val="8"/>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E1"/>
    <w:rsid w:val="002D5B52"/>
    <w:rsid w:val="003D5E20"/>
    <w:rsid w:val="004200B3"/>
    <w:rsid w:val="00650229"/>
    <w:rsid w:val="00887664"/>
    <w:rsid w:val="008F3527"/>
    <w:rsid w:val="00B36755"/>
    <w:rsid w:val="00C60149"/>
    <w:rsid w:val="00D82420"/>
    <w:rsid w:val="00EE1619"/>
    <w:rsid w:val="00F372BA"/>
    <w:rsid w:val="00FD1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14215"/>
  <w15:docId w15:val="{62F693A0-340D-4363-ABC4-FD56BA1C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9CA4A9"/>
      <w:sz w:val="78"/>
      <w:szCs w:val="7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6E7272"/>
      <w:sz w:val="30"/>
      <w:szCs w:val="3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Bodytext40">
    <w:name w:val="Body text (4)"/>
    <w:basedOn w:val="Normal"/>
    <w:link w:val="Bodytext4"/>
    <w:pPr>
      <w:jc w:val="center"/>
    </w:pPr>
    <w:rPr>
      <w:rFonts w:ascii="Arial" w:eastAsia="Arial" w:hAnsi="Arial" w:cs="Arial"/>
      <w:color w:val="9CA4A9"/>
      <w:sz w:val="78"/>
      <w:szCs w:val="78"/>
    </w:rPr>
  </w:style>
  <w:style w:type="paragraph" w:customStyle="1" w:styleId="Bodytext30">
    <w:name w:val="Body text (3)"/>
    <w:basedOn w:val="Normal"/>
    <w:link w:val="Bodytext3"/>
    <w:pPr>
      <w:spacing w:line="238" w:lineRule="auto"/>
      <w:ind w:left="2680"/>
    </w:pPr>
    <w:rPr>
      <w:rFonts w:ascii="Arial" w:eastAsia="Arial" w:hAnsi="Arial" w:cs="Arial"/>
      <w:sz w:val="26"/>
      <w:szCs w:val="26"/>
    </w:rPr>
  </w:style>
  <w:style w:type="paragraph" w:styleId="BodyText">
    <w:name w:val="Body Text"/>
    <w:basedOn w:val="Normal"/>
    <w:link w:val="BodyTextChar"/>
    <w:qFormat/>
    <w:pPr>
      <w:spacing w:line="286" w:lineRule="auto"/>
    </w:pPr>
    <w:rPr>
      <w:rFonts w:ascii="Times New Roman" w:eastAsia="Times New Roman" w:hAnsi="Times New Roman" w:cs="Times New Roman"/>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6E7272"/>
      <w:sz w:val="30"/>
      <w:szCs w:val="30"/>
    </w:rPr>
  </w:style>
  <w:style w:type="paragraph" w:customStyle="1" w:styleId="Other0">
    <w:name w:val="Other"/>
    <w:basedOn w:val="Normal"/>
    <w:link w:val="Other"/>
    <w:pPr>
      <w:spacing w:line="286" w:lineRule="auto"/>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Bodytext20">
    <w:name w:val="Body text (2)"/>
    <w:basedOn w:val="Normal"/>
    <w:link w:val="Bodytext2"/>
    <w:pPr>
      <w:ind w:firstLine="26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774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pgzbdzcteUhNoQzaqUo07dYc/w==">CgMxLjAyCGguZ2pkZ3hzOAByITFURnZUQkFXM3NpMS1JYzRWWVNXdUhMaDFiSnMwU3ZyWg==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14</cp:revision>
  <dcterms:created xsi:type="dcterms:W3CDTF">2023-11-30T01:55:00Z</dcterms:created>
  <dcterms:modified xsi:type="dcterms:W3CDTF">2023-12-01T10:57:00Z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288fd857e8e3c5487a7f818e22573c68d50856bed4f080b2444946d78f4fa6e3</vt:lpwstr>
  </property>
</Properties>
</file>