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5B30" w14:textId="77777777" w:rsidR="004E3134" w:rsidRPr="000631EE" w:rsidRDefault="006D403F" w:rsidP="00CA6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631EE">
        <w:rPr>
          <w:rFonts w:ascii="Arial" w:hAnsi="Arial" w:cs="Arial"/>
          <w:b/>
          <w:color w:val="010000"/>
          <w:sz w:val="20"/>
        </w:rPr>
        <w:t>FOX: Annual General Mandate 2023</w:t>
      </w:r>
    </w:p>
    <w:p w14:paraId="594B1BB3" w14:textId="77777777" w:rsidR="004E3134" w:rsidRPr="000631EE" w:rsidRDefault="006D403F" w:rsidP="00CA6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On April 25, 2023, FPT Telecom Joint Stock Company announced General Mandate No. 01/NQ-DHDCD/FTEL as follows:</w:t>
      </w:r>
    </w:p>
    <w:p w14:paraId="31728502" w14:textId="46A4E12A" w:rsidR="004E3134" w:rsidRPr="000631EE" w:rsidRDefault="006D403F" w:rsidP="00CA6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1631"/>
          <w:tab w:val="left" w:pos="1835"/>
          <w:tab w:val="left" w:pos="2166"/>
          <w:tab w:val="center" w:pos="3809"/>
          <w:tab w:val="left" w:pos="4934"/>
          <w:tab w:val="right" w:pos="5750"/>
          <w:tab w:val="left" w:pos="5935"/>
          <w:tab w:val="center" w:pos="6315"/>
          <w:tab w:val="center" w:pos="6781"/>
          <w:tab w:val="right" w:pos="79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Approve the Report of the Board of Directors in 2022 and the term 2018 </w:t>
      </w:r>
      <w:r w:rsidR="00CA6219" w:rsidRPr="000631EE">
        <w:rPr>
          <w:rFonts w:ascii="Arial" w:hAnsi="Arial" w:cs="Arial"/>
          <w:color w:val="010000"/>
          <w:sz w:val="20"/>
        </w:rPr>
        <w:t>–</w:t>
      </w:r>
      <w:r w:rsidRPr="000631EE">
        <w:rPr>
          <w:rFonts w:ascii="Arial" w:hAnsi="Arial" w:cs="Arial"/>
          <w:color w:val="010000"/>
          <w:sz w:val="20"/>
        </w:rPr>
        <w:t xml:space="preserve"> 2023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3691"/>
        <w:gridCol w:w="1261"/>
        <w:gridCol w:w="1322"/>
        <w:gridCol w:w="2121"/>
      </w:tblGrid>
      <w:tr w:rsidR="00CA6219" w:rsidRPr="000631EE" w14:paraId="26B84161" w14:textId="77777777" w:rsidTr="00764ABB">
        <w:tc>
          <w:tcPr>
            <w:tcW w:w="346" w:type="pct"/>
            <w:shd w:val="clear" w:color="auto" w:fill="auto"/>
            <w:vAlign w:val="center"/>
          </w:tcPr>
          <w:p w14:paraId="34F9D646" w14:textId="77777777" w:rsidR="00CA6219" w:rsidRPr="000631EE" w:rsidRDefault="00CA6219" w:rsidP="005B0A65">
            <w:pPr>
              <w:pStyle w:val="ListParagraph"/>
              <w:keepNext/>
              <w:spacing w:after="120" w:line="360" w:lineRule="auto"/>
              <w:ind w:left="0"/>
              <w:jc w:val="center"/>
              <w:rPr>
                <w:rFonts w:ascii="Arial" w:hAnsi="Arial" w:cs="Arial"/>
                <w:color w:val="010000"/>
                <w:sz w:val="20"/>
                <w:szCs w:val="72"/>
              </w:rPr>
            </w:pPr>
            <w:r w:rsidRPr="000631EE">
              <w:rPr>
                <w:rFonts w:ascii="Arial" w:hAnsi="Arial" w:cs="Arial"/>
                <w:color w:val="010000"/>
                <w:sz w:val="20"/>
                <w:szCs w:val="72"/>
              </w:rPr>
              <w:t>No.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6F9DFE6A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B36112F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43E087A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AD7DFF9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Increase/decrease (%)</w:t>
            </w:r>
          </w:p>
        </w:tc>
      </w:tr>
      <w:tr w:rsidR="00CA6219" w:rsidRPr="000631EE" w14:paraId="0AD25E11" w14:textId="77777777" w:rsidTr="00764ABB">
        <w:tc>
          <w:tcPr>
            <w:tcW w:w="346" w:type="pct"/>
            <w:shd w:val="clear" w:color="auto" w:fill="auto"/>
            <w:vAlign w:val="center"/>
          </w:tcPr>
          <w:p w14:paraId="05B0EBA0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6F4C143E" w14:textId="77777777" w:rsidR="00CA6219" w:rsidRPr="000631EE" w:rsidRDefault="00CA6219" w:rsidP="00CA6219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4B1746D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14,730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6CC54A3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12,686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7D7BF4A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16.1%</w:t>
            </w:r>
          </w:p>
        </w:tc>
      </w:tr>
      <w:tr w:rsidR="00CA6219" w:rsidRPr="000631EE" w14:paraId="62B01AA0" w14:textId="77777777" w:rsidTr="00764ABB">
        <w:trPr>
          <w:trHeight w:val="141"/>
        </w:trPr>
        <w:tc>
          <w:tcPr>
            <w:tcW w:w="346" w:type="pct"/>
            <w:shd w:val="clear" w:color="auto" w:fill="auto"/>
            <w:vAlign w:val="center"/>
          </w:tcPr>
          <w:p w14:paraId="436F6008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22C3F30B" w14:textId="77777777" w:rsidR="00CA6219" w:rsidRPr="000631EE" w:rsidRDefault="00CA6219" w:rsidP="00CA6219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24FA232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2,818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40E30A7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2,395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F6D645D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17.6%</w:t>
            </w:r>
          </w:p>
        </w:tc>
      </w:tr>
      <w:tr w:rsidR="00CA6219" w:rsidRPr="000631EE" w14:paraId="0FF9E6B2" w14:textId="77777777" w:rsidTr="00764ABB">
        <w:tc>
          <w:tcPr>
            <w:tcW w:w="346" w:type="pct"/>
            <w:shd w:val="clear" w:color="auto" w:fill="auto"/>
            <w:vAlign w:val="center"/>
          </w:tcPr>
          <w:p w14:paraId="18FA59F9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575A63DF" w14:textId="77777777" w:rsidR="00CA6219" w:rsidRPr="000631EE" w:rsidRDefault="00CA6219" w:rsidP="00CA6219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B6479D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559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8E63791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479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2EE6DE0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16.7%</w:t>
            </w:r>
          </w:p>
        </w:tc>
      </w:tr>
      <w:tr w:rsidR="00CA6219" w:rsidRPr="000631EE" w14:paraId="2CD4A7F8" w14:textId="77777777" w:rsidTr="00764ABB">
        <w:tc>
          <w:tcPr>
            <w:tcW w:w="346" w:type="pct"/>
            <w:shd w:val="clear" w:color="auto" w:fill="auto"/>
            <w:vAlign w:val="center"/>
          </w:tcPr>
          <w:p w14:paraId="0113F69D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75E89523" w14:textId="77777777" w:rsidR="00CA6219" w:rsidRPr="000631EE" w:rsidRDefault="00CA6219" w:rsidP="00CA6219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6AE5114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2,258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8697144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1,916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02B0111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17.9%</w:t>
            </w:r>
          </w:p>
        </w:tc>
      </w:tr>
      <w:tr w:rsidR="00CA6219" w:rsidRPr="000631EE" w14:paraId="5BDE5BE0" w14:textId="77777777" w:rsidTr="00764ABB">
        <w:tc>
          <w:tcPr>
            <w:tcW w:w="346" w:type="pct"/>
            <w:shd w:val="clear" w:color="auto" w:fill="auto"/>
            <w:vAlign w:val="center"/>
          </w:tcPr>
          <w:p w14:paraId="753C90CF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2046" w:type="pct"/>
            <w:shd w:val="clear" w:color="auto" w:fill="auto"/>
            <w:vAlign w:val="center"/>
          </w:tcPr>
          <w:p w14:paraId="2F8C4C7D" w14:textId="77777777" w:rsidR="00CA6219" w:rsidRPr="000631EE" w:rsidRDefault="00CA6219" w:rsidP="00CA6219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Interest of minority shareholders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45F117B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108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E2E6CC2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96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60F167C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12.4%</w:t>
            </w:r>
          </w:p>
        </w:tc>
      </w:tr>
      <w:tr w:rsidR="00CA6219" w:rsidRPr="000631EE" w14:paraId="362557C2" w14:textId="77777777" w:rsidTr="00764ABB">
        <w:tc>
          <w:tcPr>
            <w:tcW w:w="346" w:type="pct"/>
            <w:shd w:val="clear" w:color="auto" w:fill="auto"/>
            <w:vAlign w:val="center"/>
          </w:tcPr>
          <w:p w14:paraId="7C778F7E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2046" w:type="pct"/>
            <w:shd w:val="clear" w:color="auto" w:fill="auto"/>
            <w:vAlign w:val="center"/>
          </w:tcPr>
          <w:p w14:paraId="11C8BCED" w14:textId="77777777" w:rsidR="00CA6219" w:rsidRPr="000631EE" w:rsidRDefault="00CA6219" w:rsidP="00CA6219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Profit after tax of the Holding Company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D049627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2,151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4015001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1,820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166F72E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18.2%</w:t>
            </w:r>
          </w:p>
        </w:tc>
      </w:tr>
      <w:tr w:rsidR="00CA6219" w:rsidRPr="000631EE" w14:paraId="14F0F16F" w14:textId="77777777" w:rsidTr="00764ABB">
        <w:tc>
          <w:tcPr>
            <w:tcW w:w="346" w:type="pct"/>
            <w:shd w:val="clear" w:color="auto" w:fill="auto"/>
            <w:vAlign w:val="center"/>
          </w:tcPr>
          <w:p w14:paraId="51A48238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2F2488E5" w14:textId="77777777" w:rsidR="00CA6219" w:rsidRPr="000631EE" w:rsidRDefault="00CA6219" w:rsidP="00CA6219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Basic EPS (VND/share)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7A477E8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5,870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B98DA64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4,926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1FF29BC" w14:textId="77777777" w:rsidR="00CA6219" w:rsidRPr="000631EE" w:rsidRDefault="00CA6219" w:rsidP="00CA6219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19.2%</w:t>
            </w:r>
          </w:p>
        </w:tc>
      </w:tr>
    </w:tbl>
    <w:p w14:paraId="1165758C" w14:textId="77777777" w:rsidR="004E3134" w:rsidRPr="000631EE" w:rsidRDefault="006D403F" w:rsidP="00CA6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  <w:tab w:val="left" w:pos="1838"/>
          <w:tab w:val="left" w:pos="2198"/>
          <w:tab w:val="center" w:pos="38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Report of the Supervisory Board in 2022.</w:t>
      </w:r>
    </w:p>
    <w:p w14:paraId="7C5B2AD6" w14:textId="77777777" w:rsidR="004E3134" w:rsidRPr="000631EE" w:rsidRDefault="006D403F" w:rsidP="00CA6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  <w:tab w:val="left" w:pos="1828"/>
          <w:tab w:val="left" w:pos="2188"/>
          <w:tab w:val="center" w:pos="38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Financial Statements 2022.</w:t>
      </w:r>
    </w:p>
    <w:p w14:paraId="50874FAC" w14:textId="77777777" w:rsidR="004E3134" w:rsidRPr="000631EE" w:rsidRDefault="006D403F" w:rsidP="00CA6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profit distribution plan in 2022 as follows:</w:t>
      </w:r>
    </w:p>
    <w:p w14:paraId="7208641B" w14:textId="77777777" w:rsidR="004E3134" w:rsidRPr="000631EE" w:rsidRDefault="006D403F" w:rsidP="00CA62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Plan on the dividend payment of 2022 in cash:</w:t>
      </w:r>
    </w:p>
    <w:p w14:paraId="46F54BDB" w14:textId="75322A3F" w:rsidR="004E3134" w:rsidRPr="000631EE" w:rsidRDefault="006D403F" w:rsidP="00CA62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The rate for dividend payment of 2022 in cash is VND 3,000/share (in which the first </w:t>
      </w:r>
      <w:r w:rsidR="005B0A65" w:rsidRPr="000631EE">
        <w:rPr>
          <w:rFonts w:ascii="Arial" w:hAnsi="Arial" w:cs="Arial"/>
          <w:color w:val="010000"/>
          <w:sz w:val="20"/>
        </w:rPr>
        <w:t>prepayment</w:t>
      </w:r>
      <w:r w:rsidRPr="000631EE">
        <w:rPr>
          <w:rFonts w:ascii="Arial" w:hAnsi="Arial" w:cs="Arial"/>
          <w:color w:val="010000"/>
          <w:sz w:val="20"/>
        </w:rPr>
        <w:t xml:space="preserve"> is VND 1,000/share in August 2022 and the second </w:t>
      </w:r>
      <w:r w:rsidR="005B0A65" w:rsidRPr="000631EE">
        <w:rPr>
          <w:rFonts w:ascii="Arial" w:hAnsi="Arial" w:cs="Arial"/>
          <w:color w:val="010000"/>
          <w:sz w:val="20"/>
        </w:rPr>
        <w:t xml:space="preserve">prepayment </w:t>
      </w:r>
      <w:r w:rsidRPr="000631EE">
        <w:rPr>
          <w:rFonts w:ascii="Arial" w:hAnsi="Arial" w:cs="Arial"/>
          <w:color w:val="010000"/>
          <w:sz w:val="20"/>
        </w:rPr>
        <w:t>is VND 2,000/share expected to be paid after the General Meeting of Shareholders)</w:t>
      </w:r>
    </w:p>
    <w:p w14:paraId="4B6BE7B3" w14:textId="77777777" w:rsidR="004E3134" w:rsidRPr="000631EE" w:rsidRDefault="006D403F" w:rsidP="00CA62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Authorize the Board of Directors to implement details of the dividend payment in cash.</w:t>
      </w:r>
    </w:p>
    <w:p w14:paraId="05A4A163" w14:textId="77777777" w:rsidR="004E3134" w:rsidRPr="000631EE" w:rsidRDefault="006D403F" w:rsidP="00CA62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Plan on share issuance to increase share capital</w:t>
      </w:r>
    </w:p>
    <w:p w14:paraId="17D000E6" w14:textId="77777777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The rate of issued shares is 50% (Shareholders will receive 5 new shares for 10 existing shares they own)</w:t>
      </w:r>
    </w:p>
    <w:p w14:paraId="21BF384B" w14:textId="77777777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Source of capital for implementation: The retained profit and the investment and development fund</w:t>
      </w:r>
    </w:p>
    <w:p w14:paraId="3FDF6CB0" w14:textId="50AD71D1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The plan on handling fractional shares arising: The number of newly issued shares to implement the capital increase received by each shareholder will be rounded to units according to the round-down principle</w:t>
      </w:r>
      <w:r w:rsidR="00360444" w:rsidRPr="000631EE">
        <w:rPr>
          <w:rFonts w:ascii="Arial" w:hAnsi="Arial" w:cs="Arial"/>
          <w:color w:val="010000"/>
          <w:sz w:val="20"/>
        </w:rPr>
        <w:t>.</w:t>
      </w:r>
      <w:r w:rsidRPr="000631EE">
        <w:rPr>
          <w:rFonts w:ascii="Arial" w:hAnsi="Arial" w:cs="Arial"/>
          <w:color w:val="010000"/>
          <w:sz w:val="20"/>
        </w:rPr>
        <w:t xml:space="preserve"> The fraction shares (if any) will be removed.</w:t>
      </w:r>
    </w:p>
    <w:p w14:paraId="795974CD" w14:textId="77777777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Execution time: In 2023.</w:t>
      </w:r>
    </w:p>
    <w:p w14:paraId="77E2C6A5" w14:textId="059F9F94" w:rsidR="004E3134" w:rsidRPr="000631EE" w:rsidRDefault="00360444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Authorize </w:t>
      </w:r>
      <w:r w:rsidR="006D403F" w:rsidRPr="000631EE">
        <w:rPr>
          <w:rFonts w:ascii="Arial" w:hAnsi="Arial" w:cs="Arial"/>
          <w:color w:val="010000"/>
          <w:sz w:val="20"/>
        </w:rPr>
        <w:t>the Board of Directors to implement details of the share issuance to increase share capital</w:t>
      </w:r>
      <w:r w:rsidRPr="000631EE">
        <w:rPr>
          <w:rFonts w:ascii="Arial" w:hAnsi="Arial" w:cs="Arial"/>
          <w:color w:val="010000"/>
          <w:sz w:val="20"/>
        </w:rPr>
        <w:t>.</w:t>
      </w:r>
    </w:p>
    <w:p w14:paraId="51EB909E" w14:textId="77777777" w:rsidR="004E3134" w:rsidRPr="000631EE" w:rsidRDefault="006D403F" w:rsidP="00CA62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lastRenderedPageBreak/>
        <w:t>Appropriation for investment and development fund, bonus and welfare fund in 2021:</w:t>
      </w:r>
    </w:p>
    <w:p w14:paraId="5517CDCC" w14:textId="5D05CB1F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Appropriation for investment and development fund is</w:t>
      </w:r>
      <w:r w:rsidR="00360444" w:rsidRPr="000631EE">
        <w:rPr>
          <w:rFonts w:ascii="Arial" w:hAnsi="Arial" w:cs="Arial"/>
          <w:color w:val="010000"/>
          <w:sz w:val="20"/>
        </w:rPr>
        <w:t xml:space="preserve"> </w:t>
      </w:r>
      <w:r w:rsidRPr="000631EE">
        <w:rPr>
          <w:rFonts w:ascii="Arial" w:hAnsi="Arial" w:cs="Arial"/>
          <w:color w:val="010000"/>
          <w:sz w:val="20"/>
        </w:rPr>
        <w:t>15% of profit after tax in 2022, implement</w:t>
      </w:r>
      <w:r w:rsidR="00360444" w:rsidRPr="000631EE">
        <w:rPr>
          <w:rFonts w:ascii="Arial" w:hAnsi="Arial" w:cs="Arial"/>
          <w:color w:val="010000"/>
          <w:sz w:val="20"/>
        </w:rPr>
        <w:t>ed</w:t>
      </w:r>
      <w:r w:rsidRPr="000631EE">
        <w:rPr>
          <w:rFonts w:ascii="Arial" w:hAnsi="Arial" w:cs="Arial"/>
          <w:color w:val="010000"/>
          <w:sz w:val="20"/>
        </w:rPr>
        <w:t xml:space="preserve"> in 2022</w:t>
      </w:r>
    </w:p>
    <w:p w14:paraId="0D3EE121" w14:textId="51B533D7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Appropriation for bonus and welfare fund is 10% of profit after tax in 2022, </w:t>
      </w:r>
      <w:r w:rsidR="00360444" w:rsidRPr="000631EE">
        <w:rPr>
          <w:rFonts w:ascii="Arial" w:hAnsi="Arial" w:cs="Arial"/>
          <w:color w:val="010000"/>
          <w:sz w:val="20"/>
        </w:rPr>
        <w:t xml:space="preserve">implemented </w:t>
      </w:r>
      <w:r w:rsidRPr="000631EE">
        <w:rPr>
          <w:rFonts w:ascii="Arial" w:hAnsi="Arial" w:cs="Arial"/>
          <w:color w:val="010000"/>
          <w:sz w:val="20"/>
        </w:rPr>
        <w:t>in 2022</w:t>
      </w:r>
    </w:p>
    <w:p w14:paraId="404F768C" w14:textId="77777777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Source of capital for implementation: Profit after tax in 2022 of the Company.</w:t>
      </w:r>
    </w:p>
    <w:p w14:paraId="43839E3E" w14:textId="79D3CD78" w:rsidR="004E3134" w:rsidRPr="000631EE" w:rsidRDefault="006D403F" w:rsidP="00CA6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Authorize the Board of Directors </w:t>
      </w:r>
      <w:r w:rsidR="00360444" w:rsidRPr="000631EE">
        <w:rPr>
          <w:rFonts w:ascii="Arial" w:hAnsi="Arial" w:cs="Arial"/>
          <w:color w:val="010000"/>
          <w:sz w:val="20"/>
        </w:rPr>
        <w:t>to implement the tasks.</w:t>
      </w:r>
    </w:p>
    <w:p w14:paraId="2B5A9202" w14:textId="77777777" w:rsidR="004E3134" w:rsidRPr="000631EE" w:rsidRDefault="006D403F" w:rsidP="00CA6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plan for 2023:</w:t>
      </w:r>
    </w:p>
    <w:p w14:paraId="4CA01644" w14:textId="77777777" w:rsidR="004E3134" w:rsidRPr="000631EE" w:rsidRDefault="006D403F" w:rsidP="00CA6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Revenue: VND 16,740 billion</w:t>
      </w:r>
    </w:p>
    <w:p w14:paraId="348309BE" w14:textId="4D7E6BCE" w:rsidR="004E3134" w:rsidRPr="000631EE" w:rsidRDefault="006D403F" w:rsidP="00CA6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Profit before tax</w:t>
      </w:r>
      <w:r w:rsidR="00360444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VND 3,230 billion</w:t>
      </w:r>
    </w:p>
    <w:p w14:paraId="22198C1A" w14:textId="4CF7193E" w:rsidR="004E3134" w:rsidRPr="000631EE" w:rsidRDefault="006D403F" w:rsidP="00CA6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The dividend payment plan in 2023</w:t>
      </w:r>
      <w:r w:rsidR="00360444" w:rsidRPr="000631EE">
        <w:rPr>
          <w:rFonts w:ascii="Arial" w:hAnsi="Arial" w:cs="Arial"/>
          <w:color w:val="010000"/>
          <w:sz w:val="20"/>
        </w:rPr>
        <w:t xml:space="preserve">: </w:t>
      </w:r>
      <w:r w:rsidRPr="000631EE">
        <w:rPr>
          <w:rFonts w:ascii="Arial" w:hAnsi="Arial" w:cs="Arial"/>
          <w:color w:val="010000"/>
          <w:sz w:val="20"/>
        </w:rPr>
        <w:t>not lower than VND 2,000/share.</w:t>
      </w:r>
    </w:p>
    <w:p w14:paraId="49207F43" w14:textId="2E17F771" w:rsidR="004E3134" w:rsidRPr="000631EE" w:rsidRDefault="006D403F" w:rsidP="00CA6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Appropriation for bonus and welfare fund</w:t>
      </w:r>
      <w:r w:rsidR="00360444" w:rsidRPr="000631EE">
        <w:rPr>
          <w:rFonts w:ascii="Arial" w:hAnsi="Arial" w:cs="Arial"/>
          <w:color w:val="010000"/>
          <w:sz w:val="20"/>
        </w:rPr>
        <w:t xml:space="preserve">: </w:t>
      </w:r>
      <w:r w:rsidRPr="000631EE">
        <w:rPr>
          <w:rFonts w:ascii="Arial" w:hAnsi="Arial" w:cs="Arial"/>
          <w:color w:val="010000"/>
          <w:sz w:val="20"/>
        </w:rPr>
        <w:t>not exceeding 10% of profit after tax</w:t>
      </w:r>
      <w:r w:rsidR="00360444" w:rsidRPr="000631EE">
        <w:rPr>
          <w:rFonts w:ascii="Arial" w:hAnsi="Arial" w:cs="Arial"/>
          <w:color w:val="010000"/>
          <w:sz w:val="20"/>
        </w:rPr>
        <w:t>.</w:t>
      </w:r>
    </w:p>
    <w:p w14:paraId="7EBF018E" w14:textId="37283B1C" w:rsidR="004E3134" w:rsidRPr="000631EE" w:rsidRDefault="006D403F" w:rsidP="00CA6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Appropriation for investment and development fund</w:t>
      </w:r>
      <w:r w:rsidR="00360444" w:rsidRPr="000631EE">
        <w:rPr>
          <w:rFonts w:ascii="Arial" w:hAnsi="Arial" w:cs="Arial"/>
          <w:color w:val="010000"/>
          <w:sz w:val="20"/>
        </w:rPr>
        <w:t xml:space="preserve">: </w:t>
      </w:r>
      <w:r w:rsidRPr="000631EE">
        <w:rPr>
          <w:rFonts w:ascii="Arial" w:hAnsi="Arial" w:cs="Arial"/>
          <w:color w:val="010000"/>
          <w:sz w:val="20"/>
        </w:rPr>
        <w:t>not exceeding</w:t>
      </w:r>
      <w:r w:rsidR="00360444" w:rsidRPr="000631EE">
        <w:rPr>
          <w:rFonts w:ascii="Arial" w:hAnsi="Arial" w:cs="Arial"/>
          <w:color w:val="010000"/>
          <w:sz w:val="20"/>
        </w:rPr>
        <w:t xml:space="preserve"> </w:t>
      </w:r>
      <w:r w:rsidRPr="000631EE">
        <w:rPr>
          <w:rFonts w:ascii="Arial" w:hAnsi="Arial" w:cs="Arial"/>
          <w:color w:val="010000"/>
          <w:sz w:val="20"/>
        </w:rPr>
        <w:t>15% of profit after ta</w:t>
      </w:r>
      <w:r w:rsidR="00360444" w:rsidRPr="000631EE">
        <w:rPr>
          <w:rFonts w:ascii="Arial" w:hAnsi="Arial" w:cs="Arial"/>
          <w:color w:val="010000"/>
          <w:sz w:val="20"/>
        </w:rPr>
        <w:t>x.</w:t>
      </w:r>
    </w:p>
    <w:p w14:paraId="00ABAB16" w14:textId="43AD5662" w:rsidR="004E3134" w:rsidRPr="000631EE" w:rsidRDefault="006D403F" w:rsidP="00CA6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Expected personnel</w:t>
      </w:r>
      <w:r w:rsidR="00360444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11</w:t>
      </w:r>
      <w:r w:rsidR="00360444" w:rsidRPr="000631EE">
        <w:rPr>
          <w:rFonts w:ascii="Arial" w:hAnsi="Arial" w:cs="Arial"/>
          <w:color w:val="010000"/>
          <w:sz w:val="20"/>
        </w:rPr>
        <w:t>,</w:t>
      </w:r>
      <w:r w:rsidRPr="000631EE">
        <w:rPr>
          <w:rFonts w:ascii="Arial" w:hAnsi="Arial" w:cs="Arial"/>
          <w:color w:val="010000"/>
          <w:sz w:val="20"/>
        </w:rPr>
        <w:t>000 people</w:t>
      </w:r>
    </w:p>
    <w:p w14:paraId="54CF2044" w14:textId="77777777" w:rsidR="004E3134" w:rsidRPr="000631EE" w:rsidRDefault="006D403F" w:rsidP="00CA6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Investment projects in 2022 include:</w:t>
      </w:r>
    </w:p>
    <w:p w14:paraId="2915B02A" w14:textId="790610CF" w:rsidR="004E3134" w:rsidRPr="000631EE" w:rsidRDefault="00360444" w:rsidP="00CA62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0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General systems</w:t>
      </w:r>
      <w:r w:rsidR="006D403F" w:rsidRPr="000631EE">
        <w:rPr>
          <w:rFonts w:ascii="Arial" w:hAnsi="Arial" w:cs="Arial"/>
          <w:color w:val="010000"/>
          <w:sz w:val="20"/>
        </w:rPr>
        <w:t>: VND 1,100 billion</w:t>
      </w:r>
    </w:p>
    <w:p w14:paraId="401409EF" w14:textId="77777777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right" w:pos="6954"/>
          <w:tab w:val="right" w:pos="7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Invest in peripheral infrastructure systems: VND 500 billion</w:t>
      </w:r>
    </w:p>
    <w:p w14:paraId="5BCDE506" w14:textId="77777777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right" w:pos="6954"/>
          <w:tab w:val="right" w:pos="7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Invest in Metro POP system VND 100 billion</w:t>
      </w:r>
    </w:p>
    <w:p w14:paraId="04D7F0CC" w14:textId="76C0DBEF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right" w:pos="6954"/>
          <w:tab w:val="right" w:pos="7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Investment in central control system</w:t>
      </w:r>
      <w:r w:rsidR="00360444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VND 350 billion</w:t>
      </w:r>
    </w:p>
    <w:p w14:paraId="6B3D7EE0" w14:textId="5FC25A1B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right" w:pos="6954"/>
          <w:tab w:val="right" w:pos="71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Invest in broadcasting system</w:t>
      </w:r>
      <w:r w:rsidR="00360444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VND 150 billion</w:t>
      </w:r>
    </w:p>
    <w:p w14:paraId="31393D21" w14:textId="78BFD83F" w:rsidR="004E3134" w:rsidRPr="000631EE" w:rsidRDefault="00360444" w:rsidP="00CA62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0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Key projects:</w:t>
      </w:r>
      <w:r w:rsidR="006D403F" w:rsidRPr="000631EE">
        <w:rPr>
          <w:rFonts w:ascii="Arial" w:hAnsi="Arial" w:cs="Arial"/>
          <w:color w:val="010000"/>
          <w:sz w:val="20"/>
        </w:rPr>
        <w:t xml:space="preserve"> VND 1,200 billion</w:t>
      </w:r>
    </w:p>
    <w:p w14:paraId="7BEAE83C" w14:textId="77777777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center" w:pos="59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Tan </w:t>
      </w:r>
      <w:proofErr w:type="spellStart"/>
      <w:r w:rsidRPr="000631EE">
        <w:rPr>
          <w:rFonts w:ascii="Arial" w:hAnsi="Arial" w:cs="Arial"/>
          <w:color w:val="010000"/>
          <w:sz w:val="20"/>
        </w:rPr>
        <w:t>Thuan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1B GD3 Data Center project: VND 100 billion</w:t>
      </w:r>
    </w:p>
    <w:p w14:paraId="7DDC5069" w14:textId="77777777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right" w:pos="69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FORNIX GD3 Data Center project: VND 150 billion</w:t>
      </w:r>
    </w:p>
    <w:p w14:paraId="0805CDD9" w14:textId="77777777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right" w:pos="69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FTEL Tower Tan </w:t>
      </w:r>
      <w:proofErr w:type="spellStart"/>
      <w:r w:rsidRPr="000631EE">
        <w:rPr>
          <w:rFonts w:ascii="Arial" w:hAnsi="Arial" w:cs="Arial"/>
          <w:color w:val="010000"/>
          <w:sz w:val="20"/>
        </w:rPr>
        <w:t>Thuan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project: VND 150 billion</w:t>
      </w:r>
    </w:p>
    <w:p w14:paraId="61B6C17E" w14:textId="77777777" w:rsidR="004E3134" w:rsidRPr="000631EE" w:rsidRDefault="006D403F" w:rsidP="00CA6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1"/>
          <w:tab w:val="right" w:pos="6954"/>
          <w:tab w:val="right" w:pos="7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District 9 Data Center project: VND 500 billion</w:t>
      </w:r>
    </w:p>
    <w:p w14:paraId="3B29D970" w14:textId="57E42C4F" w:rsidR="004E3134" w:rsidRPr="000631EE" w:rsidRDefault="006D403F" w:rsidP="00CA6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(Total investment value: VND 2,500 billio</w:t>
      </w:r>
      <w:r w:rsidR="00360444" w:rsidRPr="000631EE">
        <w:rPr>
          <w:rFonts w:ascii="Arial" w:hAnsi="Arial" w:cs="Arial"/>
          <w:color w:val="010000"/>
          <w:sz w:val="20"/>
        </w:rPr>
        <w:t>n,</w:t>
      </w:r>
      <w:r w:rsidRPr="000631EE">
        <w:rPr>
          <w:rFonts w:ascii="Arial" w:hAnsi="Arial" w:cs="Arial"/>
          <w:color w:val="010000"/>
          <w:sz w:val="20"/>
        </w:rPr>
        <w:t xml:space="preserve"> investment in 2022: VND 300 billion</w:t>
      </w:r>
      <w:r w:rsidR="00360444" w:rsidRPr="000631EE">
        <w:rPr>
          <w:rFonts w:ascii="Arial" w:hAnsi="Arial" w:cs="Arial"/>
          <w:color w:val="010000"/>
          <w:sz w:val="20"/>
        </w:rPr>
        <w:t xml:space="preserve">, </w:t>
      </w:r>
      <w:r w:rsidRPr="000631EE">
        <w:rPr>
          <w:rFonts w:ascii="Arial" w:hAnsi="Arial" w:cs="Arial"/>
          <w:color w:val="010000"/>
          <w:sz w:val="20"/>
        </w:rPr>
        <w:t>expected investment in 2023: VND 500 billion)</w:t>
      </w:r>
      <w:r w:rsidR="00CA6219" w:rsidRPr="000631EE">
        <w:rPr>
          <w:rFonts w:ascii="Arial" w:hAnsi="Arial" w:cs="Arial"/>
          <w:color w:val="010000"/>
          <w:sz w:val="20"/>
        </w:rPr>
        <w:t xml:space="preserve"> </w:t>
      </w:r>
    </w:p>
    <w:p w14:paraId="4F876F49" w14:textId="1C64C5D3" w:rsidR="004E3134" w:rsidRPr="000631EE" w:rsidRDefault="006D403F" w:rsidP="00CA62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2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ALC undersea fiber-optic</w:t>
      </w:r>
      <w:r w:rsidR="00360444" w:rsidRPr="000631EE">
        <w:rPr>
          <w:rFonts w:ascii="Arial" w:hAnsi="Arial" w:cs="Arial"/>
          <w:color w:val="010000"/>
          <w:sz w:val="20"/>
        </w:rPr>
        <w:t xml:space="preserve"> cable line</w:t>
      </w:r>
      <w:r w:rsidRPr="000631EE">
        <w:rPr>
          <w:rFonts w:ascii="Arial" w:hAnsi="Arial" w:cs="Arial"/>
          <w:color w:val="010000"/>
          <w:sz w:val="20"/>
        </w:rPr>
        <w:t xml:space="preserve"> project</w:t>
      </w:r>
      <w:r w:rsidR="00360444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VND 300 billion</w:t>
      </w:r>
    </w:p>
    <w:p w14:paraId="19C515F1" w14:textId="209939F0" w:rsidR="004E3134" w:rsidRPr="000631EE" w:rsidRDefault="006D403F" w:rsidP="00CA6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(Total investment value: VND 2,100 billion, expected investment in 2023: VND 300 billion).</w:t>
      </w:r>
      <w:r w:rsidR="00CA6219" w:rsidRPr="000631EE">
        <w:rPr>
          <w:rFonts w:ascii="Arial" w:hAnsi="Arial" w:cs="Arial"/>
          <w:color w:val="010000"/>
          <w:sz w:val="20"/>
        </w:rPr>
        <w:t xml:space="preserve"> </w:t>
      </w:r>
    </w:p>
    <w:p w14:paraId="38E790E6" w14:textId="77777777" w:rsidR="004E3134" w:rsidRPr="000631EE" w:rsidRDefault="006D403F" w:rsidP="00CA6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income fund in 2022 and the operating budget plan for 2023 of the Board of Directors and the Supervisory Board. Specifically:</w:t>
      </w:r>
    </w:p>
    <w:p w14:paraId="26AE92EF" w14:textId="51DA2A6B" w:rsidR="004E3134" w:rsidRPr="000631EE" w:rsidRDefault="00360444" w:rsidP="00CA62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lastRenderedPageBreak/>
        <w:t>Income and r</w:t>
      </w:r>
      <w:r w:rsidR="006D403F" w:rsidRPr="000631EE">
        <w:rPr>
          <w:rFonts w:ascii="Arial" w:hAnsi="Arial" w:cs="Arial"/>
          <w:color w:val="010000"/>
          <w:sz w:val="20"/>
        </w:rPr>
        <w:t>emuneration for the Board of Directors and the Supervisory Board in 2022;</w:t>
      </w:r>
    </w:p>
    <w:p w14:paraId="1247AA54" w14:textId="399A356B" w:rsidR="004E3134" w:rsidRPr="000631EE" w:rsidRDefault="006D403F" w:rsidP="00CA62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Remuneration for non-executive members of </w:t>
      </w:r>
      <w:r w:rsidR="00360444" w:rsidRPr="000631EE">
        <w:rPr>
          <w:rFonts w:ascii="Arial" w:hAnsi="Arial" w:cs="Arial"/>
          <w:color w:val="010000"/>
          <w:sz w:val="20"/>
        </w:rPr>
        <w:t xml:space="preserve">the </w:t>
      </w:r>
      <w:r w:rsidRPr="000631EE">
        <w:rPr>
          <w:rFonts w:ascii="Arial" w:hAnsi="Arial" w:cs="Arial"/>
          <w:color w:val="010000"/>
          <w:sz w:val="20"/>
        </w:rPr>
        <w:t>Board of Directors: VND 120,000,000/year</w:t>
      </w:r>
    </w:p>
    <w:p w14:paraId="625E0146" w14:textId="6C002EF2" w:rsidR="004E3134" w:rsidRPr="000631EE" w:rsidRDefault="006D403F" w:rsidP="00CA62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Remuneration for members of the Supervisory Board</w:t>
      </w:r>
      <w:r w:rsidR="00360444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VND 24,000,000/year</w:t>
      </w:r>
    </w:p>
    <w:p w14:paraId="4B63D370" w14:textId="77777777" w:rsidR="004E3134" w:rsidRPr="000631EE" w:rsidRDefault="006D403F" w:rsidP="00CA62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Operating expenses in 2022: VND 0</w:t>
      </w:r>
    </w:p>
    <w:p w14:paraId="4FB356F0" w14:textId="77777777" w:rsidR="004E3134" w:rsidRPr="000631EE" w:rsidRDefault="006D403F" w:rsidP="00CA62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Total income budget and operating expenses for 2022 is VND 144,000,000</w:t>
      </w:r>
    </w:p>
    <w:p w14:paraId="2E1B1A91" w14:textId="4E0171AB" w:rsidR="004E3134" w:rsidRPr="000631EE" w:rsidRDefault="00360444" w:rsidP="00CA6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Income</w:t>
      </w:r>
      <w:r w:rsidR="006D403F" w:rsidRPr="000631EE">
        <w:rPr>
          <w:rFonts w:ascii="Arial" w:hAnsi="Arial" w:cs="Arial"/>
          <w:color w:val="010000"/>
          <w:sz w:val="20"/>
        </w:rPr>
        <w:t xml:space="preserve"> and operating expenses plan of the Board of Directors and the Supervisory Board for 2023:</w:t>
      </w:r>
    </w:p>
    <w:p w14:paraId="60D6FD4C" w14:textId="2A3BA1DA" w:rsidR="004E3134" w:rsidRPr="000631EE" w:rsidRDefault="00360444" w:rsidP="00CA62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Remuneration for non-executive members of the Board of Directors:</w:t>
      </w:r>
      <w:r w:rsidR="006D403F" w:rsidRPr="000631EE">
        <w:rPr>
          <w:rFonts w:ascii="Arial" w:hAnsi="Arial" w:cs="Arial"/>
          <w:color w:val="010000"/>
          <w:sz w:val="20"/>
        </w:rPr>
        <w:t xml:space="preserve"> VND 120,000,000/year</w:t>
      </w:r>
    </w:p>
    <w:p w14:paraId="32C03788" w14:textId="272AD15B" w:rsidR="004E3134" w:rsidRPr="000631EE" w:rsidRDefault="006D403F" w:rsidP="00CA62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Remuneration for members of the Supervisory Board</w:t>
      </w:r>
      <w:r w:rsidR="00360444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VND 24,000,000/year</w:t>
      </w:r>
    </w:p>
    <w:p w14:paraId="131F3DF7" w14:textId="77777777" w:rsidR="004E3134" w:rsidRPr="000631EE" w:rsidRDefault="006D403F" w:rsidP="00CA62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Other operating budget: VND 50,000,000/year</w:t>
      </w:r>
    </w:p>
    <w:p w14:paraId="3098F33D" w14:textId="1894798E" w:rsidR="004E3134" w:rsidRPr="000631EE" w:rsidRDefault="00360444" w:rsidP="00CA62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Members</w:t>
      </w:r>
      <w:r w:rsidR="006D403F" w:rsidRPr="000631EE">
        <w:rPr>
          <w:rFonts w:ascii="Arial" w:hAnsi="Arial" w:cs="Arial"/>
          <w:color w:val="010000"/>
          <w:sz w:val="20"/>
        </w:rPr>
        <w:t xml:space="preserve"> of the Board of Directors and the Supervisory Board who are employees of </w:t>
      </w:r>
      <w:r w:rsidR="007C79BC" w:rsidRPr="000631EE">
        <w:rPr>
          <w:rFonts w:ascii="Arial" w:hAnsi="Arial" w:cs="Arial"/>
          <w:color w:val="010000"/>
          <w:sz w:val="20"/>
        </w:rPr>
        <w:t>FPT Corporation</w:t>
      </w:r>
      <w:r w:rsidR="006D403F" w:rsidRPr="000631EE">
        <w:rPr>
          <w:rFonts w:ascii="Arial" w:hAnsi="Arial" w:cs="Arial"/>
          <w:color w:val="010000"/>
          <w:sz w:val="20"/>
        </w:rPr>
        <w:t xml:space="preserve"> and member companies of </w:t>
      </w:r>
      <w:r w:rsidR="007C79BC" w:rsidRPr="000631EE">
        <w:rPr>
          <w:rFonts w:ascii="Arial" w:hAnsi="Arial" w:cs="Arial"/>
          <w:color w:val="010000"/>
          <w:sz w:val="20"/>
        </w:rPr>
        <w:t>FPT Corporation</w:t>
      </w:r>
      <w:r w:rsidR="006D403F" w:rsidRPr="000631EE">
        <w:rPr>
          <w:rFonts w:ascii="Arial" w:hAnsi="Arial" w:cs="Arial"/>
          <w:color w:val="010000"/>
          <w:sz w:val="20"/>
        </w:rPr>
        <w:t xml:space="preserve"> do not receive remuneration</w:t>
      </w:r>
      <w:r w:rsidR="007C79BC" w:rsidRPr="000631EE">
        <w:rPr>
          <w:color w:val="010000"/>
        </w:rPr>
        <w:t xml:space="preserve"> </w:t>
      </w:r>
    </w:p>
    <w:p w14:paraId="76B84213" w14:textId="77777777" w:rsidR="004E3134" w:rsidRPr="000631EE" w:rsidRDefault="006D403F" w:rsidP="00CA62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Total income and operating budget for 2023 is VND 194,000,000</w:t>
      </w:r>
    </w:p>
    <w:p w14:paraId="15CBC7B8" w14:textId="77777777" w:rsidR="004E3134" w:rsidRPr="000631EE" w:rsidRDefault="006D403F" w:rsidP="00CA6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election results of members of the Board of Directors for the term of 2023 - 2028.</w:t>
      </w:r>
    </w:p>
    <w:p w14:paraId="45B99836" w14:textId="444F59F2" w:rsidR="004E3134" w:rsidRPr="000631EE" w:rsidRDefault="006D403F" w:rsidP="00CA6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Mr. Truong </w:t>
      </w:r>
      <w:proofErr w:type="spellStart"/>
      <w:r w:rsidRPr="000631EE">
        <w:rPr>
          <w:rFonts w:ascii="Arial" w:hAnsi="Arial" w:cs="Arial"/>
          <w:color w:val="010000"/>
          <w:sz w:val="20"/>
        </w:rPr>
        <w:t>Gia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631EE">
        <w:rPr>
          <w:rFonts w:ascii="Arial" w:hAnsi="Arial" w:cs="Arial"/>
          <w:color w:val="010000"/>
          <w:sz w:val="20"/>
        </w:rPr>
        <w:t>Binh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- Chair of the Board of Directors of</w:t>
      </w:r>
      <w:r w:rsidR="007C79BC" w:rsidRPr="000631EE">
        <w:rPr>
          <w:rFonts w:ascii="Arial" w:hAnsi="Arial" w:cs="Arial"/>
          <w:color w:val="010000"/>
          <w:sz w:val="20"/>
        </w:rPr>
        <w:t xml:space="preserve"> FPT Corporation</w:t>
      </w:r>
    </w:p>
    <w:p w14:paraId="7C113C8F" w14:textId="58A58B2A" w:rsidR="004E3134" w:rsidRPr="000631EE" w:rsidRDefault="006D403F" w:rsidP="00CA6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  <w:tab w:val="left" w:pos="99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Mr. Nguyen Van </w:t>
      </w:r>
      <w:proofErr w:type="spellStart"/>
      <w:r w:rsidRPr="000631EE">
        <w:rPr>
          <w:rFonts w:ascii="Arial" w:hAnsi="Arial" w:cs="Arial"/>
          <w:color w:val="010000"/>
          <w:sz w:val="20"/>
        </w:rPr>
        <w:t>Khoa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- General Manager of </w:t>
      </w:r>
      <w:r w:rsidR="007C79BC" w:rsidRPr="000631EE">
        <w:rPr>
          <w:rFonts w:ascii="Arial" w:hAnsi="Arial" w:cs="Arial"/>
          <w:color w:val="010000"/>
          <w:sz w:val="20"/>
        </w:rPr>
        <w:t>FPT Corporation</w:t>
      </w:r>
    </w:p>
    <w:p w14:paraId="3C4D3E33" w14:textId="77777777" w:rsidR="004E3134" w:rsidRPr="000631EE" w:rsidRDefault="006D403F" w:rsidP="00CA6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  <w:tab w:val="left" w:pos="99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Ms. Tran Thi Hong </w:t>
      </w:r>
      <w:proofErr w:type="spellStart"/>
      <w:r w:rsidRPr="000631EE">
        <w:rPr>
          <w:rFonts w:ascii="Arial" w:hAnsi="Arial" w:cs="Arial"/>
          <w:color w:val="010000"/>
          <w:sz w:val="20"/>
        </w:rPr>
        <w:t>Linh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- Deputy Head of Investment Department 4, State Capital Investment Corporation (SCIC)</w:t>
      </w:r>
    </w:p>
    <w:p w14:paraId="7A57F4EE" w14:textId="750CF6FD" w:rsidR="004E3134" w:rsidRPr="000631EE" w:rsidRDefault="006D403F" w:rsidP="00CA6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Mr. Phan The Thanh - </w:t>
      </w:r>
      <w:r w:rsidR="007C79BC" w:rsidRPr="000631EE">
        <w:rPr>
          <w:rFonts w:ascii="Arial" w:hAnsi="Arial" w:cs="Arial"/>
          <w:color w:val="010000"/>
          <w:sz w:val="20"/>
        </w:rPr>
        <w:t xml:space="preserve">Executive </w:t>
      </w:r>
      <w:r w:rsidRPr="000631EE">
        <w:rPr>
          <w:rFonts w:ascii="Arial" w:hAnsi="Arial" w:cs="Arial"/>
          <w:color w:val="010000"/>
          <w:sz w:val="20"/>
        </w:rPr>
        <w:t>Deputy Chief of Office, State Capital Investment Corporation (SCIC)</w:t>
      </w:r>
    </w:p>
    <w:p w14:paraId="1B5C3677" w14:textId="0DA45775" w:rsidR="004E3134" w:rsidRPr="000631EE" w:rsidRDefault="006D403F" w:rsidP="00CA6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M</w:t>
      </w:r>
      <w:r w:rsidR="007C79BC" w:rsidRPr="000631EE">
        <w:rPr>
          <w:rFonts w:ascii="Arial" w:hAnsi="Arial" w:cs="Arial"/>
          <w:color w:val="010000"/>
          <w:sz w:val="20"/>
        </w:rPr>
        <w:t>s</w:t>
      </w:r>
      <w:r w:rsidRPr="000631EE">
        <w:rPr>
          <w:rFonts w:ascii="Arial" w:hAnsi="Arial" w:cs="Arial"/>
          <w:color w:val="010000"/>
          <w:sz w:val="20"/>
        </w:rPr>
        <w:t>. Chu Thi Thanh Ha - Chair of FPT Software Limited</w:t>
      </w:r>
    </w:p>
    <w:p w14:paraId="3BA22B34" w14:textId="6E4DF3A4" w:rsidR="004E3134" w:rsidRPr="000631EE" w:rsidRDefault="006D403F" w:rsidP="00CA6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Mr. Hoang Viet Anh - General Manager of </w:t>
      </w:r>
      <w:r w:rsidR="007C79BC" w:rsidRPr="000631EE">
        <w:rPr>
          <w:rFonts w:ascii="Arial" w:hAnsi="Arial" w:cs="Arial"/>
          <w:color w:val="010000"/>
          <w:sz w:val="20"/>
        </w:rPr>
        <w:t>FPT Telecom Joint Stock Company</w:t>
      </w:r>
    </w:p>
    <w:p w14:paraId="576037AA" w14:textId="77777777" w:rsidR="004E3134" w:rsidRPr="000631EE" w:rsidRDefault="006D403F" w:rsidP="00CA6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election results of the Supervisory Board for the term 2023–2028:</w:t>
      </w:r>
    </w:p>
    <w:p w14:paraId="2144636E" w14:textId="77777777" w:rsidR="004E3134" w:rsidRPr="000631EE" w:rsidRDefault="006D403F" w:rsidP="00CA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Mr. Tran </w:t>
      </w:r>
      <w:proofErr w:type="spellStart"/>
      <w:r w:rsidRPr="000631EE">
        <w:rPr>
          <w:rFonts w:ascii="Arial" w:hAnsi="Arial" w:cs="Arial"/>
          <w:color w:val="010000"/>
          <w:sz w:val="20"/>
        </w:rPr>
        <w:t>Khuong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- Financial Planning Department of FPT Corporation</w:t>
      </w:r>
    </w:p>
    <w:p w14:paraId="57A7314D" w14:textId="3D9243FE" w:rsidR="004E3134" w:rsidRPr="000631EE" w:rsidRDefault="006D403F" w:rsidP="00CA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  <w:tab w:val="right" w:pos="89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Mr. Do Xuan </w:t>
      </w:r>
      <w:proofErr w:type="spellStart"/>
      <w:r w:rsidRPr="000631EE">
        <w:rPr>
          <w:rFonts w:ascii="Arial" w:hAnsi="Arial" w:cs="Arial"/>
          <w:color w:val="010000"/>
          <w:sz w:val="20"/>
        </w:rPr>
        <w:t>Phuc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 </w:t>
      </w:r>
      <w:r w:rsidR="007C79BC" w:rsidRPr="000631EE">
        <w:rPr>
          <w:rFonts w:ascii="Arial" w:hAnsi="Arial" w:cs="Arial"/>
          <w:color w:val="010000"/>
          <w:sz w:val="20"/>
        </w:rPr>
        <w:t>–</w:t>
      </w:r>
      <w:r w:rsidRPr="000631EE">
        <w:rPr>
          <w:rFonts w:ascii="Arial" w:hAnsi="Arial" w:cs="Arial"/>
          <w:color w:val="010000"/>
          <w:sz w:val="20"/>
        </w:rPr>
        <w:t xml:space="preserve"> </w:t>
      </w:r>
      <w:r w:rsidR="007C79BC" w:rsidRPr="000631EE">
        <w:rPr>
          <w:rFonts w:ascii="Arial" w:hAnsi="Arial" w:cs="Arial"/>
          <w:color w:val="010000"/>
          <w:sz w:val="20"/>
        </w:rPr>
        <w:t xml:space="preserve">Secretary Specialist </w:t>
      </w:r>
      <w:r w:rsidRPr="000631EE">
        <w:rPr>
          <w:rFonts w:ascii="Arial" w:hAnsi="Arial" w:cs="Arial"/>
          <w:color w:val="010000"/>
          <w:sz w:val="20"/>
        </w:rPr>
        <w:t>of the Board of Leaders, State Capital Investment Corporation (SCIC)</w:t>
      </w:r>
    </w:p>
    <w:p w14:paraId="441B359B" w14:textId="40424222" w:rsidR="004E3134" w:rsidRPr="000631EE" w:rsidRDefault="006D403F" w:rsidP="00CA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  <w:tab w:val="right" w:pos="89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Mr. Pham Xuan </w:t>
      </w:r>
      <w:proofErr w:type="spellStart"/>
      <w:r w:rsidRPr="000631EE">
        <w:rPr>
          <w:rFonts w:ascii="Arial" w:hAnsi="Arial" w:cs="Arial"/>
          <w:color w:val="010000"/>
          <w:sz w:val="20"/>
        </w:rPr>
        <w:t>Hoan</w:t>
      </w:r>
      <w:proofErr w:type="spellEnd"/>
      <w:r w:rsidRPr="000631EE">
        <w:rPr>
          <w:rFonts w:ascii="Arial" w:hAnsi="Arial" w:cs="Arial"/>
          <w:color w:val="010000"/>
          <w:sz w:val="20"/>
        </w:rPr>
        <w:t xml:space="preserve">- Head of Legal Department, </w:t>
      </w:r>
      <w:r w:rsidR="007C79BC" w:rsidRPr="000631EE">
        <w:rPr>
          <w:rFonts w:ascii="Arial" w:hAnsi="Arial" w:cs="Arial"/>
          <w:color w:val="010000"/>
          <w:sz w:val="20"/>
        </w:rPr>
        <w:t>FPT Telecom Joint Stock Company.</w:t>
      </w:r>
    </w:p>
    <w:p w14:paraId="62E464F5" w14:textId="3841DA18" w:rsidR="004E3134" w:rsidRPr="000631EE" w:rsidRDefault="006D403F" w:rsidP="00CA6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Approve the proposal </w:t>
      </w:r>
      <w:r w:rsidR="007C79BC" w:rsidRPr="000631EE">
        <w:rPr>
          <w:rFonts w:ascii="Arial" w:hAnsi="Arial" w:cs="Arial"/>
          <w:color w:val="010000"/>
          <w:sz w:val="20"/>
        </w:rPr>
        <w:t>to</w:t>
      </w:r>
      <w:r w:rsidRPr="000631EE">
        <w:rPr>
          <w:rFonts w:ascii="Arial" w:hAnsi="Arial" w:cs="Arial"/>
          <w:color w:val="010000"/>
          <w:sz w:val="20"/>
        </w:rPr>
        <w:t xml:space="preserve"> supplement the business lines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6"/>
        <w:gridCol w:w="4886"/>
        <w:gridCol w:w="2787"/>
      </w:tblGrid>
      <w:tr w:rsidR="004E3134" w:rsidRPr="000631EE" w14:paraId="79519F93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1E930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Business code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BBCA4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Name of business line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0B020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Detailed of business lines:</w:t>
            </w:r>
          </w:p>
        </w:tc>
      </w:tr>
      <w:tr w:rsidR="004E3134" w:rsidRPr="000631EE" w14:paraId="7E8A328D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3D671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6999F" w14:textId="594C245C" w:rsidR="004E3134" w:rsidRPr="000631EE" w:rsidRDefault="00257261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Proposed supplement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ing existing business line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04A2A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1DF5A075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250D3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4659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5D09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Wholesale of machinery, equipment and other machine spare parts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4E675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 xml:space="preserve">Wholesale of specialized and civil materials and machinery </w:t>
            </w:r>
            <w:r w:rsidRPr="000631EE">
              <w:rPr>
                <w:rFonts w:ascii="Arial" w:hAnsi="Arial" w:cs="Arial"/>
                <w:color w:val="010000"/>
                <w:sz w:val="20"/>
              </w:rPr>
              <w:lastRenderedPageBreak/>
              <w:t>for broadcasting, electricity, electronics and telecommunications</w:t>
            </w:r>
          </w:p>
          <w:p w14:paraId="3579D538" w14:textId="7EAC60D2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Propose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d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supplement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Wholesale medical machinery 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Pr="000631EE">
              <w:rPr>
                <w:rFonts w:ascii="Arial" w:hAnsi="Arial" w:cs="Arial"/>
                <w:color w:val="010000"/>
                <w:sz w:val="20"/>
              </w:rPr>
              <w:t>equipment.</w:t>
            </w:r>
          </w:p>
        </w:tc>
      </w:tr>
      <w:tr w:rsidR="004E3134" w:rsidRPr="000631EE" w14:paraId="3EFB3A15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97D8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lastRenderedPageBreak/>
              <w:t>B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243EB" w14:textId="1C672C92" w:rsidR="004E3134" w:rsidRPr="000631EE" w:rsidRDefault="00257261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 xml:space="preserve">Proposed 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adding new business lines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4631D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41BAF1C4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01CD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4772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FE69D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Retail of medication, medical equipment, cosmetics and hygiene products in specialized stores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EBB7A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46545090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9B9C1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4649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7FAE1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Wholesale of other household appliances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05470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Wholesale of pharmaceuticals and medical instruments</w:t>
            </w:r>
          </w:p>
        </w:tc>
      </w:tr>
      <w:tr w:rsidR="004E3134" w:rsidRPr="000631EE" w14:paraId="296009EC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3722A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4632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F8488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Wholesale of foods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C35FD" w14:textId="244E97FE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 xml:space="preserve">Wholesale of 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functional food</w:t>
            </w:r>
          </w:p>
        </w:tc>
      </w:tr>
      <w:tr w:rsidR="004E3134" w:rsidRPr="000631EE" w14:paraId="4AFB7BE8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9627F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4773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49215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Retail of other new goods in specialized stores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4F157" w14:textId="19789911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Retail sale of medical masks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,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protective clothing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,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medical protective clothing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,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epidemic prevention clothing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,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medical gloves, household goods</w:t>
            </w:r>
          </w:p>
        </w:tc>
      </w:tr>
      <w:tr w:rsidR="004E3134" w:rsidRPr="000631EE" w14:paraId="6F39B139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D634D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4722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749A7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Retail sale of food products in specialized stores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16CDA" w14:textId="49C1C9D0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 xml:space="preserve">Retail of 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food, functional food</w:t>
            </w:r>
          </w:p>
        </w:tc>
      </w:tr>
      <w:tr w:rsidR="004E3134" w:rsidRPr="000631EE" w14:paraId="207A6D15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0C33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8699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E7B16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Other unclassified medical activities (excluding patient accommodation)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4CDDC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1E9BC9ED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7715C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5210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488C5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Warehouses and goods storage</w:t>
            </w:r>
          </w:p>
          <w:p w14:paraId="1A7FF02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(excluding real estate business and warehousing business)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D6C2D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61D89855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E38D3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7320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6EB8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Market research and surveying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6F4C3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340CBC4F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8D742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4933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6EBC5" w14:textId="3C035FD5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Road transport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 xml:space="preserve"> of goods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FDAE2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5AFEEBBB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102F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3320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C40AF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Installing machinery and industrial equipment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A49D3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1E579D9E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65B1A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4321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192B8" w14:textId="6FEF672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Installing electrical systems (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 xml:space="preserve">Lines </w:t>
            </w:r>
            <w:r w:rsidRPr="000631EE">
              <w:rPr>
                <w:rFonts w:ascii="Arial" w:hAnsi="Arial" w:cs="Arial"/>
                <w:color w:val="010000"/>
                <w:sz w:val="20"/>
              </w:rPr>
              <w:t>and electrical equipment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0631EE">
              <w:rPr>
                <w:rFonts w:ascii="Arial" w:hAnsi="Arial" w:cs="Arial"/>
                <w:color w:val="010000"/>
                <w:sz w:val="20"/>
              </w:rPr>
              <w:t>Lighting system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,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Fire alarm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,</w:t>
            </w:r>
            <w:r w:rsidR="00764ABB">
              <w:rPr>
                <w:rFonts w:ascii="Arial" w:hAnsi="Arial" w:cs="Arial"/>
                <w:color w:val="010000"/>
                <w:sz w:val="20"/>
              </w:rPr>
              <w:t xml:space="preserve"> Anti-theft alarm system…)</w:t>
            </w:r>
            <w:bookmarkStart w:id="0" w:name="_GoBack"/>
            <w:bookmarkEnd w:id="0"/>
            <w:r w:rsidR="00CA6219" w:rsidRPr="000631EE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65F02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1C88E5B9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675FA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4322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8C32A" w14:textId="0051CF6B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Installing water supply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drainage, heating and air conditioning systems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3DB18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4EC523ED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BCAA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8121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FAEC5" w14:textId="3FEAA9C0" w:rsidR="004E3134" w:rsidRPr="000631EE" w:rsidRDefault="000631EE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General h</w:t>
            </w:r>
            <w:r w:rsidR="006D403F" w:rsidRPr="000631EE">
              <w:rPr>
                <w:rFonts w:ascii="Arial" w:hAnsi="Arial" w:cs="Arial"/>
                <w:color w:val="010000"/>
                <w:sz w:val="20"/>
              </w:rPr>
              <w:t>ouse cleaning services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09807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563CABE2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01DB3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8129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05DBB" w14:textId="54DFD2E0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Industrial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 xml:space="preserve"> cleaning</w:t>
            </w:r>
            <w:r w:rsidRPr="000631EE">
              <w:rPr>
                <w:rFonts w:ascii="Arial" w:hAnsi="Arial" w:cs="Arial"/>
                <w:color w:val="010000"/>
                <w:sz w:val="20"/>
              </w:rPr>
              <w:t xml:space="preserve"> and specialized works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89297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1196A03A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ACED8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lastRenderedPageBreak/>
              <w:t>3312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E3B30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Repair machines and equipment.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1910F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5D4897A9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D9840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3314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6BE86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Repair electrical equipment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7C40A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428DE7AB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F1B0A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9511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D3703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Repair of computers and peripheral devices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4228A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1774EA08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D554D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9512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E3E12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Repair of communication equipment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FFCDF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72181286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2E169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9521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E754D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Repair of audio-visual equipment and electronic appliances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6E410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711E5664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BA148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9522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711B6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Repair of household equipment and appliances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F42B1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1B7651CB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52F38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5310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1389A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Postal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5742B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2BD0A1EA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C86C1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5320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A61D2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Delivery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7889C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7BE7D590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04E4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5229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88D9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Other supporting services related to logistics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D3E9D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55AFFF60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8EEED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5210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2A614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Warehouses and goods storage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A3F02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76130AE4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4E2EF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5224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2DB97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>Goods loading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F17DA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3134" w:rsidRPr="000631EE" w14:paraId="3C74C634" w14:textId="77777777" w:rsidTr="00764ABB"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5C10B" w14:textId="77777777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 xml:space="preserve"> 4610</w:t>
            </w:r>
          </w:p>
        </w:tc>
        <w:tc>
          <w:tcPr>
            <w:tcW w:w="2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B9259" w14:textId="5C096DB5" w:rsidR="004E3134" w:rsidRPr="000631EE" w:rsidRDefault="006D403F" w:rsidP="00CA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31EE">
              <w:rPr>
                <w:rFonts w:ascii="Arial" w:hAnsi="Arial" w:cs="Arial"/>
                <w:color w:val="010000"/>
                <w:sz w:val="20"/>
              </w:rPr>
              <w:t xml:space="preserve">Agency, </w:t>
            </w:r>
            <w:r w:rsidR="000631EE" w:rsidRPr="000631EE">
              <w:rPr>
                <w:rFonts w:ascii="Arial" w:hAnsi="Arial" w:cs="Arial"/>
                <w:color w:val="010000"/>
                <w:sz w:val="20"/>
              </w:rPr>
              <w:t>brokerage</w:t>
            </w:r>
            <w:r w:rsidRPr="000631EE">
              <w:rPr>
                <w:rFonts w:ascii="Arial" w:hAnsi="Arial" w:cs="Arial"/>
                <w:color w:val="010000"/>
                <w:sz w:val="20"/>
              </w:rPr>
              <w:t>, auction of goods (excluding auction activities)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A2185" w14:textId="77777777" w:rsidR="004E3134" w:rsidRPr="000631EE" w:rsidRDefault="004E3134" w:rsidP="00CA621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6E49F64" w14:textId="55C35EE5" w:rsidR="004E3134" w:rsidRPr="000631EE" w:rsidRDefault="006D403F" w:rsidP="00CA6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Approve the investment </w:t>
      </w:r>
      <w:r w:rsidR="000631EE" w:rsidRPr="000631EE">
        <w:rPr>
          <w:rFonts w:ascii="Arial" w:hAnsi="Arial" w:cs="Arial"/>
          <w:color w:val="010000"/>
          <w:sz w:val="20"/>
        </w:rPr>
        <w:t>om</w:t>
      </w:r>
      <w:r w:rsidRPr="000631EE">
        <w:rPr>
          <w:rFonts w:ascii="Arial" w:hAnsi="Arial" w:cs="Arial"/>
          <w:color w:val="010000"/>
          <w:sz w:val="20"/>
        </w:rPr>
        <w:t xml:space="preserve"> </w:t>
      </w:r>
      <w:r w:rsidR="000631EE" w:rsidRPr="000631EE">
        <w:rPr>
          <w:rFonts w:ascii="Arial" w:hAnsi="Arial" w:cs="Arial"/>
          <w:color w:val="010000"/>
          <w:sz w:val="20"/>
        </w:rPr>
        <w:t xml:space="preserve">the </w:t>
      </w:r>
      <w:r w:rsidRPr="000631EE">
        <w:rPr>
          <w:rFonts w:ascii="Arial" w:hAnsi="Arial" w:cs="Arial"/>
          <w:color w:val="010000"/>
          <w:sz w:val="20"/>
        </w:rPr>
        <w:t>District 9 Data Center project</w:t>
      </w:r>
    </w:p>
    <w:p w14:paraId="6BC3ABBF" w14:textId="7B979E53" w:rsidR="004E3134" w:rsidRPr="000631EE" w:rsidRDefault="006D403F" w:rsidP="00CA6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Total investment </w:t>
      </w:r>
      <w:r w:rsidR="000631EE" w:rsidRPr="000631EE">
        <w:rPr>
          <w:rFonts w:ascii="Arial" w:hAnsi="Arial" w:cs="Arial"/>
          <w:color w:val="010000"/>
          <w:sz w:val="20"/>
        </w:rPr>
        <w:t xml:space="preserve">before </w:t>
      </w:r>
      <w:r w:rsidRPr="000631EE">
        <w:rPr>
          <w:rFonts w:ascii="Arial" w:hAnsi="Arial" w:cs="Arial"/>
          <w:color w:val="010000"/>
          <w:sz w:val="20"/>
        </w:rPr>
        <w:t>tax</w:t>
      </w:r>
      <w:r w:rsidR="000631EE" w:rsidRPr="000631EE">
        <w:rPr>
          <w:rFonts w:ascii="Arial" w:hAnsi="Arial" w:cs="Arial"/>
          <w:color w:val="010000"/>
          <w:sz w:val="20"/>
        </w:rPr>
        <w:t>:</w:t>
      </w:r>
      <w:r w:rsidRPr="000631EE">
        <w:rPr>
          <w:rFonts w:ascii="Arial" w:hAnsi="Arial" w:cs="Arial"/>
          <w:color w:val="010000"/>
          <w:sz w:val="20"/>
        </w:rPr>
        <w:t xml:space="preserve"> VND 2,513,000,000,000 </w:t>
      </w:r>
    </w:p>
    <w:p w14:paraId="4CA0B838" w14:textId="77777777" w:rsidR="004E3134" w:rsidRPr="000631EE" w:rsidRDefault="006D403F" w:rsidP="00CA6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Expected to be implemented from 2023 to 2028</w:t>
      </w:r>
    </w:p>
    <w:p w14:paraId="4CC823AB" w14:textId="16F8A24A" w:rsidR="004E3134" w:rsidRPr="000631EE" w:rsidRDefault="006D403F" w:rsidP="00CA6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Investment capital source: bank loans/</w:t>
      </w:r>
      <w:r w:rsidR="000631EE" w:rsidRPr="000631EE">
        <w:rPr>
          <w:rFonts w:ascii="Arial" w:hAnsi="Arial" w:cs="Arial"/>
          <w:color w:val="010000"/>
          <w:sz w:val="20"/>
        </w:rPr>
        <w:t xml:space="preserve">capital for </w:t>
      </w:r>
      <w:r w:rsidRPr="000631EE">
        <w:rPr>
          <w:rFonts w:ascii="Arial" w:hAnsi="Arial" w:cs="Arial"/>
          <w:color w:val="010000"/>
          <w:sz w:val="20"/>
        </w:rPr>
        <w:t xml:space="preserve">business development </w:t>
      </w:r>
      <w:r w:rsidR="000631EE" w:rsidRPr="000631EE">
        <w:rPr>
          <w:rFonts w:ascii="Arial" w:hAnsi="Arial" w:cs="Arial"/>
          <w:color w:val="010000"/>
          <w:sz w:val="20"/>
        </w:rPr>
        <w:t xml:space="preserve">and </w:t>
      </w:r>
      <w:r w:rsidRPr="000631EE">
        <w:rPr>
          <w:rFonts w:ascii="Arial" w:hAnsi="Arial" w:cs="Arial"/>
          <w:color w:val="010000"/>
          <w:sz w:val="20"/>
        </w:rPr>
        <w:t>investment.</w:t>
      </w:r>
    </w:p>
    <w:p w14:paraId="350D4378" w14:textId="01D6BD9C" w:rsidR="004E3134" w:rsidRPr="000631EE" w:rsidRDefault="006D403F" w:rsidP="00CA6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Approving the investment policy </w:t>
      </w:r>
      <w:r w:rsidR="000631EE" w:rsidRPr="000631EE">
        <w:rPr>
          <w:rFonts w:ascii="Arial" w:hAnsi="Arial" w:cs="Arial"/>
          <w:color w:val="010000"/>
          <w:sz w:val="20"/>
        </w:rPr>
        <w:t xml:space="preserve">in </w:t>
      </w:r>
      <w:r w:rsidRPr="000631EE">
        <w:rPr>
          <w:rFonts w:ascii="Arial" w:hAnsi="Arial" w:cs="Arial"/>
          <w:color w:val="010000"/>
          <w:sz w:val="20"/>
        </w:rPr>
        <w:t xml:space="preserve">the ASEAN LINK CABLE (ALC) undersea fiber-optic </w:t>
      </w:r>
      <w:r w:rsidR="000631EE" w:rsidRPr="000631EE">
        <w:rPr>
          <w:rFonts w:ascii="Arial" w:hAnsi="Arial" w:cs="Arial"/>
          <w:color w:val="010000"/>
          <w:sz w:val="20"/>
        </w:rPr>
        <w:t>cable lines</w:t>
      </w:r>
      <w:r w:rsidRPr="000631EE">
        <w:rPr>
          <w:rFonts w:ascii="Arial" w:hAnsi="Arial" w:cs="Arial"/>
          <w:color w:val="010000"/>
          <w:sz w:val="20"/>
        </w:rPr>
        <w:t xml:space="preserve"> project</w:t>
      </w:r>
    </w:p>
    <w:p w14:paraId="58E21F18" w14:textId="16B05C9A" w:rsidR="004E3134" w:rsidRPr="000631EE" w:rsidRDefault="006D403F" w:rsidP="00CA62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 xml:space="preserve">Total </w:t>
      </w:r>
      <w:r w:rsidR="000631EE" w:rsidRPr="000631EE">
        <w:rPr>
          <w:rFonts w:ascii="Arial" w:hAnsi="Arial" w:cs="Arial"/>
          <w:color w:val="010000"/>
          <w:sz w:val="20"/>
        </w:rPr>
        <w:t>i</w:t>
      </w:r>
      <w:r w:rsidRPr="000631EE">
        <w:rPr>
          <w:rFonts w:ascii="Arial" w:hAnsi="Arial" w:cs="Arial"/>
          <w:color w:val="010000"/>
          <w:sz w:val="20"/>
        </w:rPr>
        <w:t>nvestment expenses: VND 2,100,000,000,000</w:t>
      </w:r>
      <w:r w:rsidR="000631EE" w:rsidRPr="000631EE">
        <w:rPr>
          <w:rFonts w:ascii="Arial" w:hAnsi="Arial" w:cs="Arial"/>
          <w:color w:val="010000"/>
          <w:sz w:val="20"/>
        </w:rPr>
        <w:t>.</w:t>
      </w:r>
      <w:r w:rsidRPr="000631EE">
        <w:rPr>
          <w:rFonts w:ascii="Arial" w:hAnsi="Arial" w:cs="Arial"/>
          <w:color w:val="010000"/>
          <w:sz w:val="20"/>
        </w:rPr>
        <w:t xml:space="preserve"> The above investment expenses do not include VAT, taxes and fees related to international cable investment in Vietnam.</w:t>
      </w:r>
    </w:p>
    <w:p w14:paraId="0D573089" w14:textId="77777777" w:rsidR="000631EE" w:rsidRPr="000631EE" w:rsidRDefault="000631EE" w:rsidP="00063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Investment capital source: bank loans/capital for business development and investment.</w:t>
      </w:r>
    </w:p>
    <w:p w14:paraId="3F12C27D" w14:textId="63CD94C0" w:rsidR="004E3134" w:rsidRPr="000631EE" w:rsidRDefault="006D403F" w:rsidP="00CA6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31EE">
        <w:rPr>
          <w:rFonts w:ascii="Arial" w:hAnsi="Arial" w:cs="Arial"/>
          <w:color w:val="010000"/>
          <w:sz w:val="20"/>
        </w:rPr>
        <w:t>Approve the proposal to select one out of four following independent audit companies (Big4) to audit the Financial Statements 2023 of the Company: KPMG Limited; Deloitte Vietnam Audit Company Limited; PwC (Vietnam) Limited; Ernst &amp; Young Vietnam Limited</w:t>
      </w:r>
      <w:r w:rsidR="000631EE" w:rsidRPr="000631EE">
        <w:rPr>
          <w:rFonts w:ascii="Arial" w:hAnsi="Arial" w:cs="Arial"/>
          <w:color w:val="010000"/>
          <w:sz w:val="20"/>
        </w:rPr>
        <w:t>. A</w:t>
      </w:r>
      <w:r w:rsidRPr="000631EE">
        <w:rPr>
          <w:rFonts w:ascii="Arial" w:hAnsi="Arial" w:cs="Arial"/>
          <w:color w:val="010000"/>
          <w:sz w:val="20"/>
        </w:rPr>
        <w:t>uthorize the Board of Directors to select an audit company.</w:t>
      </w:r>
    </w:p>
    <w:p w14:paraId="4DBC0DC0" w14:textId="1838C1C0" w:rsidR="004E3134" w:rsidRPr="000631EE" w:rsidRDefault="006D403F" w:rsidP="00CA6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631EE">
        <w:rPr>
          <w:rFonts w:ascii="Arial" w:hAnsi="Arial" w:cs="Arial"/>
          <w:color w:val="010000"/>
          <w:sz w:val="20"/>
        </w:rPr>
        <w:t>The full text of this General Mandate was approved by the Annual General Meeting of Shareholders 2023 of FPT Telecom Joint Stock Company</w:t>
      </w:r>
      <w:r w:rsidR="000631EE" w:rsidRPr="000631EE">
        <w:rPr>
          <w:rFonts w:ascii="Arial" w:hAnsi="Arial" w:cs="Arial"/>
          <w:color w:val="010000"/>
          <w:sz w:val="20"/>
        </w:rPr>
        <w:t xml:space="preserve"> at the meeting.</w:t>
      </w:r>
      <w:r w:rsidRPr="000631EE">
        <w:rPr>
          <w:rFonts w:ascii="Arial" w:hAnsi="Arial" w:cs="Arial"/>
          <w:color w:val="010000"/>
          <w:sz w:val="20"/>
        </w:rPr>
        <w:t xml:space="preserve"> The Board of Directors </w:t>
      </w:r>
      <w:r w:rsidR="000631EE" w:rsidRPr="000631EE">
        <w:rPr>
          <w:rFonts w:ascii="Arial" w:hAnsi="Arial" w:cs="Arial"/>
          <w:color w:val="010000"/>
          <w:sz w:val="20"/>
        </w:rPr>
        <w:t xml:space="preserve">shall implement </w:t>
      </w:r>
      <w:r w:rsidRPr="000631EE">
        <w:rPr>
          <w:rFonts w:ascii="Arial" w:hAnsi="Arial" w:cs="Arial"/>
          <w:color w:val="010000"/>
          <w:sz w:val="20"/>
        </w:rPr>
        <w:t>base</w:t>
      </w:r>
      <w:r w:rsidR="000631EE" w:rsidRPr="000631EE">
        <w:rPr>
          <w:rFonts w:ascii="Arial" w:hAnsi="Arial" w:cs="Arial"/>
          <w:color w:val="010000"/>
          <w:sz w:val="20"/>
        </w:rPr>
        <w:t>d</w:t>
      </w:r>
      <w:r w:rsidRPr="000631EE">
        <w:rPr>
          <w:rFonts w:ascii="Arial" w:hAnsi="Arial" w:cs="Arial"/>
          <w:color w:val="010000"/>
          <w:sz w:val="20"/>
        </w:rPr>
        <w:t xml:space="preserve"> on the contents of this General Mandate.</w:t>
      </w:r>
    </w:p>
    <w:sectPr w:rsidR="004E3134" w:rsidRPr="000631EE" w:rsidSect="00CA621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E5"/>
    <w:multiLevelType w:val="multilevel"/>
    <w:tmpl w:val="132259E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917744"/>
    <w:multiLevelType w:val="multilevel"/>
    <w:tmpl w:val="35CC5808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D876BD"/>
    <w:multiLevelType w:val="multilevel"/>
    <w:tmpl w:val="99C214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C650F"/>
    <w:multiLevelType w:val="multilevel"/>
    <w:tmpl w:val="E7FE9F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9F754C"/>
    <w:multiLevelType w:val="multilevel"/>
    <w:tmpl w:val="456817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3A27B8"/>
    <w:multiLevelType w:val="multilevel"/>
    <w:tmpl w:val="172EC2E2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D277A9"/>
    <w:multiLevelType w:val="multilevel"/>
    <w:tmpl w:val="5E1EFBAA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C3D07C1"/>
    <w:multiLevelType w:val="multilevel"/>
    <w:tmpl w:val="E30A9DB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2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5FB4F5C"/>
    <w:multiLevelType w:val="multilevel"/>
    <w:tmpl w:val="A21A2B2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494A66"/>
    <w:multiLevelType w:val="multilevel"/>
    <w:tmpl w:val="D5FCCCD4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E35098"/>
    <w:multiLevelType w:val="multilevel"/>
    <w:tmpl w:val="3236C3C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C8451C5"/>
    <w:multiLevelType w:val="multilevel"/>
    <w:tmpl w:val="3BE8ABB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058259E"/>
    <w:multiLevelType w:val="multilevel"/>
    <w:tmpl w:val="3614F34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B955909"/>
    <w:multiLevelType w:val="multilevel"/>
    <w:tmpl w:val="19E6F28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4"/>
    <w:rsid w:val="000631EE"/>
    <w:rsid w:val="00257261"/>
    <w:rsid w:val="00360444"/>
    <w:rsid w:val="004E3134"/>
    <w:rsid w:val="005B0A65"/>
    <w:rsid w:val="006D403F"/>
    <w:rsid w:val="00764ABB"/>
    <w:rsid w:val="007C79BC"/>
    <w:rsid w:val="00C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E8050"/>
  <w15:docId w15:val="{06D5A451-4DE9-48A4-A587-FA77ADA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EE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354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1">
    <w:name w:val="Heading #4"/>
    <w:basedOn w:val="Normal"/>
    <w:link w:val="Heading40"/>
    <w:pPr>
      <w:spacing w:line="319" w:lineRule="auto"/>
      <w:ind w:left="1050"/>
      <w:outlineLvl w:val="3"/>
    </w:pPr>
    <w:rPr>
      <w:rFonts w:ascii="Times New Roman" w:eastAsia="Times New Roman" w:hAnsi="Times New Roman" w:cs="Times New Roman"/>
      <w:b/>
      <w:bCs/>
      <w:i/>
      <w:iCs/>
      <w:sz w:val="22"/>
      <w:szCs w:val="22"/>
      <w:u w:val="single"/>
    </w:rPr>
  </w:style>
  <w:style w:type="paragraph" w:customStyle="1" w:styleId="Heading31">
    <w:name w:val="Heading #3"/>
    <w:basedOn w:val="Normal"/>
    <w:link w:val="Heading30"/>
    <w:pPr>
      <w:jc w:val="right"/>
      <w:outlineLvl w:val="2"/>
    </w:pPr>
    <w:rPr>
      <w:rFonts w:ascii="Times New Roman" w:eastAsia="Times New Roman" w:hAnsi="Times New Roman" w:cs="Times New Roman"/>
      <w:b/>
      <w:bCs/>
      <w:color w:val="AB3547"/>
    </w:rPr>
  </w:style>
  <w:style w:type="paragraph" w:customStyle="1" w:styleId="Other0">
    <w:name w:val="Other"/>
    <w:basedOn w:val="Normal"/>
    <w:link w:val="Other"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CA621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2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LdLfzV7nkvPdoEwLRceaYTJDg==">CgMxLjAyCGguZ2pkZ3hzOAByITFud1hHSDU0ZVQ2SDdUNnJZa3NkNmE5aGtGTlVISldudQ==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Trinh Ha Phuong</cp:lastModifiedBy>
  <cp:revision>10</cp:revision>
  <dcterms:created xsi:type="dcterms:W3CDTF">2023-11-30T04:50:00Z</dcterms:created>
  <dcterms:modified xsi:type="dcterms:W3CDTF">2023-12-01T09:18:00Z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dc7bfb37060bd507455a5192096f698846b31c6423bcc98bb6180d123f11b2dd</vt:lpwstr>
  </property>
</Properties>
</file>