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4622" w:rsidRPr="008F1245" w:rsidRDefault="00F56C67" w:rsidP="008D00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1245">
        <w:rPr>
          <w:rFonts w:ascii="Arial" w:hAnsi="Arial" w:cs="Arial"/>
          <w:b/>
          <w:color w:val="010000"/>
          <w:sz w:val="20"/>
        </w:rPr>
        <w:t xml:space="preserve">DHT: Board Resolution </w:t>
      </w:r>
      <w:bookmarkStart w:id="0" w:name="_GoBack"/>
      <w:bookmarkEnd w:id="0"/>
    </w:p>
    <w:p w14:paraId="00000002" w14:textId="777AF714" w:rsidR="00874622" w:rsidRPr="008F1245" w:rsidRDefault="00F56C67" w:rsidP="008D00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On November 29, 2023, HaTay Pharmaceutical JSC announced Resolution No. 1137/NQ-DHT on approving the registration dossier for </w:t>
      </w:r>
      <w:r w:rsidR="00905AA2" w:rsidRPr="008F1245">
        <w:rPr>
          <w:rFonts w:ascii="Arial" w:hAnsi="Arial" w:cs="Arial"/>
          <w:color w:val="010000"/>
          <w:sz w:val="20"/>
        </w:rPr>
        <w:t>the private placement</w:t>
      </w:r>
      <w:r w:rsidRPr="008F1245">
        <w:rPr>
          <w:rFonts w:ascii="Arial" w:hAnsi="Arial" w:cs="Arial"/>
          <w:color w:val="010000"/>
          <w:sz w:val="20"/>
        </w:rPr>
        <w:t xml:space="preserve"> of shares, as follows:</w:t>
      </w:r>
    </w:p>
    <w:p w14:paraId="00000003" w14:textId="41AFBD68" w:rsidR="00874622" w:rsidRPr="008F1245" w:rsidRDefault="00F56C67" w:rsidP="008D00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Article 1: Approve the registration dossier for </w:t>
      </w:r>
      <w:r w:rsidR="00905AA2" w:rsidRPr="008F1245">
        <w:rPr>
          <w:rFonts w:ascii="Arial" w:hAnsi="Arial" w:cs="Arial"/>
          <w:color w:val="010000"/>
          <w:sz w:val="20"/>
        </w:rPr>
        <w:t>private placement</w:t>
      </w:r>
      <w:r w:rsidRPr="008F1245">
        <w:rPr>
          <w:rFonts w:ascii="Arial" w:hAnsi="Arial" w:cs="Arial"/>
          <w:color w:val="010000"/>
          <w:sz w:val="20"/>
        </w:rPr>
        <w:t xml:space="preserve"> in 2023 including but not limited to the following documents:</w:t>
      </w:r>
    </w:p>
    <w:p w14:paraId="00000004" w14:textId="005DAA1D" w:rsidR="00874622" w:rsidRPr="008F1245" w:rsidRDefault="00F56C67" w:rsidP="008D0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Registration Certificate for </w:t>
      </w:r>
      <w:r w:rsidR="00905AA2" w:rsidRPr="008F1245">
        <w:rPr>
          <w:rFonts w:ascii="Arial" w:hAnsi="Arial" w:cs="Arial"/>
          <w:color w:val="010000"/>
          <w:sz w:val="20"/>
        </w:rPr>
        <w:t>private placement</w:t>
      </w:r>
      <w:r w:rsidRPr="008F1245">
        <w:rPr>
          <w:rFonts w:ascii="Arial" w:hAnsi="Arial" w:cs="Arial"/>
          <w:color w:val="010000"/>
          <w:sz w:val="20"/>
        </w:rPr>
        <w:t xml:space="preserve"> of shares No. 1138 dated November 29, 2023 (according to Form No. 10 of Appendix promulgated with Decree No. 155/2020/ND-CP on detailed regulations for the implementation of a number of articles of the Law</w:t>
      </w:r>
      <w:r w:rsidR="00EB3BB9" w:rsidRPr="008F1245">
        <w:rPr>
          <w:rFonts w:ascii="Arial" w:hAnsi="Arial" w:cs="Arial"/>
          <w:color w:val="010000"/>
          <w:sz w:val="20"/>
        </w:rPr>
        <w:t xml:space="preserve"> on Securities</w:t>
      </w:r>
      <w:r w:rsidRPr="008F1245">
        <w:rPr>
          <w:rFonts w:ascii="Arial" w:hAnsi="Arial" w:cs="Arial"/>
          <w:color w:val="010000"/>
          <w:sz w:val="20"/>
        </w:rPr>
        <w:t>);</w:t>
      </w:r>
    </w:p>
    <w:p w14:paraId="00000005" w14:textId="77777777" w:rsidR="00874622" w:rsidRPr="008F1245" w:rsidRDefault="00F56C67" w:rsidP="008D0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Business registration certificate No. 0500391400 issued by Hanoi Department of Planning and Investment for the first time on January 10, 2001, registered for the 23rd change on August 7, 2023;</w:t>
      </w:r>
    </w:p>
    <w:p w14:paraId="00000006" w14:textId="77777777" w:rsidR="00874622" w:rsidRPr="008F1245" w:rsidRDefault="00F56C67" w:rsidP="008D0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Annual General Mandate 2023 No. 429/NQ-DHT dated April 7, 2023;</w:t>
      </w:r>
    </w:p>
    <w:p w14:paraId="00000007" w14:textId="3B4A3AD6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Proposal to the Annual General Meeting of Shareholders 2023 No. 230/TTr-DHT on the plan for </w:t>
      </w:r>
      <w:r w:rsidR="00905AA2" w:rsidRPr="008F1245">
        <w:rPr>
          <w:rFonts w:ascii="Arial" w:hAnsi="Arial" w:cs="Arial"/>
          <w:color w:val="010000"/>
          <w:sz w:val="20"/>
        </w:rPr>
        <w:t>private placement</w:t>
      </w:r>
      <w:r w:rsidRPr="008F1245">
        <w:rPr>
          <w:rFonts w:ascii="Arial" w:hAnsi="Arial" w:cs="Arial"/>
          <w:color w:val="010000"/>
          <w:sz w:val="20"/>
        </w:rPr>
        <w:t>;</w:t>
      </w:r>
    </w:p>
    <w:p w14:paraId="00000008" w14:textId="77777777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Minutes of the Annual General Meeting of Shareholders 2023 No. 428/BB-DHT dated April 7, 2023;</w:t>
      </w:r>
    </w:p>
    <w:p w14:paraId="00000009" w14:textId="77777777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Vote counting minutes of the Annual General Meeting of Shareholders 2023 dated April 7, 2023;</w:t>
      </w:r>
    </w:p>
    <w:p w14:paraId="0000000A" w14:textId="77777777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List of shareholders attending the Annual General Meeting 2023 on April 7, 2023;</w:t>
      </w:r>
    </w:p>
    <w:p w14:paraId="0000000B" w14:textId="4575CE8B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Board Resolution No. 1136 dated November 29, 2023 on approving the implementation of the </w:t>
      </w:r>
      <w:r w:rsidR="00905AA2" w:rsidRPr="008F1245">
        <w:rPr>
          <w:rFonts w:ascii="Arial" w:hAnsi="Arial" w:cs="Arial"/>
          <w:color w:val="010000"/>
          <w:sz w:val="20"/>
        </w:rPr>
        <w:t>private placement</w:t>
      </w:r>
      <w:r w:rsidRPr="008F1245">
        <w:rPr>
          <w:rFonts w:ascii="Arial" w:hAnsi="Arial" w:cs="Arial"/>
          <w:color w:val="010000"/>
          <w:sz w:val="20"/>
        </w:rPr>
        <w:t xml:space="preserve"> plan in 2023;</w:t>
      </w:r>
    </w:p>
    <w:p w14:paraId="0000000C" w14:textId="297137EB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Board Resolution No. 1137 dated November 29, 2023 on approving the registration dossier for </w:t>
      </w:r>
      <w:r w:rsidR="00905AA2" w:rsidRPr="008F1245">
        <w:rPr>
          <w:rFonts w:ascii="Arial" w:hAnsi="Arial" w:cs="Arial"/>
          <w:color w:val="010000"/>
          <w:sz w:val="20"/>
        </w:rPr>
        <w:t>private placement</w:t>
      </w:r>
      <w:r w:rsidRPr="008F1245">
        <w:rPr>
          <w:rFonts w:ascii="Arial" w:hAnsi="Arial" w:cs="Arial"/>
          <w:color w:val="010000"/>
          <w:sz w:val="20"/>
        </w:rPr>
        <w:t xml:space="preserve"> in 2023;</w:t>
      </w:r>
    </w:p>
    <w:p w14:paraId="0000000D" w14:textId="77777777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Board Resolution No. 1135 dated November 29, 2023 on approving the plan to ensure the issuance of shares meets the foreign ownership rate;</w:t>
      </w:r>
    </w:p>
    <w:p w14:paraId="0000000E" w14:textId="751806FB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Commitment of the Issuer on not violating the provisions on cross-ownership of the </w:t>
      </w:r>
      <w:r w:rsidR="00EB3BB9" w:rsidRPr="008F1245">
        <w:rPr>
          <w:rFonts w:ascii="Arial" w:hAnsi="Arial" w:cs="Arial"/>
          <w:color w:val="010000"/>
          <w:sz w:val="20"/>
        </w:rPr>
        <w:t>Law on Enterprises</w:t>
      </w:r>
      <w:r w:rsidRPr="008F1245">
        <w:rPr>
          <w:rFonts w:ascii="Arial" w:hAnsi="Arial" w:cs="Arial"/>
          <w:color w:val="010000"/>
          <w:sz w:val="20"/>
        </w:rPr>
        <w:t>;</w:t>
      </w:r>
    </w:p>
    <w:p w14:paraId="0000000F" w14:textId="548B7C88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Official Dispatch on confirmation</w:t>
      </w:r>
      <w:r w:rsidR="008F1245" w:rsidRPr="008F1245">
        <w:rPr>
          <w:rFonts w:ascii="Arial" w:hAnsi="Arial" w:cs="Arial"/>
          <w:color w:val="010000"/>
          <w:sz w:val="20"/>
        </w:rPr>
        <w:t xml:space="preserve"> of the bank</w:t>
      </w:r>
      <w:r w:rsidR="00EB3BB9" w:rsidRPr="008F1245">
        <w:rPr>
          <w:rFonts w:ascii="Arial" w:hAnsi="Arial" w:cs="Arial"/>
          <w:color w:val="010000"/>
          <w:sz w:val="20"/>
        </w:rPr>
        <w:t xml:space="preserve"> </w:t>
      </w:r>
      <w:r w:rsidRPr="008F1245">
        <w:rPr>
          <w:rFonts w:ascii="Arial" w:hAnsi="Arial" w:cs="Arial"/>
          <w:color w:val="010000"/>
          <w:sz w:val="20"/>
        </w:rPr>
        <w:t>on opening a blocked account to receive money to buy shares in the offering;</w:t>
      </w:r>
    </w:p>
    <w:p w14:paraId="00000010" w14:textId="77777777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Documents on restructuring long-term loans for banks;</w:t>
      </w:r>
    </w:p>
    <w:p w14:paraId="00000011" w14:textId="1D7CB370" w:rsidR="00874622" w:rsidRPr="008F1245" w:rsidRDefault="00F56C67" w:rsidP="008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 xml:space="preserve">Documents on investment in </w:t>
      </w:r>
      <w:r w:rsidR="008F1245" w:rsidRPr="008F1245">
        <w:rPr>
          <w:rFonts w:ascii="Arial" w:hAnsi="Arial" w:cs="Arial"/>
          <w:color w:val="010000"/>
          <w:sz w:val="20"/>
        </w:rPr>
        <w:t>the High-Tech Pharmaceutical Factory Project.</w:t>
      </w:r>
      <w:r w:rsidRPr="008F1245">
        <w:rPr>
          <w:rFonts w:ascii="Arial" w:hAnsi="Arial" w:cs="Arial"/>
          <w:color w:val="010000"/>
          <w:sz w:val="20"/>
        </w:rPr>
        <w:t xml:space="preserve"> </w:t>
      </w:r>
    </w:p>
    <w:p w14:paraId="00000012" w14:textId="37021961" w:rsidR="00874622" w:rsidRPr="008F1245" w:rsidRDefault="00F56C67" w:rsidP="008D00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245">
        <w:rPr>
          <w:rFonts w:ascii="Arial" w:hAnsi="Arial" w:cs="Arial"/>
          <w:color w:val="010000"/>
          <w:sz w:val="20"/>
        </w:rPr>
        <w:t>Article 2: Validity:</w:t>
      </w:r>
    </w:p>
    <w:p w14:paraId="00000013" w14:textId="3445B3F4" w:rsidR="00874622" w:rsidRPr="008F1245" w:rsidRDefault="00F56C67" w:rsidP="008D00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F1245">
        <w:rPr>
          <w:rFonts w:ascii="Arial" w:hAnsi="Arial" w:cs="Arial"/>
          <w:color w:val="010000"/>
          <w:sz w:val="20"/>
        </w:rPr>
        <w:t xml:space="preserve">This Resolution takes effect from the date of its signing. Members of the Board of Directors, the Board of Management of the </w:t>
      </w:r>
      <w:r w:rsidR="008F1245" w:rsidRPr="008F1245">
        <w:rPr>
          <w:rFonts w:ascii="Arial" w:hAnsi="Arial" w:cs="Arial"/>
          <w:color w:val="010000"/>
          <w:sz w:val="20"/>
        </w:rPr>
        <w:t>Company</w:t>
      </w:r>
      <w:r w:rsidRPr="008F1245">
        <w:rPr>
          <w:rFonts w:ascii="Arial" w:hAnsi="Arial" w:cs="Arial"/>
          <w:color w:val="010000"/>
          <w:sz w:val="20"/>
        </w:rPr>
        <w:t>,</w:t>
      </w:r>
      <w:r w:rsidR="00EB3BB9" w:rsidRPr="008F1245">
        <w:rPr>
          <w:rFonts w:ascii="Arial" w:hAnsi="Arial" w:cs="Arial"/>
          <w:color w:val="010000"/>
          <w:sz w:val="20"/>
        </w:rPr>
        <w:t xml:space="preserve"> </w:t>
      </w:r>
      <w:r w:rsidRPr="008F1245">
        <w:rPr>
          <w:rFonts w:ascii="Arial" w:hAnsi="Arial" w:cs="Arial"/>
          <w:color w:val="010000"/>
          <w:sz w:val="20"/>
        </w:rPr>
        <w:t xml:space="preserve">relevant Departments and individuals of the </w:t>
      </w:r>
      <w:r w:rsidR="008F1245" w:rsidRPr="008F1245">
        <w:rPr>
          <w:rFonts w:ascii="Arial" w:hAnsi="Arial" w:cs="Arial"/>
          <w:color w:val="010000"/>
          <w:sz w:val="20"/>
        </w:rPr>
        <w:t xml:space="preserve">Company </w:t>
      </w:r>
      <w:r w:rsidRPr="008F1245">
        <w:rPr>
          <w:rFonts w:ascii="Arial" w:hAnsi="Arial" w:cs="Arial"/>
          <w:color w:val="010000"/>
          <w:sz w:val="20"/>
        </w:rPr>
        <w:t>are responsible for the implementation of this Resolution.</w:t>
      </w:r>
      <w:r w:rsidR="00EB3BB9" w:rsidRPr="008F1245">
        <w:rPr>
          <w:rFonts w:ascii="Arial" w:hAnsi="Arial" w:cs="Arial"/>
          <w:color w:val="010000"/>
          <w:sz w:val="20"/>
        </w:rPr>
        <w:t xml:space="preserve"> </w:t>
      </w:r>
    </w:p>
    <w:p w14:paraId="31B52314" w14:textId="77777777" w:rsidR="008D003E" w:rsidRPr="008F1245" w:rsidRDefault="008D00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D003E" w:rsidRPr="008F1245" w:rsidSect="00EB3BB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590"/>
    <w:multiLevelType w:val="multilevel"/>
    <w:tmpl w:val="B6F2088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295E22"/>
    <w:multiLevelType w:val="multilevel"/>
    <w:tmpl w:val="56F0C7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22"/>
    <w:rsid w:val="00771F80"/>
    <w:rsid w:val="00874622"/>
    <w:rsid w:val="008D003E"/>
    <w:rsid w:val="008F1245"/>
    <w:rsid w:val="00905AA2"/>
    <w:rsid w:val="00EB3BB9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0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E7BPxrLOVrmdjzs0VwGmtZ0gFA==">CgMxLjAyCGguZ2pkZ3hzOAByITE3QjlmU0s4NDUxaDRYNjBrU2o1ZE9SUXFwMkpLOF84Vw==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2023-11-30T09:39:00Z</dcterms:created>
  <dcterms:modified xsi:type="dcterms:W3CDTF">2023-12-01T03:44:00Z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5c9ff22598b866140ed483688e930802a95eb434373fa360ffc38d36fad34fc4</vt:lpwstr>
  </property>
</Properties>
</file>