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64C2" w:rsidRPr="004D0CAB" w:rsidRDefault="00984424" w:rsidP="004F0974">
      <w:pPr>
        <w:keepNext/>
        <w:tabs>
          <w:tab w:val="left" w:pos="360"/>
          <w:tab w:val="left" w:pos="54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D0CAB">
        <w:rPr>
          <w:rFonts w:ascii="Arial" w:hAnsi="Arial" w:cs="Arial"/>
          <w:b/>
          <w:color w:val="010000"/>
          <w:sz w:val="20"/>
        </w:rPr>
        <w:t>TIG: Report on results of the share issuance to pay dividends</w:t>
      </w:r>
    </w:p>
    <w:p w14:paraId="00000002" w14:textId="39EE16DA" w:rsidR="004C64C2" w:rsidRPr="004D0CAB" w:rsidRDefault="00984424" w:rsidP="004F0974">
      <w:pPr>
        <w:keepNext/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On December 08, 2023, Thang Long Investment Group Joint Stock Company announced Report No. 125/2023/BC-TIG on </w:t>
      </w:r>
      <w:r w:rsidR="003942AC" w:rsidRPr="004D0CAB">
        <w:rPr>
          <w:rFonts w:ascii="Arial" w:hAnsi="Arial" w:cs="Arial"/>
          <w:color w:val="010000"/>
          <w:sz w:val="20"/>
        </w:rPr>
        <w:t xml:space="preserve">the </w:t>
      </w:r>
      <w:r w:rsidRPr="004D0CAB">
        <w:rPr>
          <w:rFonts w:ascii="Arial" w:hAnsi="Arial" w:cs="Arial"/>
          <w:color w:val="010000"/>
          <w:sz w:val="20"/>
        </w:rPr>
        <w:t>results of the share issuance to pay dividends as follows:</w:t>
      </w:r>
    </w:p>
    <w:p w14:paraId="00000003" w14:textId="672CF04F" w:rsidR="004C64C2" w:rsidRPr="004D0CAB" w:rsidRDefault="00984424" w:rsidP="004F0974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Issuance plan:</w:t>
      </w:r>
    </w:p>
    <w:p w14:paraId="00000004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Share name: Share of Thang Long Investment Group Joint Stock Company</w:t>
      </w:r>
    </w:p>
    <w:p w14:paraId="00000005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Share type: Common shares</w:t>
      </w:r>
    </w:p>
    <w:p w14:paraId="00000006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Number of shares before the issuance:</w:t>
      </w:r>
    </w:p>
    <w:p w14:paraId="00000007" w14:textId="77777777" w:rsidR="004C64C2" w:rsidRPr="004D0CAB" w:rsidRDefault="00984424" w:rsidP="004F0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Total number of issued shares: 176,006,485 shares; </w:t>
      </w:r>
    </w:p>
    <w:p w14:paraId="00000008" w14:textId="77777777" w:rsidR="004C64C2" w:rsidRPr="004D0CAB" w:rsidRDefault="00984424" w:rsidP="004F0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Number of outstanding shares: 176,006,485 shares; </w:t>
      </w:r>
    </w:p>
    <w:p w14:paraId="00000009" w14:textId="2CBD9EBC" w:rsidR="004C64C2" w:rsidRPr="004D0CAB" w:rsidRDefault="00984424" w:rsidP="004F0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Number of treasury shares: 0 share</w:t>
      </w:r>
      <w:r w:rsidR="003942AC" w:rsidRPr="004D0CAB">
        <w:rPr>
          <w:rFonts w:ascii="Arial" w:hAnsi="Arial" w:cs="Arial"/>
          <w:color w:val="010000"/>
          <w:sz w:val="20"/>
        </w:rPr>
        <w:t>s</w:t>
      </w:r>
      <w:r w:rsidRPr="004D0CAB">
        <w:rPr>
          <w:rFonts w:ascii="Arial" w:hAnsi="Arial" w:cs="Arial"/>
          <w:color w:val="010000"/>
          <w:sz w:val="20"/>
        </w:rPr>
        <w:t>.</w:t>
      </w:r>
    </w:p>
    <w:p w14:paraId="0000000A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Number of shares expected to be issued: 17,600,648 shares;</w:t>
      </w:r>
    </w:p>
    <w:p w14:paraId="0000000B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Rights exercise rate: 10:1 (at the record date of the list of shareholders, a shareholder who owns 10 shares will receive 01 new share)</w:t>
      </w:r>
    </w:p>
    <w:p w14:paraId="0000000C" w14:textId="008884D5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Capital source for the issuance: The undistributed profit</w:t>
      </w:r>
      <w:r w:rsidR="003942AC" w:rsidRPr="004D0CAB">
        <w:rPr>
          <w:rFonts w:ascii="Arial" w:hAnsi="Arial" w:cs="Arial"/>
          <w:color w:val="010000"/>
          <w:sz w:val="20"/>
        </w:rPr>
        <w:t xml:space="preserve"> after tax</w:t>
      </w:r>
      <w:r w:rsidRPr="004D0CAB">
        <w:rPr>
          <w:rFonts w:ascii="Arial" w:hAnsi="Arial" w:cs="Arial"/>
          <w:color w:val="010000"/>
          <w:sz w:val="20"/>
        </w:rPr>
        <w:t xml:space="preserve"> as of December 31, 2022 in the </w:t>
      </w:r>
      <w:r w:rsidR="003942AC" w:rsidRPr="004D0CAB">
        <w:rPr>
          <w:rFonts w:ascii="Arial" w:hAnsi="Arial" w:cs="Arial"/>
          <w:color w:val="010000"/>
          <w:sz w:val="20"/>
        </w:rPr>
        <w:t>Audited S</w:t>
      </w:r>
      <w:r w:rsidRPr="004D0CAB">
        <w:rPr>
          <w:rFonts w:ascii="Arial" w:hAnsi="Arial" w:cs="Arial"/>
          <w:color w:val="010000"/>
          <w:sz w:val="20"/>
        </w:rPr>
        <w:t>eparate and</w:t>
      </w:r>
      <w:r w:rsidR="003942AC" w:rsidRPr="004D0CAB">
        <w:rPr>
          <w:rFonts w:ascii="Arial" w:hAnsi="Arial" w:cs="Arial"/>
          <w:color w:val="010000"/>
          <w:sz w:val="20"/>
        </w:rPr>
        <w:t xml:space="preserve"> Consolidated Financial Statements</w:t>
      </w:r>
      <w:r w:rsidRPr="004D0CAB">
        <w:rPr>
          <w:rFonts w:ascii="Arial" w:hAnsi="Arial" w:cs="Arial"/>
          <w:color w:val="010000"/>
          <w:sz w:val="20"/>
        </w:rPr>
        <w:t xml:space="preserve"> 2022 of Thang Long Investment Group Joint Stock Company.</w:t>
      </w:r>
    </w:p>
    <w:p w14:paraId="0000000D" w14:textId="06ED8095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Plan on handling decimal places, fractional shares: The number of dividend-paying shares issued </w:t>
      </w:r>
      <w:r w:rsidR="003942AC" w:rsidRPr="004D0CAB">
        <w:rPr>
          <w:rFonts w:ascii="Arial" w:hAnsi="Arial" w:cs="Arial"/>
          <w:color w:val="010000"/>
          <w:sz w:val="20"/>
        </w:rPr>
        <w:t>to</w:t>
      </w:r>
      <w:r w:rsidRPr="004D0CAB">
        <w:rPr>
          <w:rFonts w:ascii="Arial" w:hAnsi="Arial" w:cs="Arial"/>
          <w:color w:val="010000"/>
          <w:sz w:val="20"/>
        </w:rPr>
        <w:t xml:space="preserve"> shareholder</w:t>
      </w:r>
      <w:r w:rsidR="003942AC" w:rsidRPr="004D0CAB">
        <w:rPr>
          <w:rFonts w:ascii="Arial" w:hAnsi="Arial" w:cs="Arial"/>
          <w:color w:val="010000"/>
          <w:sz w:val="20"/>
        </w:rPr>
        <w:t>s</w:t>
      </w:r>
      <w:r w:rsidRPr="004D0CAB">
        <w:rPr>
          <w:rFonts w:ascii="Arial" w:hAnsi="Arial" w:cs="Arial"/>
          <w:color w:val="010000"/>
          <w:sz w:val="20"/>
        </w:rPr>
        <w:t xml:space="preserve"> will be rounded down to the nearest unit. Any fractional shares resulting from rounding down (if any) will be canceled.</w:t>
      </w:r>
    </w:p>
    <w:p w14:paraId="0000000E" w14:textId="65B6EC95" w:rsidR="004C64C2" w:rsidRPr="004D0CAB" w:rsidRDefault="00984424" w:rsidP="004F09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For example: </w:t>
      </w:r>
      <w:r w:rsidR="003942AC" w:rsidRPr="004D0CAB">
        <w:rPr>
          <w:rFonts w:ascii="Arial" w:hAnsi="Arial" w:cs="Arial"/>
          <w:color w:val="010000"/>
          <w:sz w:val="20"/>
        </w:rPr>
        <w:t>S</w:t>
      </w:r>
      <w:r w:rsidRPr="004D0CAB">
        <w:rPr>
          <w:rFonts w:ascii="Arial" w:hAnsi="Arial" w:cs="Arial"/>
          <w:color w:val="010000"/>
          <w:sz w:val="20"/>
        </w:rPr>
        <w:t>hareholder A</w:t>
      </w:r>
      <w:r w:rsidR="004D0CAB" w:rsidRPr="004D0CAB">
        <w:rPr>
          <w:rFonts w:ascii="Arial" w:hAnsi="Arial" w:cs="Arial"/>
          <w:color w:val="010000"/>
          <w:sz w:val="20"/>
        </w:rPr>
        <w:t>,</w:t>
      </w:r>
      <w:r w:rsidRPr="004D0CAB">
        <w:rPr>
          <w:rFonts w:ascii="Arial" w:hAnsi="Arial" w:cs="Arial"/>
          <w:color w:val="010000"/>
          <w:sz w:val="20"/>
        </w:rPr>
        <w:t xml:space="preserve"> </w:t>
      </w:r>
      <w:r w:rsidR="004D0CAB" w:rsidRPr="004D0CAB">
        <w:rPr>
          <w:rFonts w:ascii="Arial" w:hAnsi="Arial" w:cs="Arial"/>
          <w:color w:val="010000"/>
          <w:sz w:val="20"/>
        </w:rPr>
        <w:t xml:space="preserve">at the record date to </w:t>
      </w:r>
      <w:r w:rsidRPr="004D0CAB">
        <w:rPr>
          <w:rFonts w:ascii="Arial" w:hAnsi="Arial" w:cs="Arial"/>
          <w:color w:val="010000"/>
          <w:sz w:val="20"/>
        </w:rPr>
        <w:t>exerci</w:t>
      </w:r>
      <w:r w:rsidR="004D0CAB" w:rsidRPr="004D0CAB">
        <w:rPr>
          <w:rFonts w:ascii="Arial" w:hAnsi="Arial" w:cs="Arial"/>
          <w:color w:val="010000"/>
          <w:sz w:val="20"/>
        </w:rPr>
        <w:t xml:space="preserve">se </w:t>
      </w:r>
      <w:r w:rsidRPr="004D0CAB">
        <w:rPr>
          <w:rFonts w:ascii="Arial" w:hAnsi="Arial" w:cs="Arial"/>
          <w:color w:val="010000"/>
          <w:sz w:val="20"/>
        </w:rPr>
        <w:t xml:space="preserve">the right to receive dividends </w:t>
      </w:r>
      <w:r w:rsidR="004D0CAB" w:rsidRPr="004D0CAB">
        <w:rPr>
          <w:rFonts w:ascii="Arial" w:hAnsi="Arial" w:cs="Arial"/>
          <w:color w:val="010000"/>
          <w:sz w:val="20"/>
        </w:rPr>
        <w:t>by</w:t>
      </w:r>
      <w:r w:rsidRPr="004D0CAB">
        <w:rPr>
          <w:rFonts w:ascii="Arial" w:hAnsi="Arial" w:cs="Arial"/>
          <w:color w:val="010000"/>
          <w:sz w:val="20"/>
        </w:rPr>
        <w:t xml:space="preserve"> shares </w:t>
      </w:r>
      <w:r w:rsidR="004D0CAB" w:rsidRPr="004D0CAB">
        <w:rPr>
          <w:rFonts w:ascii="Arial" w:hAnsi="Arial" w:cs="Arial"/>
          <w:color w:val="010000"/>
          <w:sz w:val="20"/>
        </w:rPr>
        <w:t xml:space="preserve">owning </w:t>
      </w:r>
      <w:r w:rsidRPr="004D0CAB">
        <w:rPr>
          <w:rFonts w:ascii="Arial" w:hAnsi="Arial" w:cs="Arial"/>
          <w:color w:val="010000"/>
          <w:sz w:val="20"/>
        </w:rPr>
        <w:t xml:space="preserve">2,222 shares, will receive 222.2 additional shares </w:t>
      </w:r>
      <w:r w:rsidR="004D0CAB" w:rsidRPr="004D0CAB">
        <w:rPr>
          <w:rFonts w:ascii="Arial" w:hAnsi="Arial" w:cs="Arial"/>
          <w:color w:val="010000"/>
          <w:sz w:val="20"/>
        </w:rPr>
        <w:t xml:space="preserve">as </w:t>
      </w:r>
      <w:r w:rsidRPr="004D0CAB">
        <w:rPr>
          <w:rFonts w:ascii="Arial" w:hAnsi="Arial" w:cs="Arial"/>
          <w:color w:val="010000"/>
          <w:sz w:val="20"/>
        </w:rPr>
        <w:t>dividend</w:t>
      </w:r>
      <w:r w:rsidR="004D0CAB" w:rsidRPr="004D0CAB">
        <w:rPr>
          <w:rFonts w:ascii="Arial" w:hAnsi="Arial" w:cs="Arial"/>
          <w:color w:val="010000"/>
          <w:sz w:val="20"/>
        </w:rPr>
        <w:t>s (</w:t>
      </w:r>
      <w:r w:rsidRPr="004D0CAB">
        <w:rPr>
          <w:rFonts w:ascii="Arial" w:hAnsi="Arial" w:cs="Arial"/>
          <w:color w:val="010000"/>
          <w:sz w:val="20"/>
        </w:rPr>
        <w:t>2,222 * 1/10 = 222.2 shares</w:t>
      </w:r>
      <w:r w:rsidR="004D0CAB" w:rsidRPr="004D0CAB">
        <w:rPr>
          <w:rFonts w:ascii="Arial" w:hAnsi="Arial" w:cs="Arial"/>
          <w:color w:val="010000"/>
          <w:sz w:val="20"/>
        </w:rPr>
        <w:t>)</w:t>
      </w:r>
      <w:r w:rsidRPr="004D0CAB">
        <w:rPr>
          <w:rFonts w:ascii="Arial" w:hAnsi="Arial" w:cs="Arial"/>
          <w:color w:val="010000"/>
          <w:sz w:val="20"/>
        </w:rPr>
        <w:t xml:space="preserve">. According to the </w:t>
      </w:r>
      <w:r w:rsidR="004D0CAB" w:rsidRPr="004D0CAB">
        <w:rPr>
          <w:rFonts w:ascii="Arial" w:hAnsi="Arial" w:cs="Arial"/>
          <w:color w:val="010000"/>
          <w:sz w:val="20"/>
        </w:rPr>
        <w:t xml:space="preserve">plan on </w:t>
      </w:r>
      <w:r w:rsidRPr="004D0CAB">
        <w:rPr>
          <w:rFonts w:ascii="Arial" w:hAnsi="Arial" w:cs="Arial"/>
          <w:color w:val="010000"/>
          <w:sz w:val="20"/>
        </w:rPr>
        <w:t xml:space="preserve">rounding </w:t>
      </w:r>
      <w:r w:rsidR="004D0CAB" w:rsidRPr="004D0CAB">
        <w:rPr>
          <w:rFonts w:ascii="Arial" w:hAnsi="Arial" w:cs="Arial"/>
          <w:color w:val="010000"/>
          <w:sz w:val="20"/>
        </w:rPr>
        <w:t xml:space="preserve">and handling </w:t>
      </w:r>
      <w:r w:rsidRPr="004D0CAB">
        <w:rPr>
          <w:rFonts w:ascii="Arial" w:hAnsi="Arial" w:cs="Arial"/>
          <w:color w:val="010000"/>
          <w:sz w:val="20"/>
        </w:rPr>
        <w:t>fractional shares, the actual number of shares that shareholder A will receive from the dividend is 222 shares, and 0.2 shares will be canceled.</w:t>
      </w:r>
    </w:p>
    <w:p w14:paraId="0000000F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End date of the issuance: November 27, 2023</w:t>
      </w:r>
    </w:p>
    <w:p w14:paraId="00000010" w14:textId="77777777" w:rsidR="004C64C2" w:rsidRPr="004D0CAB" w:rsidRDefault="00984424" w:rsidP="004F0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Expected date to transfer shares: December 18, 2023</w:t>
      </w:r>
    </w:p>
    <w:p w14:paraId="00000011" w14:textId="05B15826" w:rsidR="004C64C2" w:rsidRPr="004D0CAB" w:rsidRDefault="00984424" w:rsidP="004F0974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Share issuance results:</w:t>
      </w:r>
    </w:p>
    <w:p w14:paraId="00000012" w14:textId="77777777" w:rsidR="004C64C2" w:rsidRPr="004D0CAB" w:rsidRDefault="00984424" w:rsidP="004F09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Total number of distributed shares: 17,599,720 shares, in which:</w:t>
      </w:r>
    </w:p>
    <w:p w14:paraId="00000013" w14:textId="77777777" w:rsidR="004C64C2" w:rsidRPr="004D0CAB" w:rsidRDefault="00984424" w:rsidP="004F09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Number of shares distributed to shareholders according to the rate: 17,599,720 shares for 5226 shareholders;</w:t>
      </w:r>
    </w:p>
    <w:p w14:paraId="00000014" w14:textId="302316FF" w:rsidR="004C64C2" w:rsidRPr="004D0CAB" w:rsidRDefault="00984424" w:rsidP="004F09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Number of shares handled decimal places, fractional shares: 0 </w:t>
      </w:r>
      <w:r w:rsidR="004D0CAB" w:rsidRPr="004D0CAB">
        <w:rPr>
          <w:rFonts w:ascii="Arial" w:hAnsi="Arial" w:cs="Arial"/>
          <w:color w:val="010000"/>
          <w:sz w:val="20"/>
        </w:rPr>
        <w:t>shares</w:t>
      </w:r>
      <w:r w:rsidRPr="004D0CAB">
        <w:rPr>
          <w:rFonts w:ascii="Arial" w:hAnsi="Arial" w:cs="Arial"/>
          <w:color w:val="010000"/>
          <w:sz w:val="20"/>
        </w:rPr>
        <w:t>.</w:t>
      </w:r>
    </w:p>
    <w:p w14:paraId="00000015" w14:textId="77777777" w:rsidR="004C64C2" w:rsidRPr="004D0CAB" w:rsidRDefault="00984424" w:rsidP="004F09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Total number of shares after the issuance (November 27, 2023): 193,606,205 shares, in which:</w:t>
      </w:r>
    </w:p>
    <w:p w14:paraId="00000016" w14:textId="77777777" w:rsidR="004C64C2" w:rsidRPr="004D0CAB" w:rsidRDefault="00984424" w:rsidP="004F09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>Number of outstanding shares: 193,606,205 shares</w:t>
      </w:r>
    </w:p>
    <w:p w14:paraId="00000019" w14:textId="11838DBA" w:rsidR="004C64C2" w:rsidRPr="004D0CAB" w:rsidRDefault="00984424" w:rsidP="004F09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0CAB">
        <w:rPr>
          <w:rFonts w:ascii="Arial" w:hAnsi="Arial" w:cs="Arial"/>
          <w:color w:val="010000"/>
          <w:sz w:val="20"/>
        </w:rPr>
        <w:t xml:space="preserve">Number of treasury shares:  </w:t>
      </w:r>
      <w:r w:rsidR="004D0CAB" w:rsidRPr="004D0CAB">
        <w:rPr>
          <w:rFonts w:ascii="Arial" w:hAnsi="Arial" w:cs="Arial"/>
          <w:color w:val="010000"/>
          <w:sz w:val="20"/>
        </w:rPr>
        <w:t>0</w:t>
      </w:r>
      <w:r w:rsidRPr="004D0CAB">
        <w:rPr>
          <w:rFonts w:ascii="Arial" w:hAnsi="Arial" w:cs="Arial"/>
          <w:color w:val="010000"/>
          <w:sz w:val="20"/>
        </w:rPr>
        <w:t xml:space="preserve"> share</w:t>
      </w:r>
      <w:r w:rsidR="004D0CAB" w:rsidRPr="004D0CAB">
        <w:rPr>
          <w:rFonts w:ascii="Arial" w:hAnsi="Arial" w:cs="Arial"/>
          <w:color w:val="010000"/>
          <w:sz w:val="20"/>
        </w:rPr>
        <w:t>s</w:t>
      </w:r>
      <w:r w:rsidRPr="004D0CAB">
        <w:rPr>
          <w:rFonts w:ascii="Arial" w:hAnsi="Arial" w:cs="Arial"/>
          <w:color w:val="010000"/>
          <w:sz w:val="20"/>
        </w:rPr>
        <w:t>.</w:t>
      </w:r>
      <w:bookmarkEnd w:id="0"/>
    </w:p>
    <w:sectPr w:rsidR="004C64C2" w:rsidRPr="004D0CAB" w:rsidSect="0098442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563"/>
    <w:multiLevelType w:val="multilevel"/>
    <w:tmpl w:val="E228D2B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9FD"/>
    <w:multiLevelType w:val="multilevel"/>
    <w:tmpl w:val="B28AC5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825C49"/>
    <w:multiLevelType w:val="multilevel"/>
    <w:tmpl w:val="D098CD5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922D70"/>
    <w:multiLevelType w:val="multilevel"/>
    <w:tmpl w:val="72B4F5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1E3B19"/>
    <w:multiLevelType w:val="multilevel"/>
    <w:tmpl w:val="F146AFA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4C717C"/>
    <w:multiLevelType w:val="hybridMultilevel"/>
    <w:tmpl w:val="3DF2E9DA"/>
    <w:lvl w:ilvl="0" w:tplc="76DE95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A84E578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D00F76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D784F"/>
    <w:multiLevelType w:val="multilevel"/>
    <w:tmpl w:val="8CA2C104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65FC3"/>
    <w:multiLevelType w:val="multilevel"/>
    <w:tmpl w:val="08840CAA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C2"/>
    <w:rsid w:val="003942AC"/>
    <w:rsid w:val="004C64C2"/>
    <w:rsid w:val="004D0CAB"/>
    <w:rsid w:val="004F0974"/>
    <w:rsid w:val="00984424"/>
    <w:rsid w:val="009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35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45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45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1lrqgA148xexeI6mb6Tz5dkLBw==">CgMxLjA4AHIhMTZ2MWtNcUdLTEdpeWpOSjd1YldPcGZnV1ZsVFlVX2lD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2023-12-13T04:19:00Z</dcterms:created>
  <dcterms:modified xsi:type="dcterms:W3CDTF">2023-12-14T03:43:00Z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7ec324ffb8dd57b0299ab5b80f1d09cef29d2f6f9ee4b13fb31067825b35d173</vt:lpwstr>
  </property>
</Properties>
</file>