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308D2" w:rsidRPr="00EC119E" w:rsidRDefault="00E2653C" w:rsidP="0003575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C119E">
        <w:rPr>
          <w:rFonts w:ascii="Arial" w:hAnsi="Arial" w:cs="Arial"/>
          <w:b/>
          <w:color w:val="010000"/>
          <w:sz w:val="20"/>
        </w:rPr>
        <w:t>KDM: Board Resolution</w:t>
      </w:r>
    </w:p>
    <w:p w14:paraId="00000002" w14:textId="77777777" w:rsidR="002308D2" w:rsidRPr="00EC119E" w:rsidRDefault="00E2653C" w:rsidP="0003575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119E">
        <w:rPr>
          <w:rFonts w:ascii="Arial" w:hAnsi="Arial" w:cs="Arial"/>
          <w:color w:val="010000"/>
          <w:sz w:val="20"/>
        </w:rPr>
        <w:t>On December 13, 2023, GCL Group Joint Stock Company announced Resolution No. 15/2023/NQ-HDQT-KDM on the divestment in its subsidiary - KDS Financial Technology Joint Stock Company as follows:</w:t>
      </w:r>
    </w:p>
    <w:p w14:paraId="00000003" w14:textId="77777777" w:rsidR="002308D2" w:rsidRPr="00EC119E" w:rsidRDefault="00E2653C" w:rsidP="0003575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119E">
        <w:rPr>
          <w:rFonts w:ascii="Arial" w:hAnsi="Arial" w:cs="Arial"/>
          <w:color w:val="010000"/>
          <w:sz w:val="20"/>
        </w:rPr>
        <w:t>‎‎Article 1. Approve the divestment of all the contributed capital in KDS Financial Technology Joint Stock Company, specifically as follows:</w:t>
      </w:r>
    </w:p>
    <w:p w14:paraId="00000004" w14:textId="77777777" w:rsidR="002308D2" w:rsidRPr="00EC119E" w:rsidRDefault="00E2653C" w:rsidP="0003575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EC119E">
        <w:rPr>
          <w:rFonts w:ascii="Arial" w:hAnsi="Arial" w:cs="Arial"/>
          <w:color w:val="010000"/>
          <w:sz w:val="20"/>
        </w:rPr>
        <w:t>Number of transferred shares: 300,000 shares accounting for 60% of the charter capital of KDS Financial Technology Joint Stock Company (tax code 0110298149).</w:t>
      </w:r>
    </w:p>
    <w:p w14:paraId="00000005" w14:textId="7806D18B" w:rsidR="002308D2" w:rsidRPr="00EC119E" w:rsidRDefault="00E2653C" w:rsidP="0003575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119E">
        <w:rPr>
          <w:rFonts w:ascii="Arial" w:hAnsi="Arial" w:cs="Arial"/>
          <w:color w:val="010000"/>
          <w:sz w:val="20"/>
        </w:rPr>
        <w:t>Expected transfer price: VND 10,000</w:t>
      </w:r>
      <w:r w:rsidR="00EC119E" w:rsidRPr="00EC119E">
        <w:rPr>
          <w:rFonts w:ascii="Arial" w:hAnsi="Arial" w:cs="Arial"/>
          <w:color w:val="010000"/>
          <w:sz w:val="20"/>
        </w:rPr>
        <w:t>/</w:t>
      </w:r>
      <w:r w:rsidRPr="00EC119E">
        <w:rPr>
          <w:rFonts w:ascii="Arial" w:hAnsi="Arial" w:cs="Arial"/>
          <w:color w:val="010000"/>
          <w:sz w:val="20"/>
        </w:rPr>
        <w:t>share;</w:t>
      </w:r>
    </w:p>
    <w:p w14:paraId="00000006" w14:textId="221264DB" w:rsidR="002308D2" w:rsidRPr="00EC119E" w:rsidRDefault="00E2653C" w:rsidP="0003575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119E">
        <w:rPr>
          <w:rFonts w:ascii="Arial" w:hAnsi="Arial" w:cs="Arial"/>
          <w:color w:val="010000"/>
          <w:sz w:val="20"/>
        </w:rPr>
        <w:t xml:space="preserve">Transfer reason: Reconstruct </w:t>
      </w:r>
      <w:r w:rsidR="00EC119E">
        <w:rPr>
          <w:rFonts w:ascii="Arial" w:hAnsi="Arial" w:cs="Arial"/>
          <w:color w:val="010000"/>
          <w:sz w:val="20"/>
        </w:rPr>
        <w:t xml:space="preserve">the </w:t>
      </w:r>
      <w:r w:rsidRPr="00EC119E">
        <w:rPr>
          <w:rFonts w:ascii="Arial" w:hAnsi="Arial" w:cs="Arial"/>
          <w:color w:val="010000"/>
          <w:sz w:val="20"/>
        </w:rPr>
        <w:t>investment</w:t>
      </w:r>
      <w:r w:rsidR="00EC119E" w:rsidRPr="00EC119E">
        <w:rPr>
          <w:rFonts w:ascii="Arial" w:hAnsi="Arial" w:cs="Arial"/>
          <w:color w:val="010000"/>
          <w:sz w:val="20"/>
        </w:rPr>
        <w:t xml:space="preserve"> portfolio</w:t>
      </w:r>
      <w:r w:rsidRPr="00EC119E">
        <w:rPr>
          <w:rFonts w:ascii="Arial" w:hAnsi="Arial" w:cs="Arial"/>
          <w:color w:val="010000"/>
          <w:sz w:val="20"/>
        </w:rPr>
        <w:t xml:space="preserve"> of the Company</w:t>
      </w:r>
    </w:p>
    <w:p w14:paraId="00000007" w14:textId="5E6882CD" w:rsidR="002308D2" w:rsidRPr="00EC119E" w:rsidRDefault="00E2653C" w:rsidP="0003575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119E">
        <w:rPr>
          <w:rFonts w:ascii="Arial" w:hAnsi="Arial" w:cs="Arial"/>
          <w:color w:val="010000"/>
          <w:sz w:val="20"/>
        </w:rPr>
        <w:t>‎‎Article 2. Assign the Board of Management to select partners, negotiate the ter</w:t>
      </w:r>
      <w:bookmarkStart w:id="1" w:name="_GoBack"/>
      <w:bookmarkEnd w:id="1"/>
      <w:r w:rsidRPr="00EC119E">
        <w:rPr>
          <w:rFonts w:ascii="Arial" w:hAnsi="Arial" w:cs="Arial"/>
          <w:color w:val="010000"/>
          <w:sz w:val="20"/>
        </w:rPr>
        <w:t>ms and conditions of the contract, sign the contract</w:t>
      </w:r>
      <w:r w:rsidR="00035759">
        <w:rPr>
          <w:rFonts w:ascii="Arial" w:hAnsi="Arial" w:cs="Arial"/>
          <w:color w:val="010000"/>
          <w:sz w:val="20"/>
        </w:rPr>
        <w:t>,</w:t>
      </w:r>
      <w:r w:rsidRPr="00EC119E">
        <w:rPr>
          <w:rFonts w:ascii="Arial" w:hAnsi="Arial" w:cs="Arial"/>
          <w:color w:val="010000"/>
          <w:sz w:val="20"/>
        </w:rPr>
        <w:t xml:space="preserve"> and implement necessary legal procedures related to the above transfer to ensure the rights of shareholders according to the provisions of law</w:t>
      </w:r>
    </w:p>
    <w:p w14:paraId="00000008" w14:textId="6A6EDF0B" w:rsidR="002308D2" w:rsidRPr="00EC119E" w:rsidRDefault="00E2653C" w:rsidP="0003575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119E">
        <w:rPr>
          <w:rFonts w:ascii="Arial" w:hAnsi="Arial" w:cs="Arial"/>
          <w:color w:val="010000"/>
          <w:sz w:val="20"/>
        </w:rPr>
        <w:t xml:space="preserve">‎‎Article 3. This Resolution takes effect from the date of its signing. Members of the Board of Directors, </w:t>
      </w:r>
      <w:r w:rsidR="00EC119E" w:rsidRPr="00EC119E">
        <w:rPr>
          <w:rFonts w:ascii="Arial" w:hAnsi="Arial" w:cs="Arial"/>
          <w:color w:val="010000"/>
          <w:sz w:val="20"/>
        </w:rPr>
        <w:t xml:space="preserve">the </w:t>
      </w:r>
      <w:r w:rsidRPr="00EC119E">
        <w:rPr>
          <w:rFonts w:ascii="Arial" w:hAnsi="Arial" w:cs="Arial"/>
          <w:color w:val="010000"/>
          <w:sz w:val="20"/>
        </w:rPr>
        <w:t>Board of Management</w:t>
      </w:r>
      <w:r w:rsidR="00035759">
        <w:rPr>
          <w:rFonts w:ascii="Arial" w:hAnsi="Arial" w:cs="Arial"/>
          <w:color w:val="010000"/>
          <w:sz w:val="20"/>
        </w:rPr>
        <w:t>,</w:t>
      </w:r>
      <w:r w:rsidRPr="00EC119E">
        <w:rPr>
          <w:rFonts w:ascii="Arial" w:hAnsi="Arial" w:cs="Arial"/>
          <w:color w:val="010000"/>
          <w:sz w:val="20"/>
        </w:rPr>
        <w:t xml:space="preserve"> and related departments/individuals are responsible for implementing this Resolution.</w:t>
      </w:r>
    </w:p>
    <w:sectPr w:rsidR="002308D2" w:rsidRPr="00EC119E" w:rsidSect="00E2653C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D2"/>
    <w:rsid w:val="00035759"/>
    <w:rsid w:val="002308D2"/>
    <w:rsid w:val="0031064F"/>
    <w:rsid w:val="00E2653C"/>
    <w:rsid w:val="00EC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1162B"/>
  <w15:docId w15:val="{78290C5E-BEA9-43C2-B945-F3B2E326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l+W7A+kfFoj/zFbKM9af1497GA==">CgMxLjAyCGguZ2pkZ3hzOAByITFRcHVqbjZ3ZGZFUU9TMnVmMldzSGo2Znp4VXI3R3liSg==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959</Characters>
  <Application>Microsoft Office Word</Application>
  <DocSecurity>0</DocSecurity>
  <Lines>16</Lines>
  <Paragraphs>9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2023-12-15T03:52:00Z</dcterms:created>
  <dcterms:modified xsi:type="dcterms:W3CDTF">2023-12-18T03:48:00Z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212da4c7ce39ba78bb3a3f209f2bf94ae29ae3a6db101fc09083f46e17aa56c6</vt:lpwstr>
  </property>
</Properties>
</file>