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C6784" w14:textId="77777777" w:rsidR="002F56F5" w:rsidRPr="00540DF4" w:rsidRDefault="005D17E5" w:rsidP="000B0190">
      <w:pPr>
        <w:pBdr>
          <w:top w:val="nil"/>
          <w:left w:val="nil"/>
          <w:bottom w:val="nil"/>
          <w:right w:val="nil"/>
          <w:between w:val="nil"/>
        </w:pBdr>
        <w:tabs>
          <w:tab w:val="left" w:pos="432"/>
          <w:tab w:val="left" w:pos="1436"/>
        </w:tabs>
        <w:spacing w:after="120" w:line="360" w:lineRule="auto"/>
        <w:jc w:val="both"/>
        <w:rPr>
          <w:rFonts w:ascii="Arial" w:eastAsia="Arial" w:hAnsi="Arial" w:cs="Arial"/>
          <w:b/>
          <w:color w:val="010000"/>
          <w:sz w:val="20"/>
          <w:szCs w:val="16"/>
        </w:rPr>
      </w:pPr>
      <w:bookmarkStart w:id="0" w:name="_GoBack"/>
      <w:r w:rsidRPr="00540DF4">
        <w:rPr>
          <w:rFonts w:ascii="Arial" w:hAnsi="Arial" w:cs="Arial"/>
          <w:b/>
          <w:bCs/>
          <w:color w:val="010000"/>
          <w:sz w:val="20"/>
        </w:rPr>
        <w:t>LPB121036:</w:t>
      </w:r>
      <w:r w:rsidRPr="00540DF4">
        <w:rPr>
          <w:rFonts w:ascii="Arial" w:hAnsi="Arial" w:cs="Arial"/>
          <w:b/>
          <w:color w:val="010000"/>
          <w:sz w:val="20"/>
        </w:rPr>
        <w:t xml:space="preserve"> Notice on the record date for bond interest payment for term 02</w:t>
      </w:r>
    </w:p>
    <w:p w14:paraId="2B8C2D2A" w14:textId="603A7E2A" w:rsidR="002F56F5" w:rsidRPr="00540DF4" w:rsidRDefault="005D17E5" w:rsidP="000B0190">
      <w:pPr>
        <w:pBdr>
          <w:top w:val="nil"/>
          <w:left w:val="nil"/>
          <w:bottom w:val="nil"/>
          <w:right w:val="nil"/>
          <w:between w:val="nil"/>
        </w:pBdr>
        <w:tabs>
          <w:tab w:val="left" w:pos="432"/>
          <w:tab w:val="left" w:pos="1436"/>
        </w:tabs>
        <w:spacing w:after="120" w:line="360" w:lineRule="auto"/>
        <w:jc w:val="both"/>
        <w:rPr>
          <w:rFonts w:ascii="Arial" w:eastAsia="Arial" w:hAnsi="Arial" w:cs="Arial"/>
          <w:color w:val="010000"/>
          <w:sz w:val="20"/>
          <w:szCs w:val="20"/>
        </w:rPr>
      </w:pPr>
      <w:r w:rsidRPr="00540DF4">
        <w:rPr>
          <w:rFonts w:ascii="Arial" w:hAnsi="Arial" w:cs="Arial"/>
          <w:color w:val="010000"/>
          <w:sz w:val="20"/>
        </w:rPr>
        <w:t xml:space="preserve">On December 8, 2023, Vietnam Securities Depository and Clearing Corporation </w:t>
      </w:r>
      <w:r w:rsidR="00AD6DA7" w:rsidRPr="00540DF4">
        <w:rPr>
          <w:rFonts w:ascii="Arial" w:hAnsi="Arial" w:cs="Arial"/>
          <w:color w:val="010000"/>
          <w:sz w:val="20"/>
        </w:rPr>
        <w:t xml:space="preserve">announced Notice No. </w:t>
      </w:r>
      <w:r w:rsidRPr="00540DF4">
        <w:rPr>
          <w:rFonts w:ascii="Arial" w:hAnsi="Arial" w:cs="Arial"/>
          <w:color w:val="010000"/>
          <w:sz w:val="20"/>
        </w:rPr>
        <w:t xml:space="preserve">3488/TB-VSDC on the record date and confirmation of the list of securities owners as follows: </w:t>
      </w:r>
    </w:p>
    <w:tbl>
      <w:tblPr>
        <w:tblStyle w:val="a"/>
        <w:tblW w:w="5000" w:type="pct"/>
        <w:tblLook w:val="0400" w:firstRow="0" w:lastRow="0" w:firstColumn="0" w:lastColumn="0" w:noHBand="0" w:noVBand="1"/>
      </w:tblPr>
      <w:tblGrid>
        <w:gridCol w:w="3247"/>
        <w:gridCol w:w="38"/>
        <w:gridCol w:w="5741"/>
      </w:tblGrid>
      <w:tr w:rsidR="002F56F5" w:rsidRPr="00540DF4" w14:paraId="40682D0A" w14:textId="77777777" w:rsidTr="005D17E5">
        <w:tc>
          <w:tcPr>
            <w:tcW w:w="1799" w:type="pct"/>
            <w:shd w:val="clear" w:color="auto" w:fill="auto"/>
            <w:tcMar>
              <w:top w:w="0" w:type="dxa"/>
              <w:bottom w:w="0" w:type="dxa"/>
            </w:tcMar>
            <w:vAlign w:val="center"/>
          </w:tcPr>
          <w:p w14:paraId="3BAD61A0"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Name of Issuer:</w:t>
            </w:r>
          </w:p>
        </w:tc>
        <w:tc>
          <w:tcPr>
            <w:tcW w:w="21" w:type="pct"/>
            <w:shd w:val="clear" w:color="auto" w:fill="auto"/>
            <w:tcMar>
              <w:top w:w="0" w:type="dxa"/>
              <w:bottom w:w="0" w:type="dxa"/>
            </w:tcMar>
            <w:vAlign w:val="center"/>
          </w:tcPr>
          <w:p w14:paraId="058707E7"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2846D50D"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540DF4">
              <w:rPr>
                <w:rFonts w:ascii="Arial" w:hAnsi="Arial" w:cs="Arial"/>
                <w:color w:val="010000"/>
                <w:sz w:val="20"/>
              </w:rPr>
              <w:t>LienViet</w:t>
            </w:r>
            <w:proofErr w:type="spellEnd"/>
            <w:r w:rsidRPr="00540DF4">
              <w:rPr>
                <w:rFonts w:ascii="Arial" w:hAnsi="Arial" w:cs="Arial"/>
                <w:color w:val="010000"/>
                <w:sz w:val="20"/>
              </w:rPr>
              <w:t xml:space="preserve"> Post Joint Stock Commercial Bank</w:t>
            </w:r>
          </w:p>
        </w:tc>
      </w:tr>
      <w:tr w:rsidR="002F56F5" w:rsidRPr="00540DF4" w14:paraId="6B564D6B" w14:textId="77777777" w:rsidTr="005D17E5">
        <w:tc>
          <w:tcPr>
            <w:tcW w:w="1799" w:type="pct"/>
            <w:shd w:val="clear" w:color="auto" w:fill="auto"/>
            <w:tcMar>
              <w:top w:w="0" w:type="dxa"/>
              <w:bottom w:w="0" w:type="dxa"/>
            </w:tcMar>
            <w:vAlign w:val="center"/>
          </w:tcPr>
          <w:p w14:paraId="77949FE3"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Securities name:</w:t>
            </w:r>
          </w:p>
        </w:tc>
        <w:tc>
          <w:tcPr>
            <w:tcW w:w="21" w:type="pct"/>
            <w:shd w:val="clear" w:color="auto" w:fill="auto"/>
            <w:tcMar>
              <w:top w:w="0" w:type="dxa"/>
              <w:bottom w:w="0" w:type="dxa"/>
            </w:tcMar>
            <w:vAlign w:val="center"/>
          </w:tcPr>
          <w:p w14:paraId="1BC6BDB4"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32686E25" w14:textId="5DCA6E35" w:rsidR="002F56F5" w:rsidRPr="00540DF4" w:rsidRDefault="008B21A3" w:rsidP="000B0190">
            <w:pPr>
              <w:pBdr>
                <w:top w:val="nil"/>
                <w:left w:val="nil"/>
                <w:bottom w:val="nil"/>
                <w:right w:val="nil"/>
                <w:between w:val="nil"/>
              </w:pBdr>
              <w:tabs>
                <w:tab w:val="left" w:pos="432"/>
                <w:tab w:val="left" w:pos="1436"/>
              </w:tabs>
              <w:spacing w:after="120" w:line="360" w:lineRule="auto"/>
              <w:jc w:val="both"/>
              <w:rPr>
                <w:rFonts w:ascii="Arial" w:eastAsia="Arial" w:hAnsi="Arial" w:cs="Arial"/>
                <w:color w:val="010000"/>
                <w:sz w:val="20"/>
                <w:szCs w:val="20"/>
              </w:rPr>
            </w:pPr>
            <w:r w:rsidRPr="00540DF4">
              <w:rPr>
                <w:rFonts w:ascii="Arial" w:hAnsi="Arial" w:cs="Arial"/>
                <w:color w:val="010000"/>
                <w:sz w:val="20"/>
              </w:rPr>
              <w:t>B</w:t>
            </w:r>
            <w:r w:rsidR="005D17E5" w:rsidRPr="00540DF4">
              <w:rPr>
                <w:rFonts w:ascii="Arial" w:hAnsi="Arial" w:cs="Arial"/>
                <w:color w:val="010000"/>
                <w:sz w:val="20"/>
              </w:rPr>
              <w:t xml:space="preserve">onds of </w:t>
            </w:r>
            <w:proofErr w:type="spellStart"/>
            <w:r w:rsidR="005D17E5" w:rsidRPr="00540DF4">
              <w:rPr>
                <w:rFonts w:ascii="Arial" w:hAnsi="Arial" w:cs="Arial"/>
                <w:color w:val="010000"/>
                <w:sz w:val="20"/>
              </w:rPr>
              <w:t>LienViet</w:t>
            </w:r>
            <w:proofErr w:type="spellEnd"/>
            <w:r w:rsidR="005D17E5" w:rsidRPr="00540DF4">
              <w:rPr>
                <w:rFonts w:ascii="Arial" w:hAnsi="Arial" w:cs="Arial"/>
                <w:color w:val="010000"/>
                <w:sz w:val="20"/>
              </w:rPr>
              <w:t xml:space="preserve"> Post Joint Stock Commercial Bank</w:t>
            </w:r>
            <w:r w:rsidR="002965A9">
              <w:rPr>
                <w:rFonts w:ascii="Arial" w:hAnsi="Arial" w:cs="Arial"/>
                <w:color w:val="010000"/>
                <w:sz w:val="20"/>
              </w:rPr>
              <w:t xml:space="preserve"> issued to the public in 2021</w:t>
            </w:r>
          </w:p>
        </w:tc>
      </w:tr>
      <w:tr w:rsidR="002F56F5" w:rsidRPr="00540DF4" w14:paraId="7199931A" w14:textId="77777777" w:rsidTr="005D17E5">
        <w:tc>
          <w:tcPr>
            <w:tcW w:w="1799" w:type="pct"/>
            <w:shd w:val="clear" w:color="auto" w:fill="auto"/>
            <w:tcMar>
              <w:top w:w="0" w:type="dxa"/>
              <w:bottom w:w="0" w:type="dxa"/>
            </w:tcMar>
            <w:vAlign w:val="center"/>
          </w:tcPr>
          <w:p w14:paraId="68E4E2C0"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Securities code:</w:t>
            </w:r>
          </w:p>
        </w:tc>
        <w:tc>
          <w:tcPr>
            <w:tcW w:w="21" w:type="pct"/>
            <w:shd w:val="clear" w:color="auto" w:fill="auto"/>
            <w:tcMar>
              <w:top w:w="0" w:type="dxa"/>
              <w:bottom w:w="0" w:type="dxa"/>
            </w:tcMar>
            <w:vAlign w:val="center"/>
          </w:tcPr>
          <w:p w14:paraId="2FDBDAB5"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20622E5E"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LPB121036</w:t>
            </w:r>
          </w:p>
        </w:tc>
      </w:tr>
      <w:tr w:rsidR="002F56F5" w:rsidRPr="00540DF4" w14:paraId="7CE6700A" w14:textId="77777777" w:rsidTr="005D17E5">
        <w:tc>
          <w:tcPr>
            <w:tcW w:w="1799" w:type="pct"/>
            <w:shd w:val="clear" w:color="auto" w:fill="auto"/>
            <w:tcMar>
              <w:top w:w="0" w:type="dxa"/>
              <w:bottom w:w="0" w:type="dxa"/>
            </w:tcMar>
            <w:vAlign w:val="center"/>
          </w:tcPr>
          <w:p w14:paraId="2BAD4D2C"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ISIN code:</w:t>
            </w:r>
          </w:p>
        </w:tc>
        <w:tc>
          <w:tcPr>
            <w:tcW w:w="21" w:type="pct"/>
            <w:shd w:val="clear" w:color="auto" w:fill="auto"/>
            <w:tcMar>
              <w:top w:w="0" w:type="dxa"/>
              <w:bottom w:w="0" w:type="dxa"/>
            </w:tcMar>
            <w:vAlign w:val="center"/>
          </w:tcPr>
          <w:p w14:paraId="32766D39"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0448EE31"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VN0LPB1210365</w:t>
            </w:r>
          </w:p>
        </w:tc>
      </w:tr>
      <w:tr w:rsidR="002F56F5" w:rsidRPr="00540DF4" w14:paraId="5665EBCB" w14:textId="77777777" w:rsidTr="005D17E5">
        <w:tc>
          <w:tcPr>
            <w:tcW w:w="1799" w:type="pct"/>
            <w:shd w:val="clear" w:color="auto" w:fill="auto"/>
            <w:tcMar>
              <w:top w:w="0" w:type="dxa"/>
              <w:bottom w:w="0" w:type="dxa"/>
            </w:tcMar>
            <w:vAlign w:val="center"/>
          </w:tcPr>
          <w:p w14:paraId="2F653036"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Exchange:</w:t>
            </w:r>
          </w:p>
        </w:tc>
        <w:tc>
          <w:tcPr>
            <w:tcW w:w="21" w:type="pct"/>
            <w:shd w:val="clear" w:color="auto" w:fill="auto"/>
            <w:tcMar>
              <w:top w:w="0" w:type="dxa"/>
              <w:bottom w:w="0" w:type="dxa"/>
            </w:tcMar>
            <w:vAlign w:val="center"/>
          </w:tcPr>
          <w:p w14:paraId="57F755C4"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46A22B5A"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HNX</w:t>
            </w:r>
          </w:p>
        </w:tc>
      </w:tr>
      <w:tr w:rsidR="002F56F5" w:rsidRPr="00540DF4" w14:paraId="1F4E8494" w14:textId="77777777" w:rsidTr="005D17E5">
        <w:tc>
          <w:tcPr>
            <w:tcW w:w="1799" w:type="pct"/>
            <w:shd w:val="clear" w:color="auto" w:fill="auto"/>
            <w:tcMar>
              <w:top w:w="0" w:type="dxa"/>
              <w:bottom w:w="0" w:type="dxa"/>
            </w:tcMar>
            <w:vAlign w:val="center"/>
          </w:tcPr>
          <w:p w14:paraId="1F13AB42"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Securities type:</w:t>
            </w:r>
          </w:p>
        </w:tc>
        <w:tc>
          <w:tcPr>
            <w:tcW w:w="21" w:type="pct"/>
            <w:shd w:val="clear" w:color="auto" w:fill="auto"/>
            <w:tcMar>
              <w:top w:w="0" w:type="dxa"/>
              <w:bottom w:w="0" w:type="dxa"/>
            </w:tcMar>
            <w:vAlign w:val="center"/>
          </w:tcPr>
          <w:p w14:paraId="509DB4A7"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4D2854EA"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Corporate bond</w:t>
            </w:r>
          </w:p>
        </w:tc>
      </w:tr>
      <w:tr w:rsidR="002F56F5" w:rsidRPr="00540DF4" w14:paraId="5FCA15DD" w14:textId="77777777" w:rsidTr="005D17E5">
        <w:tc>
          <w:tcPr>
            <w:tcW w:w="1799" w:type="pct"/>
            <w:shd w:val="clear" w:color="auto" w:fill="auto"/>
            <w:tcMar>
              <w:top w:w="0" w:type="dxa"/>
              <w:bottom w:w="0" w:type="dxa"/>
            </w:tcMar>
            <w:vAlign w:val="center"/>
          </w:tcPr>
          <w:p w14:paraId="2240E700"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The par value:</w:t>
            </w:r>
          </w:p>
        </w:tc>
        <w:tc>
          <w:tcPr>
            <w:tcW w:w="21" w:type="pct"/>
            <w:shd w:val="clear" w:color="auto" w:fill="auto"/>
            <w:tcMar>
              <w:top w:w="0" w:type="dxa"/>
              <w:bottom w:w="0" w:type="dxa"/>
            </w:tcMar>
            <w:vAlign w:val="center"/>
          </w:tcPr>
          <w:p w14:paraId="2EEABE8C"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7E9CC8A3"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VND 100,000</w:t>
            </w:r>
          </w:p>
        </w:tc>
      </w:tr>
      <w:tr w:rsidR="002F56F5" w:rsidRPr="00540DF4" w14:paraId="38DF3479" w14:textId="77777777" w:rsidTr="005D17E5">
        <w:tc>
          <w:tcPr>
            <w:tcW w:w="1799" w:type="pct"/>
            <w:shd w:val="clear" w:color="auto" w:fill="auto"/>
            <w:tcMar>
              <w:top w:w="0" w:type="dxa"/>
              <w:bottom w:w="0" w:type="dxa"/>
            </w:tcMar>
            <w:vAlign w:val="center"/>
          </w:tcPr>
          <w:p w14:paraId="66B5BAD7"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The term:</w:t>
            </w:r>
          </w:p>
        </w:tc>
        <w:tc>
          <w:tcPr>
            <w:tcW w:w="21" w:type="pct"/>
            <w:shd w:val="clear" w:color="auto" w:fill="auto"/>
            <w:tcMar>
              <w:top w:w="0" w:type="dxa"/>
              <w:bottom w:w="0" w:type="dxa"/>
            </w:tcMar>
            <w:vAlign w:val="center"/>
          </w:tcPr>
          <w:p w14:paraId="64CDB819"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431C89CC"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10 years</w:t>
            </w:r>
          </w:p>
        </w:tc>
      </w:tr>
      <w:tr w:rsidR="002F56F5" w:rsidRPr="00540DF4" w14:paraId="72A4946D" w14:textId="77777777" w:rsidTr="005D17E5">
        <w:tc>
          <w:tcPr>
            <w:tcW w:w="1799" w:type="pct"/>
            <w:shd w:val="clear" w:color="auto" w:fill="auto"/>
            <w:tcMar>
              <w:top w:w="0" w:type="dxa"/>
              <w:bottom w:w="0" w:type="dxa"/>
            </w:tcMar>
            <w:vAlign w:val="center"/>
          </w:tcPr>
          <w:p w14:paraId="65ECC5DE"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Issuance date</w:t>
            </w:r>
          </w:p>
        </w:tc>
        <w:tc>
          <w:tcPr>
            <w:tcW w:w="21" w:type="pct"/>
            <w:shd w:val="clear" w:color="auto" w:fill="auto"/>
            <w:tcMar>
              <w:top w:w="0" w:type="dxa"/>
              <w:bottom w:w="0" w:type="dxa"/>
            </w:tcMar>
            <w:vAlign w:val="center"/>
          </w:tcPr>
          <w:p w14:paraId="476FD387"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2812C1E1" w14:textId="1565B7AB"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December 3</w:t>
            </w:r>
            <w:r w:rsidR="002864E0">
              <w:rPr>
                <w:rFonts w:ascii="Arial" w:hAnsi="Arial" w:cs="Arial"/>
                <w:color w:val="010000"/>
                <w:sz w:val="20"/>
              </w:rPr>
              <w:t>0</w:t>
            </w:r>
            <w:r w:rsidRPr="00540DF4">
              <w:rPr>
                <w:rFonts w:ascii="Arial" w:hAnsi="Arial" w:cs="Arial"/>
                <w:color w:val="010000"/>
                <w:sz w:val="20"/>
              </w:rPr>
              <w:t>, 2021</w:t>
            </w:r>
          </w:p>
        </w:tc>
      </w:tr>
      <w:tr w:rsidR="002F56F5" w:rsidRPr="00540DF4" w14:paraId="5C852FA3" w14:textId="77777777" w:rsidTr="005D17E5">
        <w:tc>
          <w:tcPr>
            <w:tcW w:w="1799" w:type="pct"/>
            <w:shd w:val="clear" w:color="auto" w:fill="auto"/>
            <w:tcMar>
              <w:top w:w="0" w:type="dxa"/>
              <w:bottom w:w="0" w:type="dxa"/>
            </w:tcMar>
            <w:vAlign w:val="center"/>
          </w:tcPr>
          <w:p w14:paraId="2EDF0293"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Maturity date</w:t>
            </w:r>
          </w:p>
        </w:tc>
        <w:tc>
          <w:tcPr>
            <w:tcW w:w="21" w:type="pct"/>
            <w:shd w:val="clear" w:color="auto" w:fill="auto"/>
            <w:tcMar>
              <w:top w:w="0" w:type="dxa"/>
              <w:bottom w:w="0" w:type="dxa"/>
            </w:tcMar>
            <w:vAlign w:val="center"/>
          </w:tcPr>
          <w:p w14:paraId="3C728750"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10BDCD99" w14:textId="4D6403B6"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December 30, 20</w:t>
            </w:r>
            <w:r w:rsidR="008B21A3" w:rsidRPr="00540DF4">
              <w:rPr>
                <w:rFonts w:ascii="Arial" w:hAnsi="Arial" w:cs="Arial"/>
                <w:color w:val="010000"/>
                <w:sz w:val="20"/>
              </w:rPr>
              <w:t>3</w:t>
            </w:r>
            <w:r w:rsidRPr="00540DF4">
              <w:rPr>
                <w:rFonts w:ascii="Arial" w:hAnsi="Arial" w:cs="Arial"/>
                <w:color w:val="010000"/>
                <w:sz w:val="20"/>
              </w:rPr>
              <w:t>1</w:t>
            </w:r>
          </w:p>
        </w:tc>
      </w:tr>
      <w:tr w:rsidR="002F56F5" w:rsidRPr="00540DF4" w14:paraId="526E4065" w14:textId="77777777" w:rsidTr="005D17E5">
        <w:tc>
          <w:tcPr>
            <w:tcW w:w="1799" w:type="pct"/>
            <w:shd w:val="clear" w:color="auto" w:fill="auto"/>
            <w:tcMar>
              <w:top w:w="0" w:type="dxa"/>
              <w:bottom w:w="0" w:type="dxa"/>
            </w:tcMar>
            <w:vAlign w:val="center"/>
          </w:tcPr>
          <w:p w14:paraId="7C815DDF" w14:textId="77777777" w:rsidR="002F56F5" w:rsidRPr="00540DF4" w:rsidRDefault="005D17E5" w:rsidP="000B0190">
            <w:pPr>
              <w:numPr>
                <w:ilvl w:val="0"/>
                <w:numId w:val="2"/>
              </w:numPr>
              <w:pBdr>
                <w:top w:val="nil"/>
                <w:left w:val="nil"/>
                <w:bottom w:val="nil"/>
                <w:right w:val="nil"/>
                <w:between w:val="nil"/>
              </w:pBdr>
              <w:tabs>
                <w:tab w:val="left" w:pos="0"/>
                <w:tab w:val="left" w:pos="432"/>
                <w:tab w:val="left" w:pos="831"/>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Interest rate:</w:t>
            </w:r>
          </w:p>
          <w:p w14:paraId="09FB362A" w14:textId="77777777" w:rsidR="002F56F5" w:rsidRPr="00540DF4" w:rsidRDefault="005D17E5" w:rsidP="000B0190">
            <w:pPr>
              <w:numPr>
                <w:ilvl w:val="0"/>
                <w:numId w:val="2"/>
              </w:numPr>
              <w:pBdr>
                <w:top w:val="nil"/>
                <w:left w:val="nil"/>
                <w:bottom w:val="nil"/>
                <w:right w:val="nil"/>
                <w:between w:val="nil"/>
              </w:pBdr>
              <w:tabs>
                <w:tab w:val="left" w:pos="0"/>
                <w:tab w:val="left" w:pos="432"/>
                <w:tab w:val="left" w:pos="806"/>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Record date:</w:t>
            </w:r>
          </w:p>
        </w:tc>
        <w:tc>
          <w:tcPr>
            <w:tcW w:w="21" w:type="pct"/>
            <w:shd w:val="clear" w:color="auto" w:fill="auto"/>
            <w:tcMar>
              <w:top w:w="0" w:type="dxa"/>
              <w:bottom w:w="0" w:type="dxa"/>
            </w:tcMar>
            <w:vAlign w:val="center"/>
          </w:tcPr>
          <w:p w14:paraId="0559B05E"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5CCFC815"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9.6%/year</w:t>
            </w:r>
          </w:p>
          <w:p w14:paraId="2A3BC7D7" w14:textId="77777777"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December 21, 2023</w:t>
            </w:r>
          </w:p>
        </w:tc>
      </w:tr>
      <w:tr w:rsidR="002F56F5" w:rsidRPr="00540DF4" w14:paraId="3DB306C2" w14:textId="77777777" w:rsidTr="005D17E5">
        <w:tc>
          <w:tcPr>
            <w:tcW w:w="1799" w:type="pct"/>
            <w:shd w:val="clear" w:color="auto" w:fill="auto"/>
            <w:tcMar>
              <w:top w:w="0" w:type="dxa"/>
              <w:bottom w:w="0" w:type="dxa"/>
            </w:tcMar>
            <w:vAlign w:val="center"/>
          </w:tcPr>
          <w:p w14:paraId="6AA952DB"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Reason and purpose:</w:t>
            </w:r>
          </w:p>
        </w:tc>
        <w:tc>
          <w:tcPr>
            <w:tcW w:w="21" w:type="pct"/>
            <w:shd w:val="clear" w:color="auto" w:fill="auto"/>
            <w:tcMar>
              <w:top w:w="0" w:type="dxa"/>
              <w:bottom w:w="0" w:type="dxa"/>
            </w:tcMar>
            <w:vAlign w:val="center"/>
          </w:tcPr>
          <w:p w14:paraId="7CDC9889"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35D4BF13" w14:textId="436C6669"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 xml:space="preserve">Bond interest payment </w:t>
            </w:r>
            <w:r w:rsidR="00540DF4" w:rsidRPr="00540DF4">
              <w:rPr>
                <w:rFonts w:ascii="Arial" w:hAnsi="Arial" w:cs="Arial"/>
                <w:color w:val="010000"/>
                <w:sz w:val="20"/>
              </w:rPr>
              <w:t>for</w:t>
            </w:r>
            <w:r w:rsidRPr="00540DF4">
              <w:rPr>
                <w:rFonts w:ascii="Arial" w:hAnsi="Arial" w:cs="Arial"/>
                <w:color w:val="010000"/>
                <w:sz w:val="20"/>
              </w:rPr>
              <w:t xml:space="preserve"> the second period from (and including) December 30, 2022</w:t>
            </w:r>
            <w:r w:rsidR="000B0190">
              <w:rPr>
                <w:rFonts w:ascii="Arial" w:hAnsi="Arial" w:cs="Arial"/>
                <w:color w:val="010000"/>
                <w:sz w:val="20"/>
              </w:rPr>
              <w:t>,</w:t>
            </w:r>
            <w:r w:rsidRPr="00540DF4">
              <w:rPr>
                <w:rFonts w:ascii="Arial" w:hAnsi="Arial" w:cs="Arial"/>
                <w:color w:val="010000"/>
                <w:sz w:val="20"/>
              </w:rPr>
              <w:t xml:space="preserve"> to (and excluding) December 30, 2023</w:t>
            </w:r>
            <w:r w:rsidR="000B0190">
              <w:rPr>
                <w:rFonts w:ascii="Arial" w:hAnsi="Arial" w:cs="Arial"/>
                <w:color w:val="010000"/>
                <w:sz w:val="20"/>
              </w:rPr>
              <w:t>,</w:t>
            </w:r>
            <w:r w:rsidRPr="00540DF4">
              <w:rPr>
                <w:rFonts w:ascii="Arial" w:hAnsi="Arial" w:cs="Arial"/>
                <w:color w:val="010000"/>
                <w:sz w:val="20"/>
              </w:rPr>
              <w:t xml:space="preserve"> of LPB121036 bonds</w:t>
            </w:r>
          </w:p>
        </w:tc>
      </w:tr>
      <w:tr w:rsidR="002F56F5" w:rsidRPr="00540DF4" w14:paraId="755E589D" w14:textId="77777777" w:rsidTr="005D17E5">
        <w:tc>
          <w:tcPr>
            <w:tcW w:w="1799" w:type="pct"/>
            <w:shd w:val="clear" w:color="auto" w:fill="auto"/>
            <w:tcMar>
              <w:top w:w="0" w:type="dxa"/>
              <w:bottom w:w="0" w:type="dxa"/>
            </w:tcMar>
            <w:vAlign w:val="center"/>
          </w:tcPr>
          <w:p w14:paraId="18170590"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Exercise rate:</w:t>
            </w:r>
          </w:p>
        </w:tc>
        <w:tc>
          <w:tcPr>
            <w:tcW w:w="21" w:type="pct"/>
            <w:shd w:val="clear" w:color="auto" w:fill="auto"/>
            <w:tcMar>
              <w:top w:w="0" w:type="dxa"/>
              <w:bottom w:w="0" w:type="dxa"/>
            </w:tcMar>
            <w:vAlign w:val="center"/>
          </w:tcPr>
          <w:p w14:paraId="463D2AEC" w14:textId="77777777" w:rsidR="002F56F5" w:rsidRPr="00540DF4" w:rsidRDefault="002F56F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180" w:type="pct"/>
            <w:shd w:val="clear" w:color="auto" w:fill="auto"/>
            <w:tcMar>
              <w:top w:w="0" w:type="dxa"/>
              <w:bottom w:w="0" w:type="dxa"/>
            </w:tcMar>
            <w:vAlign w:val="center"/>
          </w:tcPr>
          <w:p w14:paraId="46603F04" w14:textId="5528925C"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For 01 bond, owners receive VND 100,000 x 9.6% x 365/365(days) = VND 9,600</w:t>
            </w:r>
          </w:p>
        </w:tc>
      </w:tr>
    </w:tbl>
    <w:p w14:paraId="3F7A68E9" w14:textId="1083B19C"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place is less than 5, the decimal part is discarded).</w:t>
      </w:r>
    </w:p>
    <w:tbl>
      <w:tblPr>
        <w:tblStyle w:val="a0"/>
        <w:tblW w:w="5000" w:type="pct"/>
        <w:tblLook w:val="0400" w:firstRow="0" w:lastRow="0" w:firstColumn="0" w:lastColumn="0" w:noHBand="0" w:noVBand="1"/>
      </w:tblPr>
      <w:tblGrid>
        <w:gridCol w:w="3267"/>
        <w:gridCol w:w="5759"/>
      </w:tblGrid>
      <w:tr w:rsidR="002F56F5" w:rsidRPr="00540DF4" w14:paraId="19B16D43" w14:textId="77777777" w:rsidTr="005D17E5">
        <w:tc>
          <w:tcPr>
            <w:tcW w:w="1810" w:type="pct"/>
            <w:shd w:val="clear" w:color="auto" w:fill="auto"/>
            <w:tcMar>
              <w:top w:w="0" w:type="dxa"/>
              <w:bottom w:w="0" w:type="dxa"/>
            </w:tcMar>
            <w:vAlign w:val="center"/>
          </w:tcPr>
          <w:p w14:paraId="56177F72" w14:textId="77777777" w:rsidR="002F56F5" w:rsidRPr="00540DF4" w:rsidRDefault="005D17E5" w:rsidP="000B019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Implementation time:</w:t>
            </w:r>
          </w:p>
        </w:tc>
        <w:tc>
          <w:tcPr>
            <w:tcW w:w="3190" w:type="pct"/>
            <w:shd w:val="clear" w:color="auto" w:fill="auto"/>
            <w:tcMar>
              <w:top w:w="0" w:type="dxa"/>
              <w:bottom w:w="0" w:type="dxa"/>
            </w:tcMar>
            <w:vAlign w:val="center"/>
          </w:tcPr>
          <w:p w14:paraId="5E811938" w14:textId="30A1AABA"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January 02, 2024</w:t>
            </w:r>
            <w:r w:rsidR="000B0190">
              <w:rPr>
                <w:rFonts w:ascii="Arial" w:hAnsi="Arial" w:cs="Arial"/>
                <w:color w:val="010000"/>
                <w:sz w:val="20"/>
              </w:rPr>
              <w:t>,</w:t>
            </w:r>
            <w:r w:rsidRPr="00540DF4">
              <w:rPr>
                <w:rFonts w:ascii="Arial" w:hAnsi="Arial" w:cs="Arial"/>
                <w:color w:val="010000"/>
                <w:sz w:val="20"/>
              </w:rPr>
              <w:t xml:space="preserve"> since the Interest payment date (December 30, 2023) is not a Business day </w:t>
            </w:r>
          </w:p>
        </w:tc>
      </w:tr>
    </w:tbl>
    <w:p w14:paraId="46B956BE" w14:textId="77777777" w:rsidR="002F56F5" w:rsidRPr="00540DF4" w:rsidRDefault="005D17E5" w:rsidP="000B019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Implementation venue:</w:t>
      </w:r>
    </w:p>
    <w:p w14:paraId="4F4181BA" w14:textId="77777777" w:rsidR="002F56F5" w:rsidRPr="00540DF4" w:rsidRDefault="005D17E5" w:rsidP="000B019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For deposited securities: Owners implement procedures of receiving corporate bond interest at Depository Members where depository accounts were opened</w:t>
      </w:r>
    </w:p>
    <w:p w14:paraId="1F1A9A15" w14:textId="77777777" w:rsidR="002F56F5" w:rsidRPr="00540DF4" w:rsidRDefault="005D17E5" w:rsidP="000B019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40DF4">
        <w:rPr>
          <w:rFonts w:ascii="Arial" w:hAnsi="Arial" w:cs="Arial"/>
          <w:color w:val="010000"/>
          <w:sz w:val="20"/>
        </w:rPr>
        <w:t xml:space="preserve">For </w:t>
      </w:r>
      <w:proofErr w:type="spellStart"/>
      <w:r w:rsidRPr="00540DF4">
        <w:rPr>
          <w:rFonts w:ascii="Arial" w:hAnsi="Arial" w:cs="Arial"/>
          <w:color w:val="010000"/>
          <w:sz w:val="20"/>
        </w:rPr>
        <w:t>undeposited</w:t>
      </w:r>
      <w:proofErr w:type="spellEnd"/>
      <w:r w:rsidRPr="00540DF4">
        <w:rPr>
          <w:rFonts w:ascii="Arial" w:hAnsi="Arial" w:cs="Arial"/>
          <w:color w:val="010000"/>
          <w:sz w:val="20"/>
        </w:rPr>
        <w:t xml:space="preserve"> securities: The Issuer will transfer the corporate bond interest to the registered account of the Bondholder</w:t>
      </w:r>
    </w:p>
    <w:p w14:paraId="1174D6E5" w14:textId="22EC787D" w:rsidR="00540DF4" w:rsidRPr="00540DF4" w:rsidRDefault="00540DF4" w:rsidP="000B019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540DF4">
        <w:rPr>
          <w:rFonts w:ascii="Arial" w:hAnsi="Arial" w:cs="Arial"/>
          <w:color w:val="010000"/>
          <w:sz w:val="20"/>
        </w:rPr>
        <w:t xml:space="preserve">Request Depository Members and direct account opening organizations to compare the information of securities owners in the list prepared and sent by </w:t>
      </w:r>
      <w:r w:rsidR="00742C2F">
        <w:rPr>
          <w:rFonts w:ascii="Arial" w:hAnsi="Arial" w:cs="Arial"/>
          <w:color w:val="010000"/>
          <w:sz w:val="20"/>
        </w:rPr>
        <w:t>VSDC</w:t>
      </w:r>
      <w:r w:rsidRPr="00540DF4">
        <w:rPr>
          <w:rFonts w:ascii="Arial" w:hAnsi="Arial" w:cs="Arial"/>
          <w:color w:val="010000"/>
          <w:sz w:val="20"/>
        </w:rPr>
        <w:t xml:space="preserve"> in the form of electronic documents with </w:t>
      </w:r>
      <w:r w:rsidRPr="00540DF4">
        <w:rPr>
          <w:rFonts w:ascii="Arial" w:hAnsi="Arial" w:cs="Arial"/>
          <w:color w:val="010000"/>
          <w:sz w:val="20"/>
        </w:rPr>
        <w:lastRenderedPageBreak/>
        <w:t>information managed by Depository Members and direct account opening organizations, and send VSDC the Confirmation Notice (Form No. 03/THQ) in the form of an electronic document to confirm approval or disapproval of the information in the list (for Depository Members and direct account opening organizations that have not completed the connection or are disconnected from the electronic communication portal/online communication portal with VSDC, please send the Confirmation Notice via an email with digital signatures to thongbaoxacnhan@vsd.vn). In case of disapproval due to errors or erroneous data, Depository Members and direct account opening organizations shall send additional documents to VSDC stating the incorrect information and coordinate with VSDC to adjust.</w:t>
      </w:r>
    </w:p>
    <w:p w14:paraId="43916EF5" w14:textId="2B30FD5E" w:rsidR="002F56F5" w:rsidRPr="00540DF4" w:rsidRDefault="005D17E5"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Deadline for sending the Confirmation Notice: No later than 10:30 a.m. on December 25, 2023.</w:t>
      </w:r>
    </w:p>
    <w:p w14:paraId="6306F53D" w14:textId="77777777" w:rsidR="00540DF4" w:rsidRPr="00540DF4" w:rsidRDefault="00540DF4" w:rsidP="000B0190">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540DF4">
        <w:rPr>
          <w:rFonts w:ascii="Arial" w:hAnsi="Arial" w:cs="Arial"/>
          <w:color w:val="010000"/>
          <w:sz w:val="20"/>
        </w:rPr>
        <w:t>In case Depository Members or direct account opening organizations send the Confirmation Notice later than the time specified above, VSDC will consider the list sent to Depository Members and direct account opening organizations to be accurate and confirmed by Depository Members and direct account opening organizations. In case disputes arise or cause damage to the owners, Depository Members and direct account opening organizations will be fully responsible for the arising dispute or damage to the owners.</w:t>
      </w:r>
    </w:p>
    <w:p w14:paraId="55F69280" w14:textId="6A0BF8D2" w:rsidR="002F56F5" w:rsidRPr="00540DF4" w:rsidRDefault="00540DF4" w:rsidP="000B019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40DF4">
        <w:rPr>
          <w:rFonts w:ascii="Arial" w:hAnsi="Arial" w:cs="Arial"/>
          <w:color w:val="010000"/>
          <w:sz w:val="20"/>
        </w:rPr>
        <w:t>Request Depository Members to announce fully and in detail the contents of this Notice to each of the above-mentioned securities depository investors at Depository Members within 03 working days from the date written on the Notice of VSDC.</w:t>
      </w:r>
      <w:bookmarkEnd w:id="0"/>
    </w:p>
    <w:sectPr w:rsidR="002F56F5" w:rsidRPr="00540DF4" w:rsidSect="005D17E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7A6D"/>
    <w:multiLevelType w:val="multilevel"/>
    <w:tmpl w:val="FB1019DE"/>
    <w:lvl w:ilvl="0">
      <w:numFmt w:val="bullet"/>
      <w:lvlText w:val="-"/>
      <w:lvlJc w:val="left"/>
      <w:pPr>
        <w:ind w:left="360" w:hanging="360"/>
      </w:pPr>
      <w:rPr>
        <w:rFonts w:ascii="Times New Roman" w:eastAsia="Times New Roman" w:hAnsi="Times New Roman" w:cs="Times New Roman"/>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33F27D1"/>
    <w:multiLevelType w:val="multilevel"/>
    <w:tmpl w:val="A3069904"/>
    <w:lvl w:ilvl="0">
      <w:start w:val="1"/>
      <w:numFmt w:val="bullet"/>
      <w:lvlText w:val="●"/>
      <w:lvlJc w:val="left"/>
      <w:pPr>
        <w:ind w:left="360" w:hanging="360"/>
      </w:pPr>
      <w:rPr>
        <w:rFonts w:ascii="Noto Sans Symbols" w:eastAsia="Noto Sans Symbols" w:hAnsi="Noto Sans Symbols" w:cs="Noto Sans Symbols"/>
        <w:b w:val="0"/>
        <w:i w:val="0"/>
        <w:sz w:val="20"/>
      </w:rPr>
    </w:lvl>
    <w:lvl w:ilvl="1">
      <w:start w:val="1"/>
      <w:numFmt w:val="bullet"/>
      <w:lvlText w:val="o"/>
      <w:lvlJc w:val="left"/>
      <w:pPr>
        <w:ind w:left="1080" w:hanging="360"/>
      </w:pPr>
      <w:rPr>
        <w:rFonts w:ascii="Courier New" w:eastAsia="Courier New" w:hAnsi="Courier New" w:cs="Courier New"/>
        <w:b w:val="0"/>
        <w:i w:val="0"/>
        <w:sz w:val="20"/>
      </w:rPr>
    </w:lvl>
    <w:lvl w:ilvl="2">
      <w:start w:val="1"/>
      <w:numFmt w:val="bullet"/>
      <w:lvlText w:val="▪"/>
      <w:lvlJc w:val="left"/>
      <w:pPr>
        <w:ind w:left="1800" w:hanging="360"/>
      </w:pPr>
      <w:rPr>
        <w:rFonts w:ascii="Noto Sans Symbols" w:eastAsia="Noto Sans Symbols" w:hAnsi="Noto Sans Symbols" w:cs="Noto Sans Symbols"/>
        <w:b w:val="0"/>
        <w:i w:val="0"/>
        <w:sz w:val="2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F5"/>
    <w:rsid w:val="000B0190"/>
    <w:rsid w:val="002864E0"/>
    <w:rsid w:val="002965A9"/>
    <w:rsid w:val="002F56F5"/>
    <w:rsid w:val="00540DF4"/>
    <w:rsid w:val="005D17E5"/>
    <w:rsid w:val="00742C2F"/>
    <w:rsid w:val="008B21A3"/>
    <w:rsid w:val="00AD6DA7"/>
    <w:rsid w:val="00B5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90466"/>
  <w15:docId w15:val="{E136B285-1926-4658-9F36-0B4C1A9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uU9rAEHhrQ83lxbqsJnFEeCaxQ==">CgMxLjA4AHIhMTJzN0xlZVBqaldyazNsek9tYUd2bUVxMmVYdWZYQkt0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2918</Characters>
  <Application>Microsoft Office Word</Application>
  <DocSecurity>0</DocSecurity>
  <Lines>79</Lines>
  <Paragraphs>40</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2023-12-15T03:53:00Z</dcterms:created>
  <dcterms:modified xsi:type="dcterms:W3CDTF">2023-12-18T03:52:00Z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b7406a7b2d6df697e052da97a821bd6ab4c5ded082c186112723df516d487d85</vt:lpwstr>
  </property>
</Properties>
</file>