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482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6C6A78">
        <w:rPr>
          <w:rFonts w:ascii="Arial" w:hAnsi="Arial" w:cs="Arial"/>
          <w:b/>
          <w:bCs/>
          <w:color w:val="010000"/>
          <w:sz w:val="20"/>
        </w:rPr>
        <w:t>CC4:</w:t>
      </w:r>
      <w:r w:rsidRPr="006C6A7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8A01D2B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48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 xml:space="preserve">On </w:t>
      </w:r>
      <w:r w:rsidR="006C6A78" w:rsidRPr="006C6A78">
        <w:rPr>
          <w:rFonts w:ascii="Arial" w:hAnsi="Arial" w:cs="Arial"/>
          <w:color w:val="010000"/>
          <w:sz w:val="20"/>
        </w:rPr>
        <w:t>December</w:t>
      </w:r>
      <w:r w:rsidRPr="006C6A78">
        <w:rPr>
          <w:rFonts w:ascii="Arial" w:hAnsi="Arial" w:cs="Arial"/>
          <w:color w:val="010000"/>
          <w:sz w:val="20"/>
        </w:rPr>
        <w:t xml:space="preserve"> 11, 2023, Investment and Construction Joint Stock Company No.4 announced Resolution No. 30/2023/NQ-HDQT as follows:</w:t>
      </w:r>
    </w:p>
    <w:p w14:paraId="00000003" w14:textId="7777777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>‎‎Article 1. Approve the proposal on the conditions for granting credit limits for the year 2023-2024 to NHT Service Trading Joint Stock Company ("NHT Global"), a subsidiary of the Investment and Construction Joint Stock Company No.4 at the Bank for Investment and Development of Vietnam - Transaction Office 1 ("BIDV") as follows:</w:t>
      </w:r>
    </w:p>
    <w:p w14:paraId="00000004" w14:textId="77777777" w:rsidR="008C44EE" w:rsidRPr="006C6A78" w:rsidRDefault="00547260" w:rsidP="00547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9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>Sign a commitment to guarantee for NHT Global according to the approved limit by BIDV.</w:t>
      </w:r>
    </w:p>
    <w:p w14:paraId="00000005" w14:textId="77777777" w:rsidR="008C44EE" w:rsidRPr="006C6A78" w:rsidRDefault="00547260" w:rsidP="00547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9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>Using the company's current shares owned in NHT Global as collateral.</w:t>
      </w:r>
    </w:p>
    <w:p w14:paraId="00000006" w14:textId="7777777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 xml:space="preserve">‎‎Article 2. Assign the General Manager of the Company to base on the time, business plan, and progress of NHT </w:t>
      </w:r>
      <w:proofErr w:type="spellStart"/>
      <w:r w:rsidRPr="006C6A78">
        <w:rPr>
          <w:rFonts w:ascii="Arial" w:hAnsi="Arial" w:cs="Arial"/>
          <w:color w:val="010000"/>
          <w:sz w:val="20"/>
        </w:rPr>
        <w:t>Global's</w:t>
      </w:r>
      <w:proofErr w:type="spellEnd"/>
      <w:r w:rsidRPr="006C6A78">
        <w:rPr>
          <w:rFonts w:ascii="Arial" w:hAnsi="Arial" w:cs="Arial"/>
          <w:color w:val="010000"/>
          <w:sz w:val="20"/>
        </w:rPr>
        <w:t xml:space="preserve"> capital borrowing implementation to organize and sign commitment documents, and sign related dossiers for mortgaging shares at BIDV.</w:t>
      </w:r>
    </w:p>
    <w:p w14:paraId="00000007" w14:textId="610E4ED0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C6A78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</w:t>
      </w:r>
      <w:r w:rsidR="006C6A78" w:rsidRPr="006C6A78">
        <w:rPr>
          <w:rFonts w:ascii="Arial" w:hAnsi="Arial" w:cs="Arial"/>
          <w:color w:val="010000"/>
          <w:sz w:val="20"/>
        </w:rPr>
        <w:t xml:space="preserve">the </w:t>
      </w:r>
      <w:r w:rsidRPr="006C6A78">
        <w:rPr>
          <w:rFonts w:ascii="Arial" w:hAnsi="Arial" w:cs="Arial"/>
          <w:color w:val="010000"/>
          <w:sz w:val="20"/>
        </w:rPr>
        <w:t xml:space="preserve">Board of Directors, the Board of Management, departments of the Company and related unit and individuals of the Company are responsible for implementing this Resolution. </w:t>
      </w:r>
    </w:p>
    <w:p w14:paraId="7CF26DE8" w14:textId="13807CCB" w:rsidR="006C6A78" w:rsidRPr="006C6A78" w:rsidRDefault="006C6A78" w:rsidP="00547260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</w:p>
    <w:p w14:paraId="00000014" w14:textId="7777777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48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>On November 11, 2023, Investment and Construction Joint Stock Company No.4 announced Resolution No. 31/2023/NQ-HDQT as follows:</w:t>
      </w:r>
    </w:p>
    <w:p w14:paraId="00000015" w14:textId="4340223B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 xml:space="preserve">‎‎Article 1. Approve the proposal to sign a commitment to guarantee NHT Service Trading Joint Stock Company ("NHT Global"), a subsidiary of the Investment and Construction Joint Stock Company No.4 at Ocean Commercial One Member Limited Liability Bank - </w:t>
      </w:r>
      <w:proofErr w:type="spellStart"/>
      <w:r w:rsidRPr="006C6A78">
        <w:rPr>
          <w:rFonts w:ascii="Arial" w:hAnsi="Arial" w:cs="Arial"/>
          <w:color w:val="010000"/>
          <w:sz w:val="20"/>
        </w:rPr>
        <w:t>Thang</w:t>
      </w:r>
      <w:proofErr w:type="spellEnd"/>
      <w:r w:rsidRPr="006C6A78">
        <w:rPr>
          <w:rFonts w:ascii="Arial" w:hAnsi="Arial" w:cs="Arial"/>
          <w:color w:val="010000"/>
          <w:sz w:val="20"/>
        </w:rPr>
        <w:t xml:space="preserve"> Long Branch - </w:t>
      </w:r>
      <w:proofErr w:type="spellStart"/>
      <w:r w:rsidRPr="006C6A78">
        <w:rPr>
          <w:rFonts w:ascii="Arial" w:hAnsi="Arial" w:cs="Arial"/>
          <w:color w:val="010000"/>
          <w:sz w:val="20"/>
        </w:rPr>
        <w:t>Trung</w:t>
      </w:r>
      <w:proofErr w:type="spellEnd"/>
      <w:r w:rsidRPr="006C6A78">
        <w:rPr>
          <w:rFonts w:ascii="Arial" w:hAnsi="Arial" w:cs="Arial"/>
          <w:color w:val="010000"/>
          <w:sz w:val="20"/>
        </w:rPr>
        <w:t xml:space="preserve"> Yen Transaction Office ("</w:t>
      </w:r>
      <w:proofErr w:type="spellStart"/>
      <w:r w:rsidRPr="006C6A78">
        <w:rPr>
          <w:rFonts w:ascii="Arial" w:hAnsi="Arial" w:cs="Arial"/>
          <w:color w:val="010000"/>
          <w:sz w:val="20"/>
        </w:rPr>
        <w:t>OceanBank</w:t>
      </w:r>
      <w:proofErr w:type="spellEnd"/>
      <w:r w:rsidRPr="006C6A78">
        <w:rPr>
          <w:rFonts w:ascii="Arial" w:hAnsi="Arial" w:cs="Arial"/>
          <w:color w:val="010000"/>
          <w:sz w:val="20"/>
        </w:rPr>
        <w:t>") according to the approved limit.</w:t>
      </w:r>
    </w:p>
    <w:p w14:paraId="00000016" w14:textId="7777777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 xml:space="preserve">‎‎Article 2. Assign the General Manager of the Company to base on the time, business plan, and progress of NHT </w:t>
      </w:r>
      <w:proofErr w:type="spellStart"/>
      <w:r w:rsidRPr="006C6A78">
        <w:rPr>
          <w:rFonts w:ascii="Arial" w:hAnsi="Arial" w:cs="Arial"/>
          <w:color w:val="010000"/>
          <w:sz w:val="20"/>
        </w:rPr>
        <w:t>Global's</w:t>
      </w:r>
      <w:proofErr w:type="spellEnd"/>
      <w:r w:rsidRPr="006C6A78">
        <w:rPr>
          <w:rFonts w:ascii="Arial" w:hAnsi="Arial" w:cs="Arial"/>
          <w:color w:val="010000"/>
          <w:sz w:val="20"/>
        </w:rPr>
        <w:t xml:space="preserve"> capital borrowing implementation to organize and sign commitment documents with </w:t>
      </w:r>
      <w:proofErr w:type="spellStart"/>
      <w:r w:rsidRPr="006C6A78">
        <w:rPr>
          <w:rFonts w:ascii="Arial" w:hAnsi="Arial" w:cs="Arial"/>
          <w:color w:val="010000"/>
          <w:sz w:val="20"/>
        </w:rPr>
        <w:t>OceanBank</w:t>
      </w:r>
      <w:proofErr w:type="spellEnd"/>
      <w:r w:rsidRPr="006C6A78">
        <w:rPr>
          <w:rFonts w:ascii="Arial" w:hAnsi="Arial" w:cs="Arial"/>
          <w:color w:val="010000"/>
          <w:sz w:val="20"/>
        </w:rPr>
        <w:t>.</w:t>
      </w:r>
    </w:p>
    <w:p w14:paraId="00000017" w14:textId="0E6E0AE7" w:rsidR="008C44EE" w:rsidRPr="006C6A78" w:rsidRDefault="00547260" w:rsidP="0054726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78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</w:t>
      </w:r>
      <w:r w:rsidR="006C6A78" w:rsidRPr="006C6A78">
        <w:rPr>
          <w:rFonts w:ascii="Arial" w:hAnsi="Arial" w:cs="Arial"/>
          <w:color w:val="010000"/>
          <w:sz w:val="20"/>
        </w:rPr>
        <w:t xml:space="preserve">the </w:t>
      </w:r>
      <w:r w:rsidRPr="006C6A78">
        <w:rPr>
          <w:rFonts w:ascii="Arial" w:hAnsi="Arial" w:cs="Arial"/>
          <w:color w:val="010000"/>
          <w:sz w:val="20"/>
        </w:rPr>
        <w:t>Board of Directors, the Board of Management, departments of the Company and related unit and individuals of the Company are responsible for implementing this Resolution.</w:t>
      </w:r>
    </w:p>
    <w:p w14:paraId="2EA4EEC0" w14:textId="77777777" w:rsidR="006C6A78" w:rsidRPr="006C6A78" w:rsidRDefault="006C6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6C6A78" w:rsidRPr="006C6A78" w:rsidSect="00547260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62A25"/>
    <w:multiLevelType w:val="multilevel"/>
    <w:tmpl w:val="2646C7B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E"/>
    <w:rsid w:val="000A523E"/>
    <w:rsid w:val="00547260"/>
    <w:rsid w:val="006C6A78"/>
    <w:rsid w:val="008C44EE"/>
    <w:rsid w:val="00901054"/>
    <w:rsid w:val="00F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6F18F"/>
  <w15:docId w15:val="{E54A61F4-309A-406E-952D-28E64BE2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="Arimo" w:hAnsi="Arimo" w:cs="Arimo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lJ1jSiZkoulV4w+JbyI/rSSVg==">CgMxLjA4AHIhMXBRNDNndXU0QmdzT0Nqa044bjhLYkc4bTZVcENFZWVx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2023-12-19T03:10:00Z</dcterms:created>
  <dcterms:modified xsi:type="dcterms:W3CDTF">2023-12-19T03:10:00Z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eb347710d7ffa9a4643c2ae2a465f6bbb293aac280e8d0e40582678ff9b024b5</vt:lpwstr>
  </property>
</Properties>
</file>