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E5A2" w14:textId="5B921816" w:rsidR="00397F8E" w:rsidRPr="00A743FB" w:rsidRDefault="002260EF" w:rsidP="002260EF">
      <w:pPr>
        <w:keepNext/>
        <w:pBdr>
          <w:top w:val="nil"/>
          <w:left w:val="nil"/>
          <w:bottom w:val="nil"/>
          <w:right w:val="nil"/>
          <w:between w:val="nil"/>
        </w:pBdr>
        <w:tabs>
          <w:tab w:val="left" w:pos="180"/>
          <w:tab w:val="left" w:pos="360"/>
        </w:tabs>
        <w:spacing w:after="120" w:line="360" w:lineRule="auto"/>
        <w:rPr>
          <w:rFonts w:ascii="Arial" w:eastAsia="Arial" w:hAnsi="Arial" w:cs="Arial"/>
          <w:b/>
          <w:color w:val="010000"/>
          <w:sz w:val="20"/>
          <w:szCs w:val="20"/>
        </w:rPr>
      </w:pPr>
      <w:r w:rsidRPr="00A743FB">
        <w:rPr>
          <w:rFonts w:ascii="Arial" w:hAnsi="Arial" w:cs="Arial"/>
          <w:b/>
          <w:color w:val="010000"/>
          <w:sz w:val="20"/>
        </w:rPr>
        <w:t>N</w:t>
      </w:r>
      <w:r w:rsidR="00D13687" w:rsidRPr="00A743FB">
        <w:rPr>
          <w:rFonts w:ascii="Arial" w:hAnsi="Arial" w:cs="Arial"/>
          <w:b/>
          <w:color w:val="010000"/>
          <w:sz w:val="20"/>
        </w:rPr>
        <w:t>V</w:t>
      </w:r>
      <w:r w:rsidRPr="00A743FB">
        <w:rPr>
          <w:rFonts w:ascii="Arial" w:hAnsi="Arial" w:cs="Arial"/>
          <w:b/>
          <w:color w:val="010000"/>
          <w:sz w:val="20"/>
        </w:rPr>
        <w:t xml:space="preserve">B: Board Resolution </w:t>
      </w:r>
    </w:p>
    <w:p w14:paraId="1C99446E" w14:textId="12E7F317" w:rsidR="00397F8E" w:rsidRPr="00A743FB" w:rsidRDefault="002260EF" w:rsidP="002260EF">
      <w:pPr>
        <w:keepNext/>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 xml:space="preserve">On </w:t>
      </w:r>
      <w:r w:rsidR="00D13687" w:rsidRPr="00A743FB">
        <w:rPr>
          <w:rFonts w:ascii="Arial" w:hAnsi="Arial" w:cs="Arial"/>
          <w:color w:val="010000"/>
          <w:sz w:val="20"/>
        </w:rPr>
        <w:t>December</w:t>
      </w:r>
      <w:r w:rsidRPr="00A743FB">
        <w:rPr>
          <w:rFonts w:ascii="Arial" w:hAnsi="Arial" w:cs="Arial"/>
          <w:color w:val="010000"/>
          <w:sz w:val="20"/>
        </w:rPr>
        <w:t xml:space="preserve"> 13, 2023, National Citizen Commercial Joint Stock Bank announced Resolution No. 857/2023/NQ-HDQT.NCB on the plan </w:t>
      </w:r>
      <w:r w:rsidR="00A245C9" w:rsidRPr="00A743FB">
        <w:rPr>
          <w:rFonts w:ascii="Arial" w:hAnsi="Arial" w:cs="Arial"/>
          <w:color w:val="010000"/>
          <w:sz w:val="20"/>
        </w:rPr>
        <w:t>on the</w:t>
      </w:r>
      <w:r w:rsidRPr="00A743FB">
        <w:rPr>
          <w:rFonts w:ascii="Arial" w:hAnsi="Arial" w:cs="Arial"/>
          <w:color w:val="010000"/>
          <w:sz w:val="20"/>
        </w:rPr>
        <w:t xml:space="preserve"> offer private placement of shares to increase charter capital as follows:</w:t>
      </w:r>
    </w:p>
    <w:p w14:paraId="3EE2FBDD" w14:textId="6B5DC34A" w:rsidR="00397F8E" w:rsidRPr="00A743FB" w:rsidRDefault="002260EF" w:rsidP="002260EF">
      <w:p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 xml:space="preserve">Article 1: Approve the plan on </w:t>
      </w:r>
      <w:r w:rsidR="00A245C9" w:rsidRPr="00A743FB">
        <w:rPr>
          <w:rFonts w:ascii="Arial" w:hAnsi="Arial" w:cs="Arial"/>
          <w:color w:val="010000"/>
          <w:sz w:val="20"/>
        </w:rPr>
        <w:t xml:space="preserve">a </w:t>
      </w:r>
      <w:r w:rsidRPr="00A743FB">
        <w:rPr>
          <w:rFonts w:ascii="Arial" w:hAnsi="Arial" w:cs="Arial"/>
          <w:color w:val="010000"/>
          <w:sz w:val="20"/>
        </w:rPr>
        <w:t>private placement to increase charter capital</w:t>
      </w:r>
      <w:r w:rsidR="00A245C9" w:rsidRPr="00A743FB">
        <w:rPr>
          <w:rFonts w:ascii="Arial" w:hAnsi="Arial" w:cs="Arial"/>
          <w:color w:val="010000"/>
          <w:sz w:val="20"/>
        </w:rPr>
        <w:t xml:space="preserve"> (below)</w:t>
      </w:r>
    </w:p>
    <w:p w14:paraId="24E52733" w14:textId="77777777" w:rsidR="00397F8E" w:rsidRPr="00A743FB" w:rsidRDefault="002260EF" w:rsidP="002260EF">
      <w:p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Article 2: Assign/Authorize the Chair of the Board of Directors to:</w:t>
      </w:r>
    </w:p>
    <w:p w14:paraId="061DA82C" w14:textId="77777777" w:rsidR="00397F8E" w:rsidRPr="00A743FB" w:rsidRDefault="002260EF" w:rsidP="002260EF">
      <w:pPr>
        <w:numPr>
          <w:ilvl w:val="0"/>
          <w:numId w:val="7"/>
        </w:numPr>
        <w:pBdr>
          <w:top w:val="nil"/>
          <w:left w:val="nil"/>
          <w:bottom w:val="nil"/>
          <w:right w:val="nil"/>
          <w:between w:val="nil"/>
        </w:pBdr>
        <w:tabs>
          <w:tab w:val="left" w:pos="180"/>
          <w:tab w:val="left" w:pos="360"/>
          <w:tab w:val="left" w:pos="1093"/>
        </w:tabs>
        <w:spacing w:after="120" w:line="360" w:lineRule="auto"/>
        <w:rPr>
          <w:rFonts w:ascii="Arial" w:eastAsia="Arial" w:hAnsi="Arial" w:cs="Arial"/>
          <w:color w:val="010000"/>
          <w:sz w:val="20"/>
          <w:szCs w:val="20"/>
        </w:rPr>
      </w:pPr>
      <w:r w:rsidRPr="00A743FB">
        <w:rPr>
          <w:rFonts w:ascii="Arial" w:hAnsi="Arial" w:cs="Arial"/>
          <w:color w:val="010000"/>
          <w:sz w:val="20"/>
        </w:rPr>
        <w:t>Negotiate and sign contracts with the Consulting unit for private placement of shares;</w:t>
      </w:r>
    </w:p>
    <w:p w14:paraId="3AC94EE4" w14:textId="77777777" w:rsidR="00397F8E" w:rsidRPr="00A743FB" w:rsidRDefault="002260EF" w:rsidP="002260EF">
      <w:pPr>
        <w:numPr>
          <w:ilvl w:val="0"/>
          <w:numId w:val="7"/>
        </w:numPr>
        <w:pBdr>
          <w:top w:val="nil"/>
          <w:left w:val="nil"/>
          <w:bottom w:val="nil"/>
          <w:right w:val="nil"/>
          <w:between w:val="nil"/>
        </w:pBdr>
        <w:tabs>
          <w:tab w:val="left" w:pos="180"/>
          <w:tab w:val="left" w:pos="360"/>
          <w:tab w:val="left" w:pos="1093"/>
        </w:tabs>
        <w:spacing w:after="120" w:line="360" w:lineRule="auto"/>
        <w:rPr>
          <w:rFonts w:ascii="Arial" w:eastAsia="Arial" w:hAnsi="Arial" w:cs="Arial"/>
          <w:color w:val="010000"/>
          <w:sz w:val="20"/>
          <w:szCs w:val="20"/>
        </w:rPr>
      </w:pPr>
      <w:r w:rsidRPr="00A743FB">
        <w:rPr>
          <w:rFonts w:ascii="Arial" w:hAnsi="Arial" w:cs="Arial"/>
          <w:color w:val="010000"/>
          <w:sz w:val="20"/>
        </w:rPr>
        <w:t>Organize the implementation of negotiations, select specific investors, the number of shares offered to each investor; submit to the Board of Directors for approval of investors and the number of shares offered to each investor.</w:t>
      </w:r>
    </w:p>
    <w:p w14:paraId="57E44F6D" w14:textId="66484CA4" w:rsidR="00397F8E" w:rsidRPr="00A743FB" w:rsidRDefault="002260EF" w:rsidP="002260EF">
      <w:pPr>
        <w:pBdr>
          <w:top w:val="nil"/>
          <w:left w:val="nil"/>
          <w:bottom w:val="nil"/>
          <w:right w:val="nil"/>
          <w:between w:val="nil"/>
        </w:pBdr>
        <w:tabs>
          <w:tab w:val="left" w:pos="360"/>
        </w:tabs>
        <w:spacing w:after="120" w:line="360" w:lineRule="auto"/>
        <w:rPr>
          <w:rFonts w:ascii="Arial" w:hAnsi="Arial" w:cs="Arial"/>
          <w:color w:val="010000"/>
          <w:sz w:val="20"/>
        </w:rPr>
      </w:pPr>
      <w:r w:rsidRPr="00A743FB">
        <w:rPr>
          <w:rFonts w:ascii="Arial" w:hAnsi="Arial" w:cs="Arial"/>
          <w:color w:val="010000"/>
          <w:sz w:val="20"/>
        </w:rPr>
        <w:t>Article 3: This Resolution takes effect from December 13, 2023, Within the scope of their authority and responsibility</w:t>
      </w:r>
      <w:r w:rsidR="00A245C9" w:rsidRPr="00A743FB">
        <w:rPr>
          <w:rFonts w:ascii="Arial" w:hAnsi="Arial" w:cs="Arial"/>
          <w:color w:val="010000"/>
          <w:sz w:val="20"/>
        </w:rPr>
        <w:t>,</w:t>
      </w:r>
      <w:r w:rsidRPr="00A743FB">
        <w:rPr>
          <w:rFonts w:ascii="Arial" w:hAnsi="Arial" w:cs="Arial"/>
          <w:color w:val="010000"/>
          <w:sz w:val="20"/>
        </w:rPr>
        <w:t xml:space="preserve"> relevant units and individuals are responsible for implementing this Resolution./.</w:t>
      </w:r>
    </w:p>
    <w:p w14:paraId="7EB1230A" w14:textId="6AA6529C" w:rsidR="00AB2210" w:rsidRPr="00A743FB" w:rsidRDefault="00AB2210" w:rsidP="002260EF">
      <w:pPr>
        <w:pBdr>
          <w:top w:val="nil"/>
          <w:left w:val="nil"/>
          <w:bottom w:val="single" w:sz="6" w:space="1" w:color="auto"/>
          <w:right w:val="nil"/>
          <w:between w:val="nil"/>
        </w:pBdr>
        <w:tabs>
          <w:tab w:val="left" w:pos="360"/>
        </w:tabs>
        <w:spacing w:after="120" w:line="360" w:lineRule="auto"/>
        <w:rPr>
          <w:rFonts w:ascii="Arial" w:hAnsi="Arial" w:cs="Arial"/>
          <w:color w:val="010000"/>
          <w:sz w:val="20"/>
        </w:rPr>
      </w:pPr>
    </w:p>
    <w:p w14:paraId="6CC7F730" w14:textId="77777777" w:rsidR="00397F8E" w:rsidRPr="00A743FB" w:rsidRDefault="002260EF" w:rsidP="00AB2210">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color w:val="010000"/>
          <w:sz w:val="20"/>
        </w:rPr>
        <w:t>Plan of private placement to increase charter capital</w:t>
      </w:r>
    </w:p>
    <w:p w14:paraId="44B29A9A" w14:textId="008AF266" w:rsidR="00397F8E" w:rsidRPr="00A743FB" w:rsidRDefault="00AB2210" w:rsidP="002260EF">
      <w:pPr>
        <w:numPr>
          <w:ilvl w:val="0"/>
          <w:numId w:val="8"/>
        </w:numPr>
        <w:pBdr>
          <w:top w:val="nil"/>
          <w:left w:val="nil"/>
          <w:bottom w:val="nil"/>
          <w:right w:val="nil"/>
          <w:between w:val="nil"/>
        </w:pBdr>
        <w:tabs>
          <w:tab w:val="left" w:pos="27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The n</w:t>
      </w:r>
      <w:r w:rsidR="002260EF" w:rsidRPr="00A743FB">
        <w:rPr>
          <w:rFonts w:ascii="Arial" w:hAnsi="Arial" w:cs="Arial"/>
          <w:color w:val="010000"/>
          <w:sz w:val="20"/>
        </w:rPr>
        <w:t xml:space="preserve">eed </w:t>
      </w:r>
      <w:r w:rsidRPr="00A743FB">
        <w:rPr>
          <w:rFonts w:ascii="Arial" w:hAnsi="Arial" w:cs="Arial"/>
          <w:color w:val="010000"/>
          <w:sz w:val="20"/>
        </w:rPr>
        <w:t>to increase</w:t>
      </w:r>
      <w:r w:rsidR="002260EF" w:rsidRPr="00A743FB">
        <w:rPr>
          <w:rFonts w:ascii="Arial" w:hAnsi="Arial" w:cs="Arial"/>
          <w:color w:val="010000"/>
          <w:sz w:val="20"/>
        </w:rPr>
        <w:t xml:space="preserve"> charter capital</w:t>
      </w:r>
    </w:p>
    <w:p w14:paraId="12E1CFD4" w14:textId="77777777" w:rsidR="00397F8E" w:rsidRPr="00A743FB" w:rsidRDefault="002260EF" w:rsidP="002260EF">
      <w:pPr>
        <w:numPr>
          <w:ilvl w:val="0"/>
          <w:numId w:val="5"/>
        </w:num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 xml:space="preserve">Enhance financial capacity and safety indicators in banking operations; </w:t>
      </w:r>
    </w:p>
    <w:p w14:paraId="7BEEAF3C" w14:textId="77777777" w:rsidR="00397F8E" w:rsidRPr="00A743FB" w:rsidRDefault="002260EF" w:rsidP="002260EF">
      <w:pPr>
        <w:numPr>
          <w:ilvl w:val="0"/>
          <w:numId w:val="5"/>
        </w:num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Enhance the ability to prevent risks arising in the process of operation;</w:t>
      </w:r>
    </w:p>
    <w:p w14:paraId="0EC58BFB" w14:textId="77777777" w:rsidR="00397F8E" w:rsidRPr="00A743FB" w:rsidRDefault="002260EF" w:rsidP="002260EF">
      <w:pPr>
        <w:numPr>
          <w:ilvl w:val="0"/>
          <w:numId w:val="7"/>
        </w:num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Expand business activities in key economic areas, enhance the ability to meet capital needs for some strategic corporate customers and related customers;</w:t>
      </w:r>
    </w:p>
    <w:p w14:paraId="4B97E756" w14:textId="77777777" w:rsidR="00397F8E" w:rsidRPr="00A743FB" w:rsidRDefault="002260EF" w:rsidP="002260EF">
      <w:pPr>
        <w:numPr>
          <w:ilvl w:val="0"/>
          <w:numId w:val="7"/>
        </w:num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Invest in changing brand identity image, invest in technology to promote digital banking…</w:t>
      </w:r>
    </w:p>
    <w:p w14:paraId="1D92AF34" w14:textId="77777777" w:rsidR="00397F8E" w:rsidRPr="00A743FB" w:rsidRDefault="002260EF" w:rsidP="002260EF">
      <w:pPr>
        <w:numPr>
          <w:ilvl w:val="0"/>
          <w:numId w:val="8"/>
        </w:numPr>
        <w:pBdr>
          <w:top w:val="nil"/>
          <w:left w:val="nil"/>
          <w:bottom w:val="nil"/>
          <w:right w:val="nil"/>
          <w:between w:val="nil"/>
        </w:pBdr>
        <w:tabs>
          <w:tab w:val="left" w:pos="270"/>
          <w:tab w:val="left" w:pos="360"/>
        </w:tabs>
        <w:spacing w:after="120" w:line="360" w:lineRule="auto"/>
        <w:rPr>
          <w:rFonts w:ascii="Arial" w:eastAsia="Arial" w:hAnsi="Arial" w:cs="Arial"/>
          <w:color w:val="010000"/>
          <w:sz w:val="20"/>
          <w:szCs w:val="20"/>
        </w:rPr>
      </w:pPr>
      <w:bookmarkStart w:id="0" w:name="_heading=h.4d34og8"/>
      <w:bookmarkEnd w:id="0"/>
      <w:r w:rsidRPr="00A743FB">
        <w:rPr>
          <w:rFonts w:ascii="Arial" w:hAnsi="Arial" w:cs="Arial"/>
          <w:color w:val="010000"/>
          <w:sz w:val="20"/>
        </w:rPr>
        <w:t>Number of offering rounds and number of shares offered in each issuance round</w:t>
      </w:r>
    </w:p>
    <w:p w14:paraId="1F581304" w14:textId="77777777" w:rsidR="00397F8E" w:rsidRPr="00A743FB" w:rsidRDefault="002260EF" w:rsidP="002260EF">
      <w:pPr>
        <w:numPr>
          <w:ilvl w:val="0"/>
          <w:numId w:val="7"/>
        </w:num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Number of offering rounds: 01</w:t>
      </w:r>
    </w:p>
    <w:p w14:paraId="10DE51FA" w14:textId="357CDE65" w:rsidR="00397F8E" w:rsidRPr="00A743FB" w:rsidRDefault="002260EF" w:rsidP="002260EF">
      <w:pPr>
        <w:numPr>
          <w:ilvl w:val="0"/>
          <w:numId w:val="7"/>
        </w:num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Number of shares to be issued and offered</w:t>
      </w:r>
      <w:r w:rsidR="00A743FB" w:rsidRPr="00A743FB">
        <w:rPr>
          <w:rFonts w:ascii="Arial" w:hAnsi="Arial" w:cs="Arial"/>
          <w:color w:val="010000"/>
          <w:sz w:val="20"/>
        </w:rPr>
        <w:t>:</w:t>
      </w:r>
      <w:r w:rsidRPr="00A743FB">
        <w:rPr>
          <w:rFonts w:ascii="Arial" w:hAnsi="Arial" w:cs="Arial"/>
          <w:color w:val="010000"/>
          <w:sz w:val="20"/>
        </w:rPr>
        <w:t xml:space="preserve"> 620,000,000 shares.</w:t>
      </w:r>
    </w:p>
    <w:p w14:paraId="3BFBAF46" w14:textId="77777777" w:rsidR="00397F8E" w:rsidRPr="00A743FB" w:rsidRDefault="002260EF" w:rsidP="002260EF">
      <w:pPr>
        <w:numPr>
          <w:ilvl w:val="0"/>
          <w:numId w:val="7"/>
        </w:num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Type of shares to be issued: Common share.</w:t>
      </w:r>
    </w:p>
    <w:p w14:paraId="417FE6E6" w14:textId="77777777" w:rsidR="00397F8E" w:rsidRPr="00A743FB" w:rsidRDefault="002260EF" w:rsidP="002260EF">
      <w:pPr>
        <w:numPr>
          <w:ilvl w:val="0"/>
          <w:numId w:val="7"/>
        </w:num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Par value: VND 10,000/share;</w:t>
      </w:r>
    </w:p>
    <w:p w14:paraId="62C9D08E" w14:textId="77777777" w:rsidR="00397F8E" w:rsidRPr="00A743FB" w:rsidRDefault="002260EF" w:rsidP="002260EF">
      <w:pPr>
        <w:numPr>
          <w:ilvl w:val="0"/>
          <w:numId w:val="7"/>
        </w:num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Charter capital before issuance: VND 5,601,555,870,000</w:t>
      </w:r>
    </w:p>
    <w:p w14:paraId="7352D0F8" w14:textId="77777777" w:rsidR="00397F8E" w:rsidRPr="00A743FB" w:rsidRDefault="002260EF" w:rsidP="002260EF">
      <w:pPr>
        <w:numPr>
          <w:ilvl w:val="0"/>
          <w:numId w:val="3"/>
        </w:numPr>
        <w:pBdr>
          <w:top w:val="nil"/>
          <w:left w:val="nil"/>
          <w:bottom w:val="nil"/>
          <w:right w:val="nil"/>
          <w:between w:val="nil"/>
        </w:pBdr>
        <w:tabs>
          <w:tab w:val="left" w:pos="180"/>
          <w:tab w:val="left" w:pos="360"/>
        </w:tabs>
        <w:spacing w:after="120" w:line="360" w:lineRule="auto"/>
        <w:ind w:left="0" w:firstLine="0"/>
        <w:rPr>
          <w:rFonts w:ascii="Arial" w:eastAsia="Arial" w:hAnsi="Arial" w:cs="Arial"/>
          <w:color w:val="010000"/>
          <w:sz w:val="20"/>
          <w:szCs w:val="20"/>
        </w:rPr>
      </w:pPr>
      <w:r w:rsidRPr="00A743FB">
        <w:rPr>
          <w:rFonts w:ascii="Arial" w:hAnsi="Arial" w:cs="Arial"/>
          <w:color w:val="010000"/>
          <w:sz w:val="20"/>
        </w:rPr>
        <w:t>Number of issued common shares: 560,155,587 shares</w:t>
      </w:r>
    </w:p>
    <w:p w14:paraId="4B279DD3" w14:textId="77777777" w:rsidR="00397F8E" w:rsidRPr="00A743FB" w:rsidRDefault="002260EF" w:rsidP="002260EF">
      <w:pPr>
        <w:numPr>
          <w:ilvl w:val="0"/>
          <w:numId w:val="7"/>
        </w:num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Number of outstanding common shares: 556,803,587 shares</w:t>
      </w:r>
    </w:p>
    <w:p w14:paraId="49DE7880" w14:textId="126CAADA" w:rsidR="00397F8E" w:rsidRPr="00A743FB" w:rsidRDefault="002260EF" w:rsidP="002260EF">
      <w:pPr>
        <w:numPr>
          <w:ilvl w:val="0"/>
          <w:numId w:val="7"/>
        </w:num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Number of treasury shares: 3,352,000 shares</w:t>
      </w:r>
    </w:p>
    <w:p w14:paraId="76C19FF6" w14:textId="77777777" w:rsidR="00397F8E" w:rsidRPr="00A743FB" w:rsidRDefault="002260EF" w:rsidP="002260EF">
      <w:pPr>
        <w:numPr>
          <w:ilvl w:val="0"/>
          <w:numId w:val="7"/>
        </w:num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Expected increase in charter capital: VND 6,200,000,000,000</w:t>
      </w:r>
    </w:p>
    <w:p w14:paraId="7D229BEC" w14:textId="77777777" w:rsidR="00397F8E" w:rsidRPr="00A743FB" w:rsidRDefault="002260EF" w:rsidP="002260EF">
      <w:pPr>
        <w:numPr>
          <w:ilvl w:val="0"/>
          <w:numId w:val="7"/>
        </w:num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Total issuance value (at par value) VND 6,200,000,000,000</w:t>
      </w:r>
    </w:p>
    <w:p w14:paraId="33C49ACE" w14:textId="63D2F9CC" w:rsidR="00397F8E" w:rsidRPr="00A743FB" w:rsidRDefault="002260EF" w:rsidP="002260EF">
      <w:p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lastRenderedPageBreak/>
        <w:t xml:space="preserve">The plan to handle the number of shares that are not fully sold: The Board of Directors </w:t>
      </w:r>
      <w:r w:rsidR="00A743FB" w:rsidRPr="00A743FB">
        <w:rPr>
          <w:rFonts w:ascii="Arial" w:hAnsi="Arial" w:cs="Arial"/>
          <w:color w:val="010000"/>
          <w:sz w:val="20"/>
        </w:rPr>
        <w:t>shall</w:t>
      </w:r>
      <w:r w:rsidRPr="00A743FB">
        <w:rPr>
          <w:rFonts w:ascii="Arial" w:hAnsi="Arial" w:cs="Arial"/>
          <w:color w:val="010000"/>
          <w:sz w:val="20"/>
        </w:rPr>
        <w:t xml:space="preserve"> not continue to distribute the remaining shares due to investors not paying for the purchase (if any) and</w:t>
      </w:r>
      <w:r w:rsidR="00A743FB" w:rsidRPr="00A743FB">
        <w:rPr>
          <w:rFonts w:ascii="Arial" w:hAnsi="Arial" w:cs="Arial"/>
          <w:color w:val="010000"/>
          <w:sz w:val="20"/>
        </w:rPr>
        <w:t xml:space="preserve"> </w:t>
      </w:r>
      <w:r w:rsidRPr="00A743FB">
        <w:rPr>
          <w:rFonts w:ascii="Arial" w:hAnsi="Arial" w:cs="Arial"/>
          <w:color w:val="010000"/>
          <w:sz w:val="20"/>
        </w:rPr>
        <w:t>end the issuance.</w:t>
      </w:r>
    </w:p>
    <w:p w14:paraId="1873A43C" w14:textId="77777777" w:rsidR="00397F8E" w:rsidRPr="00A743FB" w:rsidRDefault="002260EF" w:rsidP="002260EF">
      <w:pPr>
        <w:numPr>
          <w:ilvl w:val="0"/>
          <w:numId w:val="8"/>
        </w:numPr>
        <w:pBdr>
          <w:top w:val="nil"/>
          <w:left w:val="nil"/>
          <w:bottom w:val="nil"/>
          <w:right w:val="nil"/>
          <w:between w:val="nil"/>
        </w:pBdr>
        <w:tabs>
          <w:tab w:val="left" w:pos="270"/>
          <w:tab w:val="left" w:pos="360"/>
          <w:tab w:val="left" w:pos="793"/>
        </w:tabs>
        <w:spacing w:after="120" w:line="360" w:lineRule="auto"/>
        <w:rPr>
          <w:rFonts w:ascii="Arial" w:eastAsia="Arial" w:hAnsi="Arial" w:cs="Arial"/>
          <w:color w:val="010000"/>
          <w:sz w:val="20"/>
          <w:szCs w:val="20"/>
        </w:rPr>
      </w:pPr>
      <w:r w:rsidRPr="00A743FB">
        <w:rPr>
          <w:rFonts w:ascii="Arial" w:hAnsi="Arial" w:cs="Arial"/>
          <w:color w:val="010000"/>
          <w:sz w:val="20"/>
        </w:rPr>
        <w:t>Offering purpose and capital use plan:</w:t>
      </w:r>
    </w:p>
    <w:p w14:paraId="27704BA5" w14:textId="77777777" w:rsidR="00397F8E" w:rsidRPr="00A743FB" w:rsidRDefault="002260EF" w:rsidP="002260EF">
      <w:pPr>
        <w:numPr>
          <w:ilvl w:val="1"/>
          <w:numId w:val="8"/>
        </w:numPr>
        <w:pBdr>
          <w:top w:val="nil"/>
          <w:left w:val="nil"/>
          <w:bottom w:val="nil"/>
          <w:right w:val="nil"/>
          <w:between w:val="nil"/>
        </w:pBdr>
        <w:tabs>
          <w:tab w:val="left" w:pos="180"/>
          <w:tab w:val="left" w:pos="360"/>
          <w:tab w:val="left" w:pos="450"/>
        </w:tabs>
        <w:spacing w:after="120" w:line="360" w:lineRule="auto"/>
        <w:rPr>
          <w:rFonts w:ascii="Arial" w:eastAsia="Arial" w:hAnsi="Arial" w:cs="Arial"/>
          <w:color w:val="010000"/>
          <w:sz w:val="20"/>
          <w:szCs w:val="20"/>
        </w:rPr>
      </w:pPr>
      <w:r w:rsidRPr="00A743FB">
        <w:rPr>
          <w:rFonts w:ascii="Arial" w:hAnsi="Arial" w:cs="Arial"/>
          <w:color w:val="010000"/>
          <w:sz w:val="20"/>
        </w:rPr>
        <w:t>Offering purposes:</w:t>
      </w:r>
    </w:p>
    <w:p w14:paraId="1A12B51D" w14:textId="77777777" w:rsidR="00397F8E" w:rsidRPr="00A743FB" w:rsidRDefault="002260EF" w:rsidP="002260EF">
      <w:p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Supplement capital for business activities, enhancing the financial capacity of the Bank, including but not limited to (i) renovating and upgrading brand image (ii) building brand identity (iii) technology and digital transformation (iv) supplementing working capital (v) and other items suitable for business activities, enhancing financial capacity for NCB.</w:t>
      </w:r>
    </w:p>
    <w:p w14:paraId="5ABAC78A" w14:textId="77777777" w:rsidR="00397F8E" w:rsidRPr="00A743FB" w:rsidRDefault="002260EF" w:rsidP="002260EF">
      <w:pPr>
        <w:numPr>
          <w:ilvl w:val="1"/>
          <w:numId w:val="8"/>
        </w:numPr>
        <w:pBdr>
          <w:top w:val="nil"/>
          <w:left w:val="nil"/>
          <w:bottom w:val="nil"/>
          <w:right w:val="nil"/>
          <w:between w:val="nil"/>
        </w:pBdr>
        <w:tabs>
          <w:tab w:val="left" w:pos="360"/>
          <w:tab w:val="left" w:pos="450"/>
          <w:tab w:val="left" w:pos="540"/>
          <w:tab w:val="left" w:pos="630"/>
          <w:tab w:val="left" w:pos="720"/>
          <w:tab w:val="left" w:pos="810"/>
          <w:tab w:val="left" w:pos="990"/>
          <w:tab w:val="left" w:pos="1080"/>
          <w:tab w:val="left" w:pos="1350"/>
        </w:tabs>
        <w:spacing w:after="120" w:line="360" w:lineRule="auto"/>
        <w:rPr>
          <w:rFonts w:ascii="Arial" w:eastAsia="Arial" w:hAnsi="Arial" w:cs="Arial"/>
          <w:color w:val="010000"/>
          <w:sz w:val="20"/>
          <w:szCs w:val="20"/>
        </w:rPr>
      </w:pPr>
      <w:r w:rsidRPr="00A743FB">
        <w:rPr>
          <w:rFonts w:ascii="Arial" w:hAnsi="Arial" w:cs="Arial"/>
          <w:color w:val="010000"/>
          <w:sz w:val="20"/>
        </w:rPr>
        <w:t>Capital use plan:</w:t>
      </w:r>
    </w:p>
    <w:p w14:paraId="4A85E734" w14:textId="77777777" w:rsidR="00397F8E" w:rsidRPr="00A743FB" w:rsidRDefault="002260EF" w:rsidP="002260EF">
      <w:p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The plan for using the expected capital and the order of priority for capital allocation are as follows:</w:t>
      </w:r>
    </w:p>
    <w:tbl>
      <w:tblPr>
        <w:tblStyle w:va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3574"/>
        <w:gridCol w:w="2047"/>
        <w:gridCol w:w="2548"/>
      </w:tblGrid>
      <w:tr w:rsidR="00397F8E" w:rsidRPr="00A743FB" w14:paraId="1C47B244" w14:textId="77777777" w:rsidTr="002260EF">
        <w:tc>
          <w:tcPr>
            <w:tcW w:w="470" w:type="pct"/>
            <w:shd w:val="clear" w:color="auto" w:fill="auto"/>
            <w:vAlign w:val="center"/>
          </w:tcPr>
          <w:p w14:paraId="0E038937" w14:textId="77777777" w:rsidR="00397F8E" w:rsidRPr="00A743FB" w:rsidRDefault="002260EF" w:rsidP="002260EF">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color w:val="010000"/>
                <w:sz w:val="20"/>
              </w:rPr>
              <w:t>No.</w:t>
            </w:r>
          </w:p>
        </w:tc>
        <w:tc>
          <w:tcPr>
            <w:tcW w:w="1982" w:type="pct"/>
            <w:shd w:val="clear" w:color="auto" w:fill="auto"/>
            <w:vAlign w:val="center"/>
          </w:tcPr>
          <w:p w14:paraId="38B3B5DC" w14:textId="77777777" w:rsidR="00397F8E" w:rsidRPr="00A743FB" w:rsidRDefault="002260EF" w:rsidP="002260EF">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color w:val="010000"/>
                <w:sz w:val="20"/>
              </w:rPr>
              <w:t>Capital use plan</w:t>
            </w:r>
          </w:p>
        </w:tc>
        <w:tc>
          <w:tcPr>
            <w:tcW w:w="1135" w:type="pct"/>
            <w:shd w:val="clear" w:color="auto" w:fill="auto"/>
            <w:vAlign w:val="center"/>
          </w:tcPr>
          <w:p w14:paraId="61547935" w14:textId="77777777" w:rsidR="00397F8E" w:rsidRPr="00A743FB" w:rsidRDefault="002260EF" w:rsidP="002260EF">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color w:val="010000"/>
                <w:sz w:val="20"/>
              </w:rPr>
              <w:t>Value (Billion VND)</w:t>
            </w:r>
          </w:p>
        </w:tc>
        <w:tc>
          <w:tcPr>
            <w:tcW w:w="1413" w:type="pct"/>
            <w:shd w:val="clear" w:color="auto" w:fill="auto"/>
            <w:vAlign w:val="center"/>
          </w:tcPr>
          <w:p w14:paraId="00BAE09E" w14:textId="77777777" w:rsidR="00397F8E" w:rsidRPr="00A743FB" w:rsidRDefault="002260EF" w:rsidP="002260EF">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color w:val="010000"/>
                <w:sz w:val="20"/>
              </w:rPr>
              <w:t>Expected disbursement time</w:t>
            </w:r>
          </w:p>
        </w:tc>
      </w:tr>
      <w:tr w:rsidR="00397F8E" w:rsidRPr="00A743FB" w14:paraId="4A0C94AF" w14:textId="77777777" w:rsidTr="002260EF">
        <w:tc>
          <w:tcPr>
            <w:tcW w:w="470" w:type="pct"/>
            <w:shd w:val="clear" w:color="auto" w:fill="auto"/>
            <w:vAlign w:val="center"/>
          </w:tcPr>
          <w:p w14:paraId="058E9C45" w14:textId="77777777" w:rsidR="00397F8E" w:rsidRPr="00A743FB" w:rsidRDefault="002260EF" w:rsidP="002260EF">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color w:val="010000"/>
                <w:sz w:val="20"/>
              </w:rPr>
              <w:t>1.</w:t>
            </w:r>
          </w:p>
        </w:tc>
        <w:tc>
          <w:tcPr>
            <w:tcW w:w="1982" w:type="pct"/>
            <w:shd w:val="clear" w:color="auto" w:fill="auto"/>
            <w:vAlign w:val="center"/>
          </w:tcPr>
          <w:p w14:paraId="4B0DBF92" w14:textId="6A3C4BD4" w:rsidR="00397F8E" w:rsidRPr="00A743FB" w:rsidRDefault="002260EF" w:rsidP="002260EF">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 xml:space="preserve">Renovate and upgrade </w:t>
            </w:r>
            <w:r w:rsidR="00A743FB" w:rsidRPr="00A743FB">
              <w:rPr>
                <w:rFonts w:ascii="Arial" w:hAnsi="Arial" w:cs="Arial"/>
                <w:color w:val="010000"/>
                <w:sz w:val="20"/>
              </w:rPr>
              <w:t>facility</w:t>
            </w:r>
          </w:p>
        </w:tc>
        <w:tc>
          <w:tcPr>
            <w:tcW w:w="1135" w:type="pct"/>
            <w:shd w:val="clear" w:color="auto" w:fill="auto"/>
            <w:vAlign w:val="center"/>
          </w:tcPr>
          <w:p w14:paraId="697B2495" w14:textId="77777777" w:rsidR="00397F8E" w:rsidRPr="00A743FB" w:rsidRDefault="002260EF" w:rsidP="002260EF">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bCs/>
                <w:color w:val="010000"/>
                <w:sz w:val="20"/>
              </w:rPr>
              <w:t>200</w:t>
            </w:r>
          </w:p>
        </w:tc>
        <w:tc>
          <w:tcPr>
            <w:tcW w:w="1413" w:type="pct"/>
            <w:shd w:val="clear" w:color="auto" w:fill="auto"/>
            <w:vAlign w:val="center"/>
          </w:tcPr>
          <w:p w14:paraId="343756E0" w14:textId="77777777" w:rsidR="00397F8E" w:rsidRPr="00A743FB" w:rsidRDefault="002260EF" w:rsidP="002260EF">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color w:val="010000"/>
                <w:sz w:val="20"/>
              </w:rPr>
              <w:t>In 2024 - 2025</w:t>
            </w:r>
          </w:p>
        </w:tc>
      </w:tr>
      <w:tr w:rsidR="00B66FFD" w:rsidRPr="00A743FB" w14:paraId="5C02A6FE" w14:textId="77777777" w:rsidTr="002260EF">
        <w:tblPrEx>
          <w:tblLook w:val="04A0" w:firstRow="1" w:lastRow="0" w:firstColumn="1" w:lastColumn="0" w:noHBand="0" w:noVBand="1"/>
        </w:tblPrEx>
        <w:tc>
          <w:tcPr>
            <w:tcW w:w="470" w:type="pct"/>
            <w:shd w:val="clear" w:color="auto" w:fill="auto"/>
            <w:vAlign w:val="center"/>
          </w:tcPr>
          <w:p w14:paraId="5805AC35" w14:textId="77777777" w:rsidR="00B66FFD" w:rsidRPr="00A743FB" w:rsidRDefault="00B66FFD" w:rsidP="002260EF">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color w:val="010000"/>
                <w:sz w:val="20"/>
              </w:rPr>
              <w:t>2.</w:t>
            </w:r>
          </w:p>
        </w:tc>
        <w:tc>
          <w:tcPr>
            <w:tcW w:w="1982" w:type="pct"/>
            <w:shd w:val="clear" w:color="auto" w:fill="auto"/>
            <w:vAlign w:val="center"/>
          </w:tcPr>
          <w:p w14:paraId="6CAC61C4" w14:textId="77777777" w:rsidR="00B66FFD" w:rsidRPr="00A743FB" w:rsidRDefault="00B66FFD" w:rsidP="002260EF">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Build brand identity</w:t>
            </w:r>
          </w:p>
        </w:tc>
        <w:tc>
          <w:tcPr>
            <w:tcW w:w="1135" w:type="pct"/>
            <w:shd w:val="clear" w:color="auto" w:fill="auto"/>
            <w:vAlign w:val="center"/>
          </w:tcPr>
          <w:p w14:paraId="2C2F875A" w14:textId="77777777" w:rsidR="00B66FFD" w:rsidRPr="00A743FB" w:rsidRDefault="00B66FFD" w:rsidP="002260EF">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bCs/>
                <w:color w:val="010000"/>
                <w:sz w:val="20"/>
              </w:rPr>
              <w:t>200</w:t>
            </w:r>
          </w:p>
        </w:tc>
        <w:tc>
          <w:tcPr>
            <w:tcW w:w="1413" w:type="pct"/>
            <w:shd w:val="clear" w:color="auto" w:fill="auto"/>
            <w:vAlign w:val="center"/>
          </w:tcPr>
          <w:p w14:paraId="366857F2" w14:textId="77777777" w:rsidR="00B66FFD" w:rsidRPr="00A743FB" w:rsidRDefault="00B66FFD" w:rsidP="002260EF">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color w:val="010000"/>
                <w:sz w:val="20"/>
              </w:rPr>
              <w:t>In 2024 - 2025</w:t>
            </w:r>
          </w:p>
        </w:tc>
      </w:tr>
      <w:tr w:rsidR="00B66FFD" w:rsidRPr="00A743FB" w14:paraId="1910CADB" w14:textId="77777777" w:rsidTr="002260EF">
        <w:tblPrEx>
          <w:tblLook w:val="04A0" w:firstRow="1" w:lastRow="0" w:firstColumn="1" w:lastColumn="0" w:noHBand="0" w:noVBand="1"/>
        </w:tblPrEx>
        <w:tc>
          <w:tcPr>
            <w:tcW w:w="470" w:type="pct"/>
            <w:shd w:val="clear" w:color="auto" w:fill="auto"/>
            <w:vAlign w:val="center"/>
          </w:tcPr>
          <w:p w14:paraId="6CCD546F" w14:textId="77777777" w:rsidR="00B66FFD" w:rsidRPr="00A743FB" w:rsidRDefault="00B66FFD" w:rsidP="002260EF">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color w:val="010000"/>
                <w:sz w:val="20"/>
              </w:rPr>
              <w:t>3.</w:t>
            </w:r>
          </w:p>
        </w:tc>
        <w:tc>
          <w:tcPr>
            <w:tcW w:w="1982" w:type="pct"/>
            <w:shd w:val="clear" w:color="auto" w:fill="auto"/>
            <w:vAlign w:val="center"/>
          </w:tcPr>
          <w:p w14:paraId="1C2D1153" w14:textId="77777777" w:rsidR="00B66FFD" w:rsidRPr="00A743FB" w:rsidRDefault="00B66FFD" w:rsidP="002260EF">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Technology and digital transformation</w:t>
            </w:r>
          </w:p>
        </w:tc>
        <w:tc>
          <w:tcPr>
            <w:tcW w:w="1135" w:type="pct"/>
            <w:shd w:val="clear" w:color="auto" w:fill="auto"/>
            <w:vAlign w:val="center"/>
          </w:tcPr>
          <w:p w14:paraId="07FE5F51" w14:textId="77777777" w:rsidR="00B66FFD" w:rsidRPr="00A743FB" w:rsidRDefault="00B66FFD" w:rsidP="002260EF">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bCs/>
                <w:color w:val="010000"/>
                <w:sz w:val="20"/>
              </w:rPr>
              <w:t>500</w:t>
            </w:r>
          </w:p>
        </w:tc>
        <w:tc>
          <w:tcPr>
            <w:tcW w:w="1413" w:type="pct"/>
            <w:shd w:val="clear" w:color="auto" w:fill="auto"/>
            <w:vAlign w:val="center"/>
          </w:tcPr>
          <w:p w14:paraId="449B68D0" w14:textId="77777777" w:rsidR="00B66FFD" w:rsidRPr="00A743FB" w:rsidRDefault="00B66FFD" w:rsidP="002260EF">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color w:val="010000"/>
                <w:sz w:val="20"/>
              </w:rPr>
              <w:t>In 2024 - 2025</w:t>
            </w:r>
          </w:p>
        </w:tc>
      </w:tr>
      <w:tr w:rsidR="00B66FFD" w:rsidRPr="00A743FB" w14:paraId="061C9131" w14:textId="77777777" w:rsidTr="002260EF">
        <w:tblPrEx>
          <w:tblLook w:val="04A0" w:firstRow="1" w:lastRow="0" w:firstColumn="1" w:lastColumn="0" w:noHBand="0" w:noVBand="1"/>
        </w:tblPrEx>
        <w:tc>
          <w:tcPr>
            <w:tcW w:w="470" w:type="pct"/>
            <w:shd w:val="clear" w:color="auto" w:fill="auto"/>
            <w:vAlign w:val="center"/>
          </w:tcPr>
          <w:p w14:paraId="3442FE7D" w14:textId="77777777" w:rsidR="00B66FFD" w:rsidRPr="00A743FB" w:rsidRDefault="00B66FFD" w:rsidP="002260EF">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color w:val="010000"/>
                <w:sz w:val="20"/>
              </w:rPr>
              <w:t>4.</w:t>
            </w:r>
          </w:p>
        </w:tc>
        <w:tc>
          <w:tcPr>
            <w:tcW w:w="1982" w:type="pct"/>
            <w:shd w:val="clear" w:color="auto" w:fill="auto"/>
            <w:vAlign w:val="center"/>
          </w:tcPr>
          <w:p w14:paraId="0929CD77" w14:textId="77777777" w:rsidR="00B66FFD" w:rsidRPr="00A743FB" w:rsidRDefault="00B66FFD" w:rsidP="002260EF">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Supplement working capital to serve the needs:</w:t>
            </w:r>
          </w:p>
          <w:p w14:paraId="23BC0FB8" w14:textId="77777777" w:rsidR="00B66FFD" w:rsidRPr="00A743FB" w:rsidRDefault="00B66FFD" w:rsidP="002260EF">
            <w:pPr>
              <w:numPr>
                <w:ilvl w:val="0"/>
                <w:numId w:val="1"/>
              </w:num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Enhance financial capacity and safety indicators in banking operations;</w:t>
            </w:r>
          </w:p>
          <w:p w14:paraId="00B3D63F" w14:textId="77777777" w:rsidR="00B66FFD" w:rsidRPr="00A743FB" w:rsidRDefault="00B66FFD" w:rsidP="002260EF">
            <w:pPr>
              <w:numPr>
                <w:ilvl w:val="0"/>
                <w:numId w:val="1"/>
              </w:numPr>
              <w:pBdr>
                <w:top w:val="nil"/>
                <w:left w:val="nil"/>
                <w:bottom w:val="nil"/>
                <w:right w:val="nil"/>
                <w:between w:val="nil"/>
              </w:pBdr>
              <w:tabs>
                <w:tab w:val="left" w:pos="176"/>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Enhance the ability to prevent risks arising in the process of operation;</w:t>
            </w:r>
          </w:p>
          <w:p w14:paraId="0E2EDE8B" w14:textId="55BF3493" w:rsidR="00B66FFD" w:rsidRPr="00A743FB" w:rsidRDefault="00B66FFD" w:rsidP="002260EF">
            <w:pPr>
              <w:numPr>
                <w:ilvl w:val="0"/>
                <w:numId w:val="1"/>
              </w:numPr>
              <w:pBdr>
                <w:top w:val="nil"/>
                <w:left w:val="nil"/>
                <w:bottom w:val="nil"/>
                <w:right w:val="nil"/>
                <w:between w:val="nil"/>
              </w:pBdr>
              <w:tabs>
                <w:tab w:val="left" w:pos="194"/>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Expand business activities in key economic areas, enhance the ability to meet capital needs for some strategic corporate customers and related customers.</w:t>
            </w:r>
          </w:p>
        </w:tc>
        <w:tc>
          <w:tcPr>
            <w:tcW w:w="1135" w:type="pct"/>
            <w:shd w:val="clear" w:color="auto" w:fill="auto"/>
            <w:vAlign w:val="center"/>
          </w:tcPr>
          <w:p w14:paraId="371C420E" w14:textId="77777777" w:rsidR="00B66FFD" w:rsidRPr="00A743FB" w:rsidRDefault="00B66FFD" w:rsidP="002260EF">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bCs/>
                <w:color w:val="010000"/>
                <w:sz w:val="20"/>
              </w:rPr>
              <w:t>5,300</w:t>
            </w:r>
          </w:p>
        </w:tc>
        <w:tc>
          <w:tcPr>
            <w:tcW w:w="1413" w:type="pct"/>
            <w:shd w:val="clear" w:color="auto" w:fill="auto"/>
            <w:vAlign w:val="center"/>
          </w:tcPr>
          <w:p w14:paraId="521EE3F8" w14:textId="77777777" w:rsidR="00B66FFD" w:rsidRPr="00A743FB" w:rsidRDefault="00B66FFD" w:rsidP="002260EF">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color w:val="010000"/>
                <w:sz w:val="20"/>
              </w:rPr>
              <w:t>According to the bank’s business operation needs</w:t>
            </w:r>
          </w:p>
        </w:tc>
      </w:tr>
      <w:tr w:rsidR="00B66FFD" w:rsidRPr="00A743FB" w14:paraId="2C19C75A" w14:textId="77777777" w:rsidTr="002260EF">
        <w:tblPrEx>
          <w:tblLook w:val="04A0" w:firstRow="1" w:lastRow="0" w:firstColumn="1" w:lastColumn="0" w:noHBand="0" w:noVBand="1"/>
        </w:tblPrEx>
        <w:tc>
          <w:tcPr>
            <w:tcW w:w="470" w:type="pct"/>
            <w:shd w:val="clear" w:color="auto" w:fill="auto"/>
            <w:vAlign w:val="center"/>
          </w:tcPr>
          <w:p w14:paraId="10FAAE17" w14:textId="77777777" w:rsidR="00B66FFD" w:rsidRPr="00A743FB" w:rsidRDefault="00B66FFD" w:rsidP="002260EF">
            <w:pPr>
              <w:tabs>
                <w:tab w:val="left" w:pos="360"/>
              </w:tabs>
              <w:spacing w:after="120" w:line="360" w:lineRule="auto"/>
              <w:rPr>
                <w:rFonts w:ascii="Arial" w:eastAsia="Arial" w:hAnsi="Arial" w:cs="Arial"/>
                <w:color w:val="010000"/>
                <w:sz w:val="20"/>
                <w:szCs w:val="20"/>
              </w:rPr>
            </w:pPr>
          </w:p>
        </w:tc>
        <w:tc>
          <w:tcPr>
            <w:tcW w:w="1982" w:type="pct"/>
            <w:shd w:val="clear" w:color="auto" w:fill="auto"/>
            <w:vAlign w:val="center"/>
          </w:tcPr>
          <w:p w14:paraId="7BF55F0D" w14:textId="77777777" w:rsidR="00B66FFD" w:rsidRPr="00A743FB" w:rsidRDefault="00B66FFD" w:rsidP="002260EF">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color w:val="010000"/>
                <w:sz w:val="20"/>
              </w:rPr>
              <w:t>Total</w:t>
            </w:r>
          </w:p>
        </w:tc>
        <w:tc>
          <w:tcPr>
            <w:tcW w:w="1135" w:type="pct"/>
            <w:shd w:val="clear" w:color="auto" w:fill="auto"/>
            <w:vAlign w:val="center"/>
          </w:tcPr>
          <w:p w14:paraId="0F4C667E" w14:textId="77777777" w:rsidR="00B66FFD" w:rsidRPr="00A743FB" w:rsidRDefault="00B66FFD" w:rsidP="002260EF">
            <w:pPr>
              <w:pBdr>
                <w:top w:val="nil"/>
                <w:left w:val="nil"/>
                <w:bottom w:val="nil"/>
                <w:right w:val="nil"/>
                <w:between w:val="nil"/>
              </w:pBdr>
              <w:tabs>
                <w:tab w:val="left" w:pos="360"/>
              </w:tabs>
              <w:spacing w:after="120" w:line="360" w:lineRule="auto"/>
              <w:jc w:val="center"/>
              <w:rPr>
                <w:rFonts w:ascii="Arial" w:eastAsia="Arial" w:hAnsi="Arial" w:cs="Arial"/>
                <w:color w:val="010000"/>
                <w:sz w:val="20"/>
                <w:szCs w:val="20"/>
              </w:rPr>
            </w:pPr>
            <w:r w:rsidRPr="00A743FB">
              <w:rPr>
                <w:rFonts w:ascii="Arial" w:hAnsi="Arial" w:cs="Arial"/>
                <w:color w:val="010000"/>
                <w:sz w:val="20"/>
              </w:rPr>
              <w:t>6,200</w:t>
            </w:r>
          </w:p>
        </w:tc>
        <w:tc>
          <w:tcPr>
            <w:tcW w:w="1413" w:type="pct"/>
            <w:shd w:val="clear" w:color="auto" w:fill="auto"/>
            <w:vAlign w:val="center"/>
          </w:tcPr>
          <w:p w14:paraId="0104B17D" w14:textId="77777777" w:rsidR="00B66FFD" w:rsidRPr="00A743FB" w:rsidRDefault="00B66FFD" w:rsidP="002260EF">
            <w:pPr>
              <w:tabs>
                <w:tab w:val="left" w:pos="360"/>
              </w:tabs>
              <w:spacing w:after="120" w:line="360" w:lineRule="auto"/>
              <w:rPr>
                <w:rFonts w:ascii="Arial" w:eastAsia="Arial" w:hAnsi="Arial" w:cs="Arial"/>
                <w:color w:val="010000"/>
                <w:sz w:val="20"/>
                <w:szCs w:val="20"/>
              </w:rPr>
            </w:pPr>
          </w:p>
        </w:tc>
      </w:tr>
    </w:tbl>
    <w:p w14:paraId="55152DC3" w14:textId="77777777" w:rsidR="00397F8E" w:rsidRPr="00A743FB" w:rsidRDefault="002260EF" w:rsidP="002260EF">
      <w:pPr>
        <w:numPr>
          <w:ilvl w:val="0"/>
          <w:numId w:val="9"/>
        </w:numPr>
        <w:pBdr>
          <w:top w:val="nil"/>
          <w:left w:val="nil"/>
          <w:bottom w:val="nil"/>
          <w:right w:val="nil"/>
          <w:between w:val="nil"/>
        </w:pBdr>
        <w:tabs>
          <w:tab w:val="left" w:pos="27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Offering price: VND 10,000/share</w:t>
      </w:r>
    </w:p>
    <w:p w14:paraId="28897E43" w14:textId="2B2373B4" w:rsidR="00397F8E" w:rsidRPr="00A743FB" w:rsidRDefault="002260EF" w:rsidP="002260EF">
      <w:pPr>
        <w:numPr>
          <w:ilvl w:val="0"/>
          <w:numId w:val="9"/>
        </w:numPr>
        <w:pBdr>
          <w:top w:val="nil"/>
          <w:left w:val="nil"/>
          <w:bottom w:val="nil"/>
          <w:right w:val="nil"/>
          <w:between w:val="nil"/>
        </w:pBdr>
        <w:tabs>
          <w:tab w:val="left" w:pos="27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Offering subjects</w:t>
      </w:r>
      <w:r w:rsidR="00A743FB" w:rsidRPr="00A743FB">
        <w:rPr>
          <w:rFonts w:ascii="Arial" w:hAnsi="Arial" w:cs="Arial"/>
          <w:color w:val="010000"/>
          <w:sz w:val="20"/>
        </w:rPr>
        <w:t xml:space="preserve">, </w:t>
      </w:r>
      <w:r w:rsidRPr="00A743FB">
        <w:rPr>
          <w:rFonts w:ascii="Arial" w:hAnsi="Arial" w:cs="Arial"/>
          <w:color w:val="010000"/>
          <w:sz w:val="20"/>
        </w:rPr>
        <w:t>criteria to select investors:</w:t>
      </w:r>
    </w:p>
    <w:p w14:paraId="3DBDA3CF" w14:textId="77777777" w:rsidR="00397F8E" w:rsidRPr="00A743FB" w:rsidRDefault="002260EF" w:rsidP="002260EF">
      <w:pPr>
        <w:numPr>
          <w:ilvl w:val="1"/>
          <w:numId w:val="6"/>
        </w:numPr>
        <w:pBdr>
          <w:top w:val="nil"/>
          <w:left w:val="nil"/>
          <w:bottom w:val="nil"/>
          <w:right w:val="nil"/>
          <w:between w:val="nil"/>
        </w:pBdr>
        <w:tabs>
          <w:tab w:val="left" w:pos="256"/>
          <w:tab w:val="left" w:pos="360"/>
          <w:tab w:val="left" w:pos="450"/>
        </w:tabs>
        <w:spacing w:after="120" w:line="360" w:lineRule="auto"/>
        <w:ind w:left="0" w:firstLine="0"/>
        <w:rPr>
          <w:rFonts w:ascii="Arial" w:eastAsia="Arial" w:hAnsi="Arial" w:cs="Arial"/>
          <w:color w:val="010000"/>
          <w:sz w:val="20"/>
          <w:szCs w:val="20"/>
        </w:rPr>
      </w:pPr>
      <w:r w:rsidRPr="00A743FB">
        <w:rPr>
          <w:rFonts w:ascii="Arial" w:hAnsi="Arial" w:cs="Arial"/>
          <w:color w:val="010000"/>
          <w:sz w:val="20"/>
        </w:rPr>
        <w:t>Investor selection criteria:</w:t>
      </w:r>
    </w:p>
    <w:p w14:paraId="2F422360" w14:textId="317F65C7" w:rsidR="00397F8E" w:rsidRPr="00A743FB" w:rsidRDefault="00A743FB" w:rsidP="002260EF">
      <w:pPr>
        <w:numPr>
          <w:ilvl w:val="0"/>
          <w:numId w:val="7"/>
        </w:num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P</w:t>
      </w:r>
      <w:r w:rsidR="002260EF" w:rsidRPr="00A743FB">
        <w:rPr>
          <w:rFonts w:ascii="Arial" w:hAnsi="Arial" w:cs="Arial"/>
          <w:color w:val="010000"/>
          <w:sz w:val="20"/>
        </w:rPr>
        <w:t>rofessional securities investor</w:t>
      </w:r>
      <w:r w:rsidRPr="00A743FB">
        <w:rPr>
          <w:rFonts w:ascii="Arial" w:hAnsi="Arial" w:cs="Arial"/>
          <w:color w:val="010000"/>
          <w:sz w:val="20"/>
        </w:rPr>
        <w:t>s</w:t>
      </w:r>
      <w:r w:rsidR="002260EF" w:rsidRPr="00A743FB">
        <w:rPr>
          <w:rFonts w:ascii="Arial" w:hAnsi="Arial" w:cs="Arial"/>
          <w:color w:val="010000"/>
          <w:sz w:val="20"/>
        </w:rPr>
        <w:t xml:space="preserve"> according to the provisions of the Law</w:t>
      </w:r>
      <w:r w:rsidRPr="00A743FB">
        <w:rPr>
          <w:rFonts w:ascii="Arial" w:hAnsi="Arial" w:cs="Arial"/>
          <w:color w:val="010000"/>
          <w:sz w:val="20"/>
        </w:rPr>
        <w:t xml:space="preserve"> on </w:t>
      </w:r>
      <w:r w:rsidRPr="00A743FB">
        <w:rPr>
          <w:rFonts w:ascii="Arial" w:hAnsi="Arial" w:cs="Arial"/>
          <w:color w:val="010000"/>
          <w:sz w:val="20"/>
        </w:rPr>
        <w:t>Securities</w:t>
      </w:r>
      <w:r w:rsidRPr="00A743FB">
        <w:rPr>
          <w:rFonts w:ascii="Arial" w:hAnsi="Arial" w:cs="Arial"/>
          <w:color w:val="010000"/>
          <w:sz w:val="20"/>
        </w:rPr>
        <w:t>, who have</w:t>
      </w:r>
      <w:r w:rsidR="002260EF" w:rsidRPr="00A743FB">
        <w:rPr>
          <w:rFonts w:ascii="Arial" w:hAnsi="Arial" w:cs="Arial"/>
          <w:color w:val="010000"/>
          <w:sz w:val="20"/>
        </w:rPr>
        <w:t xml:space="preserve"> financial capacity (not limit</w:t>
      </w:r>
      <w:r w:rsidRPr="00A743FB">
        <w:rPr>
          <w:rFonts w:ascii="Arial" w:hAnsi="Arial" w:cs="Arial"/>
          <w:color w:val="010000"/>
          <w:sz w:val="20"/>
        </w:rPr>
        <w:t>ed to</w:t>
      </w:r>
      <w:r w:rsidR="002260EF" w:rsidRPr="00A743FB">
        <w:rPr>
          <w:rFonts w:ascii="Arial" w:hAnsi="Arial" w:cs="Arial"/>
          <w:color w:val="010000"/>
          <w:sz w:val="20"/>
        </w:rPr>
        <w:t xml:space="preserve"> the shareholders of NCB); </w:t>
      </w:r>
    </w:p>
    <w:p w14:paraId="1753F84A" w14:textId="77777777" w:rsidR="00397F8E" w:rsidRPr="00A743FB" w:rsidRDefault="002260EF" w:rsidP="002260EF">
      <w:pPr>
        <w:numPr>
          <w:ilvl w:val="0"/>
          <w:numId w:val="7"/>
        </w:num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Commit to long-term companionship, sharing the same strategic vision of the Bank.</w:t>
      </w:r>
    </w:p>
    <w:p w14:paraId="0B68DD44" w14:textId="474FCD6A" w:rsidR="00397F8E" w:rsidRPr="00A743FB" w:rsidRDefault="00A743FB" w:rsidP="002260EF">
      <w:pPr>
        <w:numPr>
          <w:ilvl w:val="1"/>
          <w:numId w:val="6"/>
        </w:numPr>
        <w:pBdr>
          <w:top w:val="nil"/>
          <w:left w:val="nil"/>
          <w:bottom w:val="nil"/>
          <w:right w:val="nil"/>
          <w:between w:val="nil"/>
        </w:pBdr>
        <w:tabs>
          <w:tab w:val="left" w:pos="360"/>
          <w:tab w:val="left" w:pos="450"/>
        </w:tabs>
        <w:spacing w:after="120" w:line="360" w:lineRule="auto"/>
        <w:ind w:left="0" w:firstLine="0"/>
        <w:rPr>
          <w:rFonts w:ascii="Arial" w:eastAsia="Arial" w:hAnsi="Arial" w:cs="Arial"/>
          <w:color w:val="010000"/>
          <w:sz w:val="20"/>
          <w:szCs w:val="20"/>
        </w:rPr>
      </w:pPr>
      <w:r w:rsidRPr="00A743FB">
        <w:rPr>
          <w:rFonts w:ascii="Arial" w:hAnsi="Arial" w:cs="Arial"/>
          <w:color w:val="010000"/>
          <w:sz w:val="20"/>
        </w:rPr>
        <w:lastRenderedPageBreak/>
        <w:t>Specific subject</w:t>
      </w:r>
      <w:r w:rsidR="002260EF" w:rsidRPr="00A743FB">
        <w:rPr>
          <w:rFonts w:ascii="Arial" w:hAnsi="Arial" w:cs="Arial"/>
          <w:color w:val="010000"/>
          <w:sz w:val="20"/>
        </w:rPr>
        <w:t>s: The Board of Directors assigns the Chair of the Board of Directors to organize the implementation of negotiations, select specific investors, the number of shares offered for sale to each investor, and submit to the Board of Directors for approval of the specific offering objects.</w:t>
      </w:r>
    </w:p>
    <w:p w14:paraId="50FD3DE3" w14:textId="0D76D8E8" w:rsidR="00397F8E" w:rsidRPr="00A743FB" w:rsidRDefault="002260EF" w:rsidP="002260EF">
      <w:pPr>
        <w:numPr>
          <w:ilvl w:val="0"/>
          <w:numId w:val="2"/>
        </w:numPr>
        <w:pBdr>
          <w:top w:val="nil"/>
          <w:left w:val="nil"/>
          <w:bottom w:val="nil"/>
          <w:right w:val="nil"/>
          <w:between w:val="nil"/>
        </w:pBdr>
        <w:tabs>
          <w:tab w:val="left" w:pos="27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Transfer restriction</w:t>
      </w:r>
      <w:r w:rsidR="00A743FB" w:rsidRPr="00A743FB">
        <w:rPr>
          <w:rFonts w:ascii="Arial" w:hAnsi="Arial" w:cs="Arial"/>
          <w:color w:val="010000"/>
          <w:sz w:val="20"/>
        </w:rPr>
        <w:t>:</w:t>
      </w:r>
      <w:r w:rsidRPr="00A743FB">
        <w:rPr>
          <w:rFonts w:ascii="Arial" w:hAnsi="Arial" w:cs="Arial"/>
          <w:color w:val="010000"/>
          <w:sz w:val="20"/>
        </w:rPr>
        <w:t xml:space="preserve"> The transfer of shares offered for private placement is restricted for one year for professional securities investors from the date of completion of each offering, except for the case of transfer between professional securities investors or implementation according to the judgment</w:t>
      </w:r>
      <w:r w:rsidR="00A743FB" w:rsidRPr="00A743FB">
        <w:rPr>
          <w:rFonts w:ascii="Arial" w:hAnsi="Arial" w:cs="Arial"/>
          <w:color w:val="010000"/>
          <w:sz w:val="20"/>
        </w:rPr>
        <w:t>/</w:t>
      </w:r>
      <w:r w:rsidRPr="00A743FB">
        <w:rPr>
          <w:rFonts w:ascii="Arial" w:hAnsi="Arial" w:cs="Arial"/>
          <w:color w:val="010000"/>
          <w:sz w:val="20"/>
        </w:rPr>
        <w:t xml:space="preserve">decision of the Court that has legal effect, </w:t>
      </w:r>
      <w:r w:rsidR="00A743FB" w:rsidRPr="00A743FB">
        <w:rPr>
          <w:rFonts w:ascii="Arial" w:hAnsi="Arial" w:cs="Arial"/>
          <w:color w:val="010000"/>
          <w:sz w:val="20"/>
        </w:rPr>
        <w:t xml:space="preserve">the </w:t>
      </w:r>
      <w:r w:rsidRPr="00A743FB">
        <w:rPr>
          <w:rFonts w:ascii="Arial" w:hAnsi="Arial" w:cs="Arial"/>
          <w:color w:val="010000"/>
          <w:sz w:val="20"/>
        </w:rPr>
        <w:t xml:space="preserve">decision of the Arbitrator or inheritance according to the provisions of law. </w:t>
      </w:r>
    </w:p>
    <w:p w14:paraId="1E3C128C" w14:textId="08F63695" w:rsidR="00397F8E" w:rsidRPr="00A743FB" w:rsidRDefault="002260EF" w:rsidP="002260EF">
      <w:pPr>
        <w:numPr>
          <w:ilvl w:val="0"/>
          <w:numId w:val="2"/>
        </w:numPr>
        <w:pBdr>
          <w:top w:val="nil"/>
          <w:left w:val="nil"/>
          <w:bottom w:val="nil"/>
          <w:right w:val="nil"/>
          <w:between w:val="nil"/>
        </w:pBdr>
        <w:tabs>
          <w:tab w:val="left" w:pos="27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Expected issue date and completion</w:t>
      </w:r>
      <w:r w:rsidR="00A743FB" w:rsidRPr="00A743FB">
        <w:rPr>
          <w:rFonts w:ascii="Arial" w:hAnsi="Arial" w:cs="Arial"/>
          <w:color w:val="010000"/>
          <w:sz w:val="20"/>
        </w:rPr>
        <w:t xml:space="preserve"> </w:t>
      </w:r>
      <w:r w:rsidR="00A743FB" w:rsidRPr="00A743FB">
        <w:rPr>
          <w:rFonts w:ascii="Arial" w:hAnsi="Arial" w:cs="Arial"/>
          <w:color w:val="010000"/>
          <w:sz w:val="20"/>
        </w:rPr>
        <w:t>date</w:t>
      </w:r>
      <w:r w:rsidRPr="00A743FB">
        <w:rPr>
          <w:rFonts w:ascii="Arial" w:hAnsi="Arial" w:cs="Arial"/>
          <w:color w:val="010000"/>
          <w:sz w:val="20"/>
        </w:rPr>
        <w:t xml:space="preserve"> of additional share issuance: </w:t>
      </w:r>
    </w:p>
    <w:p w14:paraId="01A0399D" w14:textId="01476B5F" w:rsidR="00397F8E" w:rsidRPr="00A743FB" w:rsidRDefault="002260EF" w:rsidP="002260EF">
      <w:pPr>
        <w:numPr>
          <w:ilvl w:val="0"/>
          <w:numId w:val="7"/>
        </w:numPr>
        <w:pBdr>
          <w:top w:val="nil"/>
          <w:left w:val="nil"/>
          <w:bottom w:val="nil"/>
          <w:right w:val="nil"/>
          <w:between w:val="nil"/>
        </w:pBdr>
        <w:tabs>
          <w:tab w:val="left" w:pos="18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 xml:space="preserve">Expected issue date: immediately after being approved by the State Securities Commission (expected in </w:t>
      </w:r>
      <w:r w:rsidR="00A743FB" w:rsidRPr="00A743FB">
        <w:rPr>
          <w:rFonts w:ascii="Arial" w:hAnsi="Arial" w:cs="Arial"/>
          <w:color w:val="010000"/>
          <w:sz w:val="20"/>
        </w:rPr>
        <w:t>Q2/</w:t>
      </w:r>
      <w:r w:rsidRPr="00A743FB">
        <w:rPr>
          <w:rFonts w:ascii="Arial" w:hAnsi="Arial" w:cs="Arial"/>
          <w:color w:val="010000"/>
          <w:sz w:val="20"/>
        </w:rPr>
        <w:t xml:space="preserve">2024) and expected to complete the issuance in </w:t>
      </w:r>
      <w:r w:rsidR="00A743FB" w:rsidRPr="00A743FB">
        <w:rPr>
          <w:rFonts w:ascii="Arial" w:hAnsi="Arial" w:cs="Arial"/>
          <w:color w:val="010000"/>
          <w:sz w:val="20"/>
        </w:rPr>
        <w:t>Q4/</w:t>
      </w:r>
      <w:r w:rsidRPr="00A743FB">
        <w:rPr>
          <w:rFonts w:ascii="Arial" w:hAnsi="Arial" w:cs="Arial"/>
          <w:color w:val="010000"/>
          <w:sz w:val="20"/>
        </w:rPr>
        <w:t xml:space="preserve">2024. </w:t>
      </w:r>
    </w:p>
    <w:p w14:paraId="7ACEEAB6" w14:textId="77777777" w:rsidR="00397F8E" w:rsidRPr="00A743FB" w:rsidRDefault="002260EF" w:rsidP="002260EF">
      <w:pPr>
        <w:numPr>
          <w:ilvl w:val="0"/>
          <w:numId w:val="4"/>
        </w:numPr>
        <w:pBdr>
          <w:top w:val="nil"/>
          <w:left w:val="nil"/>
          <w:bottom w:val="nil"/>
          <w:right w:val="nil"/>
          <w:between w:val="nil"/>
        </w:pBdr>
        <w:tabs>
          <w:tab w:val="left" w:pos="180"/>
          <w:tab w:val="left" w:pos="360"/>
          <w:tab w:val="left" w:pos="540"/>
        </w:tabs>
        <w:spacing w:after="120" w:line="360" w:lineRule="auto"/>
        <w:rPr>
          <w:rFonts w:ascii="Arial" w:eastAsia="Arial" w:hAnsi="Arial" w:cs="Arial"/>
          <w:color w:val="010000"/>
          <w:sz w:val="20"/>
          <w:szCs w:val="20"/>
        </w:rPr>
      </w:pPr>
      <w:r w:rsidRPr="00A743FB">
        <w:rPr>
          <w:rFonts w:ascii="Arial" w:hAnsi="Arial" w:cs="Arial"/>
          <w:color w:val="010000"/>
          <w:sz w:val="20"/>
        </w:rPr>
        <w:t>The time may change depending on the approval progress of the state management agency.</w:t>
      </w:r>
    </w:p>
    <w:p w14:paraId="6F0F4E8A" w14:textId="2BEECA58" w:rsidR="00397F8E" w:rsidRPr="00A743FB" w:rsidRDefault="002260EF" w:rsidP="002260EF">
      <w:pPr>
        <w:numPr>
          <w:ilvl w:val="0"/>
          <w:numId w:val="2"/>
        </w:numPr>
        <w:pBdr>
          <w:top w:val="nil"/>
          <w:left w:val="nil"/>
          <w:bottom w:val="nil"/>
          <w:right w:val="nil"/>
          <w:between w:val="nil"/>
        </w:pBdr>
        <w:tabs>
          <w:tab w:val="left" w:pos="27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Issuance method</w:t>
      </w:r>
      <w:r w:rsidR="00A743FB" w:rsidRPr="00A743FB">
        <w:rPr>
          <w:rFonts w:ascii="Arial" w:hAnsi="Arial" w:cs="Arial"/>
          <w:color w:val="010000"/>
          <w:sz w:val="20"/>
        </w:rPr>
        <w:t>:</w:t>
      </w:r>
      <w:r w:rsidRPr="00A743FB">
        <w:rPr>
          <w:rFonts w:ascii="Arial" w:hAnsi="Arial" w:cs="Arial"/>
          <w:color w:val="010000"/>
          <w:sz w:val="20"/>
        </w:rPr>
        <w:t xml:space="preserve"> Issue directly to investors who satisfy the conditions prescribed by law.</w:t>
      </w:r>
    </w:p>
    <w:p w14:paraId="3944E444" w14:textId="557F0FE0" w:rsidR="00397F8E" w:rsidRPr="00A743FB" w:rsidRDefault="002260EF" w:rsidP="002260EF">
      <w:pPr>
        <w:numPr>
          <w:ilvl w:val="0"/>
          <w:numId w:val="2"/>
        </w:numPr>
        <w:pBdr>
          <w:top w:val="nil"/>
          <w:left w:val="nil"/>
          <w:bottom w:val="nil"/>
          <w:right w:val="nil"/>
          <w:between w:val="nil"/>
        </w:pBdr>
        <w:tabs>
          <w:tab w:val="left" w:pos="27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 xml:space="preserve">Number of offered investors: under 100 investors and ensure compliance with the maximum ownership </w:t>
      </w:r>
      <w:r w:rsidR="00A743FB" w:rsidRPr="00A743FB">
        <w:rPr>
          <w:rFonts w:ascii="Arial" w:hAnsi="Arial" w:cs="Arial"/>
          <w:color w:val="010000"/>
          <w:sz w:val="20"/>
        </w:rPr>
        <w:t>rate</w:t>
      </w:r>
      <w:r w:rsidRPr="00A743FB">
        <w:rPr>
          <w:rFonts w:ascii="Arial" w:hAnsi="Arial" w:cs="Arial"/>
          <w:color w:val="010000"/>
          <w:sz w:val="20"/>
        </w:rPr>
        <w:t xml:space="preserve"> of foreign investors at NCB at the time of issuance according to the provisions in the Charter.</w:t>
      </w:r>
    </w:p>
    <w:p w14:paraId="22F5E058" w14:textId="2BF93AA0" w:rsidR="00397F8E" w:rsidRPr="00A743FB" w:rsidRDefault="002260EF" w:rsidP="002260EF">
      <w:pPr>
        <w:numPr>
          <w:ilvl w:val="0"/>
          <w:numId w:val="2"/>
        </w:numPr>
        <w:pBdr>
          <w:top w:val="nil"/>
          <w:left w:val="nil"/>
          <w:bottom w:val="nil"/>
          <w:right w:val="nil"/>
          <w:between w:val="nil"/>
        </w:pBdr>
        <w:tabs>
          <w:tab w:val="left" w:pos="27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Approve the plan on ensuring the maximum foreign ownership rat</w:t>
      </w:r>
      <w:r w:rsidR="00A743FB" w:rsidRPr="00A743FB">
        <w:rPr>
          <w:rFonts w:ascii="Arial" w:hAnsi="Arial" w:cs="Arial"/>
          <w:color w:val="010000"/>
          <w:sz w:val="20"/>
        </w:rPr>
        <w:t>e</w:t>
      </w:r>
      <w:r w:rsidRPr="00A743FB">
        <w:rPr>
          <w:rFonts w:ascii="Arial" w:hAnsi="Arial" w:cs="Arial"/>
          <w:color w:val="010000"/>
          <w:sz w:val="20"/>
        </w:rPr>
        <w:t xml:space="preserve"> as prescribed by law:</w:t>
      </w:r>
    </w:p>
    <w:p w14:paraId="4DAC4910" w14:textId="769AEB02" w:rsidR="00397F8E" w:rsidRPr="00A743FB" w:rsidRDefault="002260EF" w:rsidP="002260EF">
      <w:pPr>
        <w:numPr>
          <w:ilvl w:val="0"/>
          <w:numId w:val="7"/>
        </w:numPr>
        <w:pBdr>
          <w:top w:val="nil"/>
          <w:left w:val="nil"/>
          <w:bottom w:val="nil"/>
          <w:right w:val="nil"/>
          <w:between w:val="nil"/>
        </w:pBdr>
        <w:tabs>
          <w:tab w:val="left" w:pos="270"/>
          <w:tab w:val="left" w:pos="360"/>
          <w:tab w:val="left" w:pos="1092"/>
        </w:tabs>
        <w:spacing w:after="120" w:line="360" w:lineRule="auto"/>
        <w:rPr>
          <w:rFonts w:ascii="Arial" w:eastAsia="Arial" w:hAnsi="Arial" w:cs="Arial"/>
          <w:color w:val="010000"/>
          <w:sz w:val="20"/>
          <w:szCs w:val="20"/>
        </w:rPr>
      </w:pPr>
      <w:r w:rsidRPr="00A743FB">
        <w:rPr>
          <w:rFonts w:ascii="Arial" w:hAnsi="Arial" w:cs="Arial"/>
          <w:color w:val="010000"/>
          <w:sz w:val="20"/>
        </w:rPr>
        <w:t>The maximum foreign ownership rat</w:t>
      </w:r>
      <w:r w:rsidR="00A743FB" w:rsidRPr="00A743FB">
        <w:rPr>
          <w:rFonts w:ascii="Arial" w:hAnsi="Arial" w:cs="Arial"/>
          <w:color w:val="010000"/>
          <w:sz w:val="20"/>
        </w:rPr>
        <w:t>e</w:t>
      </w:r>
      <w:r w:rsidRPr="00A743FB">
        <w:rPr>
          <w:rFonts w:ascii="Arial" w:hAnsi="Arial" w:cs="Arial"/>
          <w:color w:val="010000"/>
          <w:sz w:val="20"/>
        </w:rPr>
        <w:t xml:space="preserve"> according to the provisions of law (Law on Credit Institutions and Decree No. 01/2014/ND-CP) is 30%;</w:t>
      </w:r>
    </w:p>
    <w:p w14:paraId="657BD462" w14:textId="77777777" w:rsidR="00397F8E" w:rsidRPr="00A743FB" w:rsidRDefault="002260EF" w:rsidP="002260EF">
      <w:pPr>
        <w:numPr>
          <w:ilvl w:val="0"/>
          <w:numId w:val="7"/>
        </w:numPr>
        <w:pBdr>
          <w:top w:val="nil"/>
          <w:left w:val="nil"/>
          <w:bottom w:val="nil"/>
          <w:right w:val="nil"/>
          <w:between w:val="nil"/>
        </w:pBdr>
        <w:tabs>
          <w:tab w:val="left" w:pos="270"/>
          <w:tab w:val="left" w:pos="360"/>
          <w:tab w:val="left" w:pos="1092"/>
        </w:tabs>
        <w:spacing w:after="120" w:line="360" w:lineRule="auto"/>
        <w:rPr>
          <w:rFonts w:ascii="Arial" w:eastAsia="Arial" w:hAnsi="Arial" w:cs="Arial"/>
          <w:color w:val="010000"/>
          <w:sz w:val="20"/>
          <w:szCs w:val="20"/>
        </w:rPr>
      </w:pPr>
      <w:r w:rsidRPr="00A743FB">
        <w:rPr>
          <w:rFonts w:ascii="Arial" w:hAnsi="Arial" w:cs="Arial"/>
          <w:color w:val="010000"/>
          <w:sz w:val="20"/>
        </w:rPr>
        <w:t>Foreign ownership rate pursuant to the NCB Charter: 9% (lower than the rate prescribed by law);</w:t>
      </w:r>
    </w:p>
    <w:p w14:paraId="5A8FB12E" w14:textId="77777777" w:rsidR="00397F8E" w:rsidRPr="00A743FB" w:rsidRDefault="002260EF" w:rsidP="002260EF">
      <w:pPr>
        <w:numPr>
          <w:ilvl w:val="0"/>
          <w:numId w:val="7"/>
        </w:numPr>
        <w:pBdr>
          <w:top w:val="nil"/>
          <w:left w:val="nil"/>
          <w:bottom w:val="nil"/>
          <w:right w:val="nil"/>
          <w:between w:val="nil"/>
        </w:pBdr>
        <w:tabs>
          <w:tab w:val="left" w:pos="270"/>
          <w:tab w:val="left" w:pos="360"/>
          <w:tab w:val="left" w:pos="1112"/>
        </w:tabs>
        <w:spacing w:after="120" w:line="360" w:lineRule="auto"/>
        <w:rPr>
          <w:rFonts w:ascii="Arial" w:eastAsia="Arial" w:hAnsi="Arial" w:cs="Arial"/>
          <w:color w:val="010000"/>
          <w:sz w:val="20"/>
          <w:szCs w:val="20"/>
        </w:rPr>
      </w:pPr>
      <w:r w:rsidRPr="00A743FB">
        <w:rPr>
          <w:rFonts w:ascii="Arial" w:hAnsi="Arial" w:cs="Arial"/>
          <w:color w:val="010000"/>
          <w:sz w:val="20"/>
        </w:rPr>
        <w:t>Foreign ownership rate at NCB as of November 30, 2023: 4.01%;</w:t>
      </w:r>
    </w:p>
    <w:p w14:paraId="558D1C08" w14:textId="0A047EEE" w:rsidR="00397F8E" w:rsidRPr="00A743FB" w:rsidRDefault="002260EF" w:rsidP="002260EF">
      <w:pPr>
        <w:pBdr>
          <w:top w:val="nil"/>
          <w:left w:val="nil"/>
          <w:bottom w:val="nil"/>
          <w:right w:val="nil"/>
          <w:between w:val="nil"/>
        </w:pBdr>
        <w:tabs>
          <w:tab w:val="left" w:pos="27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The Board of Directors commits to ensur</w:t>
      </w:r>
      <w:r w:rsidR="00A743FB" w:rsidRPr="00A743FB">
        <w:rPr>
          <w:rFonts w:ascii="Arial" w:hAnsi="Arial" w:cs="Arial"/>
          <w:color w:val="010000"/>
          <w:sz w:val="20"/>
        </w:rPr>
        <w:t xml:space="preserve">ing </w:t>
      </w:r>
      <w:r w:rsidRPr="00A743FB">
        <w:rPr>
          <w:rFonts w:ascii="Arial" w:hAnsi="Arial" w:cs="Arial"/>
          <w:color w:val="010000"/>
          <w:sz w:val="20"/>
        </w:rPr>
        <w:t>that the issuance to investors meets the regulations on the maximum foreign ownership rat</w:t>
      </w:r>
      <w:r w:rsidR="00A743FB" w:rsidRPr="00A743FB">
        <w:rPr>
          <w:rFonts w:ascii="Arial" w:hAnsi="Arial" w:cs="Arial"/>
          <w:color w:val="010000"/>
          <w:sz w:val="20"/>
        </w:rPr>
        <w:t xml:space="preserve">e </w:t>
      </w:r>
      <w:r w:rsidRPr="00A743FB">
        <w:rPr>
          <w:rFonts w:ascii="Arial" w:hAnsi="Arial" w:cs="Arial"/>
          <w:color w:val="010000"/>
          <w:sz w:val="20"/>
        </w:rPr>
        <w:t>at NCB according to the Charter and the provisions of law at the time of issuance.</w:t>
      </w:r>
    </w:p>
    <w:p w14:paraId="21795572" w14:textId="77777777" w:rsidR="00397F8E" w:rsidRPr="00A743FB" w:rsidRDefault="002260EF" w:rsidP="002260EF">
      <w:pPr>
        <w:numPr>
          <w:ilvl w:val="0"/>
          <w:numId w:val="2"/>
        </w:numPr>
        <w:pBdr>
          <w:top w:val="nil"/>
          <w:left w:val="nil"/>
          <w:bottom w:val="nil"/>
          <w:right w:val="nil"/>
          <w:between w:val="nil"/>
        </w:pBdr>
        <w:tabs>
          <w:tab w:val="left" w:pos="27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Consultancy unit for the private placement: SSI Securities Corporation</w:t>
      </w:r>
    </w:p>
    <w:p w14:paraId="46CFB787" w14:textId="77777777" w:rsidR="00397F8E" w:rsidRPr="00A743FB" w:rsidRDefault="002260EF" w:rsidP="002260EF">
      <w:pPr>
        <w:numPr>
          <w:ilvl w:val="0"/>
          <w:numId w:val="2"/>
        </w:numPr>
        <w:pBdr>
          <w:top w:val="nil"/>
          <w:left w:val="nil"/>
          <w:bottom w:val="nil"/>
          <w:right w:val="nil"/>
          <w:between w:val="nil"/>
        </w:pBdr>
        <w:tabs>
          <w:tab w:val="left" w:pos="270"/>
          <w:tab w:val="left" w:pos="360"/>
        </w:tabs>
        <w:spacing w:after="120" w:line="360" w:lineRule="auto"/>
        <w:rPr>
          <w:rFonts w:ascii="Arial" w:eastAsia="Arial" w:hAnsi="Arial" w:cs="Arial"/>
          <w:color w:val="010000"/>
          <w:sz w:val="20"/>
          <w:szCs w:val="20"/>
        </w:rPr>
      </w:pPr>
      <w:r w:rsidRPr="00A743FB">
        <w:rPr>
          <w:rFonts w:ascii="Arial" w:hAnsi="Arial" w:cs="Arial"/>
          <w:color w:val="010000"/>
          <w:sz w:val="20"/>
        </w:rPr>
        <w:t>Through the additional registration and listing of additional shares issued at the Vietnam Securities Depository and the Hanoi Stock Exchange immediately after completing the issuance in accordance with current law./.</w:t>
      </w:r>
    </w:p>
    <w:sectPr w:rsidR="00397F8E" w:rsidRPr="00A743FB" w:rsidSect="002260EF">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lay">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E6B9F"/>
    <w:multiLevelType w:val="multilevel"/>
    <w:tmpl w:val="8FC03D86"/>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0C70BF3"/>
    <w:multiLevelType w:val="multilevel"/>
    <w:tmpl w:val="81C03AC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66A50C9"/>
    <w:multiLevelType w:val="multilevel"/>
    <w:tmpl w:val="2348E94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8DD26EC"/>
    <w:multiLevelType w:val="multilevel"/>
    <w:tmpl w:val="ED020D2A"/>
    <w:lvl w:ilvl="0">
      <w:start w:val="1"/>
      <w:numFmt w:val="bullet"/>
      <w:lvlText w:val="-"/>
      <w:lvlJc w:val="left"/>
      <w:pPr>
        <w:ind w:left="1080" w:hanging="360"/>
      </w:pPr>
      <w:rPr>
        <w:rFonts w:ascii="Play" w:eastAsia="Play" w:hAnsi="Play" w:cs="Play"/>
        <w:b w:val="0"/>
        <w:i w:val="0"/>
        <w:sz w:val="20"/>
      </w:rPr>
    </w:lvl>
    <w:lvl w:ilvl="1">
      <w:start w:val="1"/>
      <w:numFmt w:val="bullet"/>
      <w:lvlText w:val="o"/>
      <w:lvlJc w:val="left"/>
      <w:pPr>
        <w:ind w:left="1800" w:hanging="360"/>
      </w:pPr>
      <w:rPr>
        <w:rFonts w:ascii="Courier New" w:eastAsia="Courier New" w:hAnsi="Courier New" w:cs="Courier New"/>
        <w:b w:val="0"/>
        <w:i w:val="0"/>
        <w:sz w:val="20"/>
      </w:rPr>
    </w:lvl>
    <w:lvl w:ilvl="2">
      <w:start w:val="1"/>
      <w:numFmt w:val="bullet"/>
      <w:lvlText w:val="▪"/>
      <w:lvlJc w:val="left"/>
      <w:pPr>
        <w:ind w:left="2520" w:hanging="360"/>
      </w:pPr>
      <w:rPr>
        <w:rFonts w:ascii="Noto Sans Symbols" w:eastAsia="Noto Sans Symbols" w:hAnsi="Noto Sans Symbols" w:cs="Noto Sans Symbols"/>
        <w:b w:val="0"/>
        <w:i w:val="0"/>
        <w:sz w:val="20"/>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DA22406"/>
    <w:multiLevelType w:val="multilevel"/>
    <w:tmpl w:val="82BE4B5C"/>
    <w:lvl w:ilvl="0">
      <w:start w:val="4"/>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966200D"/>
    <w:multiLevelType w:val="multilevel"/>
    <w:tmpl w:val="90C4256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E94209E"/>
    <w:multiLevelType w:val="multilevel"/>
    <w:tmpl w:val="48E4DB7A"/>
    <w:lvl w:ilvl="0">
      <w:start w:val="5"/>
      <w:numFmt w:val="decimal"/>
      <w:lvlText w:val="%1."/>
      <w:lvlJc w:val="left"/>
      <w:pPr>
        <w:ind w:left="360" w:hanging="360"/>
      </w:pPr>
      <w:rPr>
        <w:b w:val="0"/>
        <w:i w:val="0"/>
        <w:sz w:val="20"/>
      </w:rPr>
    </w:lvl>
    <w:lvl w:ilvl="1">
      <w:start w:val="1"/>
      <w:numFmt w:val="decimal"/>
      <w:lvlText w:val="%1.%2."/>
      <w:lvlJc w:val="left"/>
      <w:pPr>
        <w:ind w:left="360" w:hanging="360"/>
      </w:pPr>
      <w:rPr>
        <w:b w:val="0"/>
        <w:i w:val="0"/>
        <w:sz w:val="20"/>
      </w:rPr>
    </w:lvl>
    <w:lvl w:ilvl="2">
      <w:start w:val="1"/>
      <w:numFmt w:val="decimal"/>
      <w:lvlText w:val="%1.%2.%3."/>
      <w:lvlJc w:val="left"/>
      <w:pPr>
        <w:ind w:left="720" w:hanging="720"/>
      </w:pPr>
      <w:rPr>
        <w:b w:val="0"/>
        <w:i w:val="0"/>
        <w:sz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8F42B16"/>
    <w:multiLevelType w:val="multilevel"/>
    <w:tmpl w:val="27F4477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753377F3"/>
    <w:multiLevelType w:val="multilevel"/>
    <w:tmpl w:val="FDF8B934"/>
    <w:lvl w:ilvl="0">
      <w:start w:val="6"/>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8"/>
  </w:num>
  <w:num w:numId="3">
    <w:abstractNumId w:val="3"/>
  </w:num>
  <w:num w:numId="4">
    <w:abstractNumId w:val="7"/>
  </w:num>
  <w:num w:numId="5">
    <w:abstractNumId w:val="0"/>
  </w:num>
  <w:num w:numId="6">
    <w:abstractNumId w:val="6"/>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F8E"/>
    <w:rsid w:val="002260EF"/>
    <w:rsid w:val="00397F8E"/>
    <w:rsid w:val="00A245C9"/>
    <w:rsid w:val="00A743FB"/>
    <w:rsid w:val="00AB2210"/>
    <w:rsid w:val="00B66FFD"/>
    <w:rsid w:val="00D13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2B1F6"/>
  <w15:docId w15:val="{F481784B-379F-4CCD-B70D-8AFEE76A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f9Y7/nwriyCAIvsOBUB4pXcakQ==">CgMxLjAyCWlkLmdqZGd4czIKaWQuMWZvYjl0ZTIKaWQuM3pueXNoNzIKaWQuMmV0OTJwMDIJaWQudHlqY3d0MgppZC4zZHk2dmttMgppZC4xdDNoNXNmMglo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4AHIhMTc2M2JxT1FOT01aZVZZVEpwYnMtQUd5X0xVdEpQcW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918</Words>
  <Characters>5023</Characters>
  <Application>Microsoft Office Word</Application>
  <DocSecurity>0</DocSecurity>
  <Lines>111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7</cp:revision>
  <dcterms:created xsi:type="dcterms:W3CDTF">2023-12-18T03:56:00Z</dcterms:created>
  <dcterms:modified xsi:type="dcterms:W3CDTF">2023-12-19T02:07:00Z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4e1ce2905c76f392975db3e64be1ee0d8c350eb9aae02db2bfd3b445d4a6f994</vt:lpwstr>
  </property>
</Properties>
</file>