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E95E" w14:textId="7D5452AA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8523B">
        <w:rPr>
          <w:rFonts w:ascii="Arial" w:hAnsi="Arial" w:cs="Arial"/>
          <w:b/>
          <w:color w:val="010000"/>
          <w:sz w:val="20"/>
        </w:rPr>
        <w:t xml:space="preserve">DHT: </w:t>
      </w:r>
      <w:r w:rsidR="00DB6D99" w:rsidRPr="00F8523B">
        <w:rPr>
          <w:rFonts w:ascii="Arial" w:hAnsi="Arial" w:cs="Arial"/>
          <w:b/>
          <w:color w:val="010000"/>
          <w:sz w:val="20"/>
        </w:rPr>
        <w:t>Notice</w:t>
      </w:r>
      <w:r w:rsidRPr="00F8523B">
        <w:rPr>
          <w:rFonts w:ascii="Arial" w:hAnsi="Arial" w:cs="Arial"/>
          <w:b/>
          <w:color w:val="010000"/>
          <w:sz w:val="20"/>
        </w:rPr>
        <w:t xml:space="preserve"> on</w:t>
      </w:r>
      <w:r w:rsidR="00DB6D99" w:rsidRPr="00F8523B">
        <w:rPr>
          <w:rFonts w:ascii="Arial" w:hAnsi="Arial" w:cs="Arial"/>
          <w:b/>
          <w:color w:val="010000"/>
          <w:sz w:val="20"/>
        </w:rPr>
        <w:t xml:space="preserve"> the</w:t>
      </w:r>
      <w:r w:rsidRPr="00F8523B">
        <w:rPr>
          <w:rFonts w:ascii="Arial" w:hAnsi="Arial" w:cs="Arial"/>
          <w:b/>
          <w:color w:val="010000"/>
          <w:sz w:val="20"/>
        </w:rPr>
        <w:t xml:space="preserve"> private placement</w:t>
      </w:r>
    </w:p>
    <w:p w14:paraId="264A90F1" w14:textId="7B6D6532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 xml:space="preserve">On December 15, 2023, HaTay Pharmaceutical JSC announced Notice No. 1195/TB-DHT on </w:t>
      </w:r>
      <w:r w:rsidR="0029373F" w:rsidRPr="00F8523B">
        <w:rPr>
          <w:rFonts w:ascii="Arial" w:hAnsi="Arial" w:cs="Arial"/>
          <w:color w:val="010000"/>
          <w:sz w:val="20"/>
        </w:rPr>
        <w:t>the</w:t>
      </w:r>
      <w:r w:rsidRPr="00F8523B">
        <w:rPr>
          <w:rFonts w:ascii="Arial" w:hAnsi="Arial" w:cs="Arial"/>
          <w:color w:val="010000"/>
          <w:sz w:val="20"/>
        </w:rPr>
        <w:t xml:space="preserve"> private placement of shares as follows:</w:t>
      </w:r>
    </w:p>
    <w:p w14:paraId="15A74692" w14:textId="096AC88E" w:rsidR="0025742E" w:rsidRPr="00F8523B" w:rsidRDefault="00394A39" w:rsidP="00F8523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74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 xml:space="preserve">Plan of </w:t>
      </w:r>
      <w:r w:rsidR="0029373F" w:rsidRPr="00F8523B">
        <w:rPr>
          <w:rFonts w:ascii="Arial" w:hAnsi="Arial" w:cs="Arial"/>
          <w:color w:val="010000"/>
          <w:sz w:val="20"/>
        </w:rPr>
        <w:t xml:space="preserve">the </w:t>
      </w:r>
      <w:r w:rsidRPr="00F8523B">
        <w:rPr>
          <w:rFonts w:ascii="Arial" w:hAnsi="Arial" w:cs="Arial"/>
          <w:color w:val="010000"/>
          <w:sz w:val="20"/>
        </w:rPr>
        <w:t>private placement to increase charter capital:</w:t>
      </w:r>
    </w:p>
    <w:p w14:paraId="4D4AFA6C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Share name: Share of HaTay Pharmaceutical JSC</w:t>
      </w:r>
    </w:p>
    <w:p w14:paraId="5075E197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Share type: Common share;</w:t>
      </w:r>
    </w:p>
    <w:p w14:paraId="555C4E52" w14:textId="0BDC73E0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Total number of issued shares: 73,941,773 shares.</w:t>
      </w:r>
    </w:p>
    <w:p w14:paraId="51359247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Total number of outstanding shares: 73,940,260 shares.</w:t>
      </w:r>
    </w:p>
    <w:p w14:paraId="0F399C9D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Total value of outstanding shares (calculated at par value or market price at the reporting time (if any): VND 739,402,600,000</w:t>
      </w:r>
    </w:p>
    <w:p w14:paraId="3039FF50" w14:textId="609CA9A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Characteristics (specified characteristics or rights attached): None.</w:t>
      </w:r>
    </w:p>
    <w:p w14:paraId="3C047675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Total treasury shares: 1,513 shares.</w:t>
      </w:r>
    </w:p>
    <w:p w14:paraId="12412A8B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Par value: VND 10,000/share;</w:t>
      </w:r>
    </w:p>
    <w:p w14:paraId="6909C746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Expected maximum offer price: VND 21,500/share;</w:t>
      </w:r>
    </w:p>
    <w:p w14:paraId="372EABC9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Expected minimum offer price: VND 21,500/share;</w:t>
      </w:r>
    </w:p>
    <w:p w14:paraId="14811251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Number of shares registered for offering: 8,400,000</w:t>
      </w:r>
    </w:p>
    <w:p w14:paraId="36A86E2A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Total expected mobilized amount: VND 180,600,000,000</w:t>
      </w:r>
    </w:p>
    <w:p w14:paraId="769718B2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Terms for warrants attached to preferred shares: None</w:t>
      </w:r>
    </w:p>
    <w:p w14:paraId="1D9B63E5" w14:textId="7525631A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Number of shares registered for offering/Total number of outstanding shares: 11.36%</w:t>
      </w:r>
    </w:p>
    <w:p w14:paraId="6D540C26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8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Offering purposes:</w:t>
      </w:r>
    </w:p>
    <w:p w14:paraId="4C630457" w14:textId="77777777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All proceeds from the offering will be used for the following contents: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3"/>
        <w:gridCol w:w="8068"/>
        <w:gridCol w:w="4717"/>
      </w:tblGrid>
      <w:tr w:rsidR="0025742E" w:rsidRPr="00F8523B" w14:paraId="78A1A622" w14:textId="77777777" w:rsidTr="00F8523B">
        <w:tc>
          <w:tcPr>
            <w:tcW w:w="417" w:type="pct"/>
            <w:shd w:val="clear" w:color="auto" w:fill="auto"/>
            <w:vAlign w:val="center"/>
          </w:tcPr>
          <w:p w14:paraId="0DAA653C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5CFA6A4A" w14:textId="2355FE71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Capital use purpose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0DCC7B44" w14:textId="60565B32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 xml:space="preserve">Expected </w:t>
            </w:r>
            <w:r w:rsidR="0029373F" w:rsidRPr="00F8523B">
              <w:rPr>
                <w:rFonts w:ascii="Arial" w:hAnsi="Arial" w:cs="Arial"/>
                <w:color w:val="010000"/>
                <w:sz w:val="20"/>
              </w:rPr>
              <w:t>amount</w:t>
            </w:r>
            <w:r w:rsidRPr="00F8523B">
              <w:rPr>
                <w:rFonts w:ascii="Arial" w:hAnsi="Arial" w:cs="Arial"/>
                <w:color w:val="010000"/>
                <w:sz w:val="20"/>
              </w:rPr>
              <w:t xml:space="preserve"> (VND)</w:t>
            </w:r>
          </w:p>
        </w:tc>
      </w:tr>
      <w:tr w:rsidR="0025742E" w:rsidRPr="00F8523B" w14:paraId="66731B5E" w14:textId="77777777" w:rsidTr="00F8523B">
        <w:tc>
          <w:tcPr>
            <w:tcW w:w="417" w:type="pct"/>
            <w:shd w:val="clear" w:color="auto" w:fill="auto"/>
            <w:vAlign w:val="center"/>
          </w:tcPr>
          <w:p w14:paraId="6C6F5CA9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0742B868" w14:textId="70CD1CBB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 xml:space="preserve">High-Tech </w:t>
            </w:r>
            <w:r w:rsidR="0029373F" w:rsidRPr="00F8523B">
              <w:rPr>
                <w:rFonts w:ascii="Arial" w:hAnsi="Arial" w:cs="Arial"/>
                <w:color w:val="010000"/>
                <w:sz w:val="20"/>
              </w:rPr>
              <w:t>Hataphar</w:t>
            </w:r>
            <w:r w:rsidR="0029373F" w:rsidRPr="00F852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8523B">
              <w:rPr>
                <w:rFonts w:ascii="Arial" w:hAnsi="Arial" w:cs="Arial"/>
                <w:color w:val="010000"/>
                <w:sz w:val="20"/>
              </w:rPr>
              <w:t xml:space="preserve">Pharmaceutical Manufacturing </w:t>
            </w:r>
            <w:r w:rsidR="0029373F" w:rsidRPr="00F8523B">
              <w:rPr>
                <w:rFonts w:ascii="Arial" w:hAnsi="Arial" w:cs="Arial"/>
                <w:color w:val="010000"/>
                <w:sz w:val="20"/>
              </w:rPr>
              <w:t>Factory</w:t>
            </w:r>
            <w:r w:rsidRPr="00F8523B">
              <w:rPr>
                <w:rFonts w:ascii="Arial" w:hAnsi="Arial" w:cs="Arial"/>
                <w:color w:val="010000"/>
                <w:sz w:val="20"/>
              </w:rPr>
              <w:t xml:space="preserve"> Project.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25A92EBF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78,387,000,000</w:t>
            </w:r>
          </w:p>
        </w:tc>
      </w:tr>
      <w:tr w:rsidR="0025742E" w:rsidRPr="00F8523B" w14:paraId="341F4244" w14:textId="77777777" w:rsidTr="00F8523B">
        <w:tc>
          <w:tcPr>
            <w:tcW w:w="417" w:type="pct"/>
            <w:shd w:val="clear" w:color="auto" w:fill="auto"/>
            <w:vAlign w:val="center"/>
          </w:tcPr>
          <w:p w14:paraId="68EDD803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0784D664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Restructure liabilities to improve the capital autonomy and reduce financial pressure on the Company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0E217201" w14:textId="350EF304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102,213,000,000</w:t>
            </w:r>
          </w:p>
        </w:tc>
      </w:tr>
      <w:tr w:rsidR="0025742E" w:rsidRPr="00F8523B" w14:paraId="4554877A" w14:textId="77777777" w:rsidTr="00F8523B">
        <w:tc>
          <w:tcPr>
            <w:tcW w:w="417" w:type="pct"/>
            <w:shd w:val="clear" w:color="auto" w:fill="auto"/>
            <w:vAlign w:val="center"/>
          </w:tcPr>
          <w:p w14:paraId="2E3E037F" w14:textId="77777777" w:rsidR="0025742E" w:rsidRPr="00F8523B" w:rsidRDefault="0025742E" w:rsidP="00F8523B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92" w:type="pct"/>
            <w:shd w:val="clear" w:color="auto" w:fill="auto"/>
            <w:vAlign w:val="center"/>
          </w:tcPr>
          <w:p w14:paraId="1C18DBFB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00BBF28C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180,600,000,000</w:t>
            </w:r>
          </w:p>
        </w:tc>
      </w:tr>
    </w:tbl>
    <w:p w14:paraId="56DE2A03" w14:textId="6469C16B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 xml:space="preserve">1.1 Investment in the </w:t>
      </w:r>
      <w:r w:rsidR="0029373F" w:rsidRPr="00F8523B">
        <w:rPr>
          <w:rFonts w:ascii="Arial" w:hAnsi="Arial" w:cs="Arial"/>
          <w:color w:val="010000"/>
          <w:sz w:val="20"/>
        </w:rPr>
        <w:t>High-Tech Hataphar Pharmaceutical Manufacturing Factory Project</w:t>
      </w:r>
      <w:r w:rsidR="0029373F" w:rsidRPr="00F8523B">
        <w:rPr>
          <w:rFonts w:ascii="Arial" w:hAnsi="Arial" w:cs="Arial"/>
          <w:color w:val="010000"/>
          <w:sz w:val="20"/>
        </w:rPr>
        <w:t>:</w:t>
      </w:r>
      <w:r w:rsidRPr="00F8523B">
        <w:rPr>
          <w:rFonts w:ascii="Arial" w:hAnsi="Arial" w:cs="Arial"/>
          <w:color w:val="010000"/>
          <w:sz w:val="20"/>
        </w:rPr>
        <w:t xml:space="preserve"> VND 78,387,000,000 </w:t>
      </w:r>
    </w:p>
    <w:p w14:paraId="23FEA077" w14:textId="77777777" w:rsidR="0025742E" w:rsidRPr="00F8523B" w:rsidRDefault="00394A39" w:rsidP="00F8523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6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Legal Basis Related to the Project.</w:t>
      </w:r>
    </w:p>
    <w:p w14:paraId="7A5EB3DE" w14:textId="77777777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Decision No. 163/QD-CNCHL dated October 7, 2020, by the Management Board of Hoa Lac High-Tech Park;</w:t>
      </w:r>
    </w:p>
    <w:p w14:paraId="1E274629" w14:textId="77777777" w:rsidR="0025742E" w:rsidRPr="00F8523B" w:rsidRDefault="00394A39" w:rsidP="00F852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6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Basic Information of the Project.</w:t>
      </w:r>
    </w:p>
    <w:p w14:paraId="63BB45C5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Investor’s name: HaTay Pharmaceutical JSC</w:t>
      </w:r>
    </w:p>
    <w:p w14:paraId="22707D38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The address of the investor's headquarters: No. 10 A Quang Trung Street, Quang Trung Ward, Ha Dong District, Hanoi City</w:t>
      </w:r>
    </w:p>
    <w:p w14:paraId="5080A156" w14:textId="745AA2B3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The operational management and</w:t>
      </w:r>
      <w:r w:rsidR="0029373F" w:rsidRPr="00F8523B">
        <w:rPr>
          <w:rFonts w:ascii="Arial" w:hAnsi="Arial" w:cs="Arial"/>
          <w:color w:val="010000"/>
          <w:sz w:val="20"/>
        </w:rPr>
        <w:t xml:space="preserve"> implementation</w:t>
      </w:r>
      <w:r w:rsidRPr="00F8523B">
        <w:rPr>
          <w:rFonts w:ascii="Arial" w:hAnsi="Arial" w:cs="Arial"/>
          <w:color w:val="010000"/>
          <w:sz w:val="20"/>
        </w:rPr>
        <w:t xml:space="preserve"> unit of the project: The investor organizes management and operations.</w:t>
      </w:r>
    </w:p>
    <w:p w14:paraId="71BA51D5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Construction site: An area of 45,166 square meters located at lots CN1-3A-1, CN1-03A-2, and CN1-03A-3 within Lot CN1-03A of High-Tech Industrial Zone 1 - Hoa Lac High-Tech Park, Km 29 Thang Long Boulevard, Thach That District, Hanoi.</w:t>
      </w:r>
    </w:p>
    <w:p w14:paraId="13E2404F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Project scale.</w:t>
      </w:r>
    </w:p>
    <w:p w14:paraId="69C9C7C6" w14:textId="1C34031B" w:rsidR="0025742E" w:rsidRPr="00F8523B" w:rsidRDefault="00394A39" w:rsidP="00F852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ab/>
        <w:t xml:space="preserve"> Projected production scale and expected products: </w:t>
      </w:r>
      <w:r w:rsidR="0029373F" w:rsidRPr="00F8523B">
        <w:rPr>
          <w:rFonts w:ascii="Arial" w:hAnsi="Arial" w:cs="Arial"/>
          <w:color w:val="010000"/>
          <w:sz w:val="20"/>
        </w:rPr>
        <w:t>Modern medicines</w:t>
      </w:r>
      <w:r w:rsidRPr="00F8523B">
        <w:rPr>
          <w:rFonts w:ascii="Arial" w:hAnsi="Arial" w:cs="Arial"/>
          <w:color w:val="010000"/>
          <w:sz w:val="20"/>
        </w:rPr>
        <w:t xml:space="preserve"> (estimated 2 billion product units/year), hormone-containing drugs (estimated 2 billion product units/year), and herbal medicine (estimated 700 million product units/year);</w:t>
      </w:r>
    </w:p>
    <w:p w14:paraId="7D01F628" w14:textId="40E4835C" w:rsidR="0025742E" w:rsidRPr="00F8523B" w:rsidRDefault="00394A39" w:rsidP="00F852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ab/>
        <w:t xml:space="preserve"> Expected </w:t>
      </w:r>
      <w:r w:rsidR="0029373F" w:rsidRPr="00F8523B">
        <w:rPr>
          <w:rFonts w:ascii="Arial" w:hAnsi="Arial" w:cs="Arial"/>
          <w:color w:val="010000"/>
          <w:sz w:val="20"/>
        </w:rPr>
        <w:t>personnel</w:t>
      </w:r>
      <w:r w:rsidRPr="00F8523B">
        <w:rPr>
          <w:rFonts w:ascii="Arial" w:hAnsi="Arial" w:cs="Arial"/>
          <w:color w:val="010000"/>
          <w:sz w:val="20"/>
        </w:rPr>
        <w:t xml:space="preserve"> scale: 349 employees during the stable phase of the project.</w:t>
      </w:r>
    </w:p>
    <w:p w14:paraId="4F4D46B4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5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 xml:space="preserve">Total estimated investment: VND 1,283,120,000,000 </w:t>
      </w:r>
    </w:p>
    <w:p w14:paraId="629E5010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5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The total disbursed capital to date: VND 656,618,141,985</w:t>
      </w:r>
    </w:p>
    <w:p w14:paraId="6E726C7F" w14:textId="77777777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5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lastRenderedPageBreak/>
        <w:t>The actual project implementation progress as of June 30, 2023: Currently implementing Phase 1 as follows:</w:t>
      </w:r>
    </w:p>
    <w:p w14:paraId="36B9398D" w14:textId="77777777" w:rsidR="0025742E" w:rsidRPr="00F8523B" w:rsidRDefault="00394A39" w:rsidP="00F852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Total investment of stage 1: VND 790,037,646,951 (Value added tax included).</w:t>
      </w:r>
    </w:p>
    <w:p w14:paraId="7AE1A1F9" w14:textId="69985DC0" w:rsidR="0025742E" w:rsidRPr="00F8523B" w:rsidRDefault="0029373F" w:rsidP="00F852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D</w:t>
      </w:r>
      <w:r w:rsidR="00394A39" w:rsidRPr="00F8523B">
        <w:rPr>
          <w:rFonts w:ascii="Arial" w:hAnsi="Arial" w:cs="Arial"/>
          <w:color w:val="010000"/>
          <w:sz w:val="20"/>
        </w:rPr>
        <w:t>isbursed (Phase 1): VND 656,618,141,985 (Value added tax included).</w:t>
      </w:r>
    </w:p>
    <w:p w14:paraId="3D0FBFCC" w14:textId="15518537" w:rsidR="0025742E" w:rsidRPr="00F8523B" w:rsidRDefault="00394A39" w:rsidP="00F852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Capital needed (Phase 1): VND 133,419,504,966</w:t>
      </w:r>
    </w:p>
    <w:p w14:paraId="203DD625" w14:textId="198DC29D" w:rsidR="0025742E" w:rsidRPr="00F8523B" w:rsidRDefault="00394A39" w:rsidP="00F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5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The capital requirement to complete Phase 1 is VND 133,419,504,966. Therefore, the entire amount received in 1.1. will be used for project investment.</w:t>
      </w:r>
    </w:p>
    <w:p w14:paraId="7F4D0588" w14:textId="7370491F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1.2. Restructure liabilities to improve the capital autonomy and reduce financial pressure on the Company</w:t>
      </w:r>
      <w:r w:rsidR="0029373F" w:rsidRPr="00F8523B">
        <w:rPr>
          <w:rFonts w:ascii="Arial" w:hAnsi="Arial" w:cs="Arial"/>
          <w:color w:val="010000"/>
          <w:sz w:val="20"/>
        </w:rPr>
        <w:t>:</w:t>
      </w:r>
      <w:r w:rsidRPr="00F8523B">
        <w:rPr>
          <w:rFonts w:ascii="Arial" w:hAnsi="Arial" w:cs="Arial"/>
          <w:color w:val="010000"/>
          <w:sz w:val="20"/>
        </w:rPr>
        <w:t xml:space="preserve"> VND 115,424,998,316</w:t>
      </w:r>
    </w:p>
    <w:p w14:paraId="48DA262C" w14:textId="77777777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The planned restructuring of loans/loan contracts by the Company is detailed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1"/>
        <w:gridCol w:w="4413"/>
        <w:gridCol w:w="2748"/>
        <w:gridCol w:w="3724"/>
        <w:gridCol w:w="2062"/>
      </w:tblGrid>
      <w:tr w:rsidR="0025742E" w:rsidRPr="00F8523B" w14:paraId="1484CCA4" w14:textId="77777777" w:rsidTr="00F8523B">
        <w:tc>
          <w:tcPr>
            <w:tcW w:w="359" w:type="pct"/>
            <w:shd w:val="clear" w:color="auto" w:fill="auto"/>
            <w:vAlign w:val="center"/>
          </w:tcPr>
          <w:p w14:paraId="73F731E2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2" w:type="pct"/>
            <w:shd w:val="clear" w:color="auto" w:fill="auto"/>
            <w:vAlign w:val="center"/>
          </w:tcPr>
          <w:p w14:paraId="6D41AB60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Loan contract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B5880E2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  <w:tab w:val="left" w:pos="109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Relation with DHT, related person of DHT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5D550D15" w14:textId="0784AA29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  <w:tab w:val="left" w:pos="15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The value of the debt/contract (VND)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2E3B433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Expected debt repayment time</w:t>
            </w:r>
          </w:p>
        </w:tc>
      </w:tr>
      <w:tr w:rsidR="0025742E" w:rsidRPr="00F8523B" w14:paraId="3FEFDD6B" w14:textId="77777777" w:rsidTr="00F8523B">
        <w:tc>
          <w:tcPr>
            <w:tcW w:w="359" w:type="pct"/>
            <w:shd w:val="clear" w:color="auto" w:fill="auto"/>
            <w:vAlign w:val="center"/>
          </w:tcPr>
          <w:p w14:paraId="45AB6753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2" w:type="pct"/>
            <w:shd w:val="clear" w:color="auto" w:fill="auto"/>
            <w:vAlign w:val="center"/>
          </w:tcPr>
          <w:p w14:paraId="5BA7BA63" w14:textId="2742AFAB" w:rsidR="0025742E" w:rsidRPr="00F8523B" w:rsidRDefault="0029373F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  <w:tab w:val="left" w:pos="201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MUFG Bank, LTD</w:t>
            </w:r>
            <w:r w:rsidR="00394A39" w:rsidRPr="00F8523B">
              <w:rPr>
                <w:rFonts w:ascii="Arial" w:hAnsi="Arial" w:cs="Arial"/>
                <w:color w:val="010000"/>
                <w:sz w:val="20"/>
              </w:rPr>
              <w:t>. - Hanoi City Branch (Long-term credit contract No. FL/053/22 dated August 2, 2022).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CA63CA2" w14:textId="79F35805" w:rsidR="0025742E" w:rsidRPr="00F8523B" w:rsidRDefault="0029373F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eastAsia="Arial" w:hAnsi="Arial" w:cs="Arial"/>
                <w:color w:val="010000"/>
                <w:sz w:val="20"/>
                <w:szCs w:val="20"/>
              </w:rPr>
              <w:t>None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28AAC329" w14:textId="4E221AA0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115,424,998,316 (*)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A0DD6A2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Q4/2023</w:t>
            </w:r>
          </w:p>
        </w:tc>
      </w:tr>
      <w:tr w:rsidR="0025742E" w:rsidRPr="00F8523B" w14:paraId="60C3D4E7" w14:textId="77777777" w:rsidTr="00F8523B">
        <w:tc>
          <w:tcPr>
            <w:tcW w:w="359" w:type="pct"/>
            <w:shd w:val="clear" w:color="auto" w:fill="auto"/>
            <w:vAlign w:val="center"/>
          </w:tcPr>
          <w:p w14:paraId="700E202B" w14:textId="77777777" w:rsidR="0025742E" w:rsidRPr="00F8523B" w:rsidRDefault="0025742E" w:rsidP="00F8523B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14:paraId="68F50AB4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BA8899D" w14:textId="77777777" w:rsidR="0025742E" w:rsidRPr="00F8523B" w:rsidRDefault="0025742E" w:rsidP="00F8523B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14:paraId="2BB406EE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115,424,998,316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47AA976" w14:textId="77777777" w:rsidR="0025742E" w:rsidRPr="00F8523B" w:rsidRDefault="0025742E" w:rsidP="00F8523B">
            <w:pP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3CB953B" w14:textId="6B3E7546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(*) The outstanding loan balance according to the</w:t>
      </w:r>
      <w:r w:rsidR="0029373F" w:rsidRPr="00F8523B">
        <w:rPr>
          <w:rFonts w:ascii="Arial" w:hAnsi="Arial" w:cs="Arial"/>
          <w:color w:val="010000"/>
          <w:sz w:val="20"/>
        </w:rPr>
        <w:t xml:space="preserve"> Semi-annual</w:t>
      </w:r>
      <w:r w:rsidRPr="00F8523B">
        <w:rPr>
          <w:rFonts w:ascii="Arial" w:hAnsi="Arial" w:cs="Arial"/>
          <w:color w:val="010000"/>
          <w:sz w:val="20"/>
        </w:rPr>
        <w:t xml:space="preserve"> </w:t>
      </w:r>
      <w:r w:rsidR="0029373F" w:rsidRPr="00F8523B">
        <w:rPr>
          <w:rFonts w:ascii="Arial" w:hAnsi="Arial" w:cs="Arial"/>
          <w:color w:val="010000"/>
          <w:sz w:val="20"/>
        </w:rPr>
        <w:t>S</w:t>
      </w:r>
      <w:r w:rsidRPr="00F8523B">
        <w:rPr>
          <w:rFonts w:ascii="Arial" w:hAnsi="Arial" w:cs="Arial"/>
          <w:color w:val="010000"/>
          <w:sz w:val="20"/>
        </w:rPr>
        <w:t xml:space="preserve">eparate </w:t>
      </w:r>
      <w:r w:rsidR="0029373F" w:rsidRPr="00F8523B">
        <w:rPr>
          <w:rFonts w:ascii="Arial" w:hAnsi="Arial" w:cs="Arial"/>
          <w:color w:val="010000"/>
          <w:sz w:val="20"/>
        </w:rPr>
        <w:t>Financial Statements of the Holding</w:t>
      </w:r>
      <w:r w:rsidRPr="00F8523B">
        <w:rPr>
          <w:rFonts w:ascii="Arial" w:hAnsi="Arial" w:cs="Arial"/>
          <w:color w:val="010000"/>
          <w:sz w:val="20"/>
        </w:rPr>
        <w:t xml:space="preserve"> </w:t>
      </w:r>
      <w:r w:rsidR="0029373F" w:rsidRPr="00F8523B">
        <w:rPr>
          <w:rFonts w:ascii="Arial" w:hAnsi="Arial" w:cs="Arial"/>
          <w:color w:val="010000"/>
          <w:sz w:val="20"/>
        </w:rPr>
        <w:t>C</w:t>
      </w:r>
      <w:r w:rsidRPr="00F8523B">
        <w:rPr>
          <w:rFonts w:ascii="Arial" w:hAnsi="Arial" w:cs="Arial"/>
          <w:color w:val="010000"/>
          <w:sz w:val="20"/>
        </w:rPr>
        <w:t>ompany</w:t>
      </w:r>
      <w:r w:rsidR="0029373F" w:rsidRPr="00F8523B">
        <w:rPr>
          <w:rFonts w:ascii="Arial" w:hAnsi="Arial" w:cs="Arial"/>
          <w:color w:val="010000"/>
          <w:sz w:val="20"/>
        </w:rPr>
        <w:t xml:space="preserve"> reviewed on</w:t>
      </w:r>
      <w:r w:rsidRPr="00F8523B">
        <w:rPr>
          <w:rFonts w:ascii="Arial" w:hAnsi="Arial" w:cs="Arial"/>
          <w:color w:val="010000"/>
          <w:sz w:val="20"/>
        </w:rPr>
        <w:t xml:space="preserve"> June 30, 2023.</w:t>
      </w:r>
    </w:p>
    <w:p w14:paraId="54EE0690" w14:textId="77777777" w:rsidR="0029373F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Eligible buyer</w:t>
      </w:r>
    </w:p>
    <w:p w14:paraId="4428E72D" w14:textId="0A6161B5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Criteria for selecting subjects of the offering:</w:t>
      </w:r>
    </w:p>
    <w:p w14:paraId="6C16BB54" w14:textId="4A7EA9CA" w:rsidR="0025742E" w:rsidRPr="00F8523B" w:rsidRDefault="00394A39" w:rsidP="00F852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ab/>
        <w:t xml:space="preserve"> Professional financial institutions and/or domestic/foreign entities or individuals with financial strength, </w:t>
      </w:r>
      <w:r w:rsidR="0029373F" w:rsidRPr="00F8523B">
        <w:rPr>
          <w:rFonts w:ascii="Arial" w:hAnsi="Arial" w:cs="Arial"/>
          <w:color w:val="010000"/>
          <w:sz w:val="20"/>
        </w:rPr>
        <w:t xml:space="preserve">and </w:t>
      </w:r>
      <w:r w:rsidRPr="00F8523B">
        <w:rPr>
          <w:rFonts w:ascii="Arial" w:hAnsi="Arial" w:cs="Arial"/>
          <w:color w:val="010000"/>
          <w:sz w:val="20"/>
        </w:rPr>
        <w:t>capable resources that can contribute to the company's business activities for future benefits.</w:t>
      </w:r>
    </w:p>
    <w:p w14:paraId="3F1D6F8A" w14:textId="77777777" w:rsidR="0025742E" w:rsidRPr="00F8523B" w:rsidRDefault="00394A39" w:rsidP="00F852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ab/>
        <w:t xml:space="preserve"> Other criteria that the Board of Directors considers as necessary.</w:t>
      </w:r>
    </w:p>
    <w:p w14:paraId="674CDBDE" w14:textId="77777777" w:rsidR="0025742E" w:rsidRPr="00F8523B" w:rsidRDefault="00394A39" w:rsidP="00F852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34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1. Expected list:</w:t>
      </w: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466"/>
        <w:gridCol w:w="2608"/>
        <w:gridCol w:w="1788"/>
        <w:gridCol w:w="2625"/>
        <w:gridCol w:w="2455"/>
        <w:gridCol w:w="1428"/>
        <w:gridCol w:w="1275"/>
        <w:gridCol w:w="1303"/>
      </w:tblGrid>
      <w:tr w:rsidR="009E0D5B" w:rsidRPr="00F8523B" w14:paraId="2A0E5899" w14:textId="77777777" w:rsidTr="00F8523B"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9BD295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EA4612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Name of investors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8ECCE6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 xml:space="preserve">ID/Passport or Business Registration Certificate </w:t>
            </w:r>
          </w:p>
        </w:tc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575B69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Subject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5AAC66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Number of shares owned before the offering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94BC6B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Number of shares expected to be offered (share)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15E8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Expected ownership rate after the offering</w:t>
            </w:r>
          </w:p>
        </w:tc>
      </w:tr>
      <w:tr w:rsidR="009E0D5B" w:rsidRPr="00F8523B" w14:paraId="596B0640" w14:textId="77777777" w:rsidTr="00F8523B"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69AE0B" w14:textId="77777777" w:rsidR="0025742E" w:rsidRPr="00F8523B" w:rsidRDefault="0025742E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4681EA" w14:textId="77777777" w:rsidR="0025742E" w:rsidRPr="00F8523B" w:rsidRDefault="0025742E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F29E0A" w14:textId="77777777" w:rsidR="0025742E" w:rsidRPr="00F8523B" w:rsidRDefault="0025742E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A5A9AB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Strategic investor/Professional investor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6ADC43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Foreign investors/Economic organizations with foreign investors holding more than 50% of charter capital/Domestic investors</w:t>
            </w: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90D9B3" w14:textId="77777777" w:rsidR="0025742E" w:rsidRPr="00F8523B" w:rsidRDefault="0025742E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FC55F5" w14:textId="77777777" w:rsidR="0025742E" w:rsidRPr="00F8523B" w:rsidRDefault="0025742E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7F1B" w14:textId="77777777" w:rsidR="0025742E" w:rsidRPr="00F8523B" w:rsidRDefault="0025742E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0D5B" w:rsidRPr="00F8523B" w14:paraId="7E279193" w14:textId="77777777" w:rsidTr="00F8523B">
        <w:tc>
          <w:tcPr>
            <w:tcW w:w="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DB9E1D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4DA8B5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ASKA PHARMACEUTICAL CO., LTD.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4E106E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Certificate of Establishment No. 0104-01-018375, initially issued on October 3, 2005, by the Ministry of Justice of Japan.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D91C5C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Strategic investors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21CB71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86759C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18,411,178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5AA70E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8,400,000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A591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32.56%</w:t>
            </w:r>
          </w:p>
        </w:tc>
      </w:tr>
      <w:tr w:rsidR="0025742E" w:rsidRPr="00F8523B" w14:paraId="7D53E46B" w14:textId="77777777" w:rsidTr="00F8523B">
        <w:tc>
          <w:tcPr>
            <w:tcW w:w="35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B5CE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6DFD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18,411,178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47B1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8,400,000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47C2" w14:textId="77777777" w:rsidR="0025742E" w:rsidRPr="00F8523B" w:rsidRDefault="00394A39" w:rsidP="00F8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23B">
              <w:rPr>
                <w:rFonts w:ascii="Arial" w:hAnsi="Arial" w:cs="Arial"/>
                <w:color w:val="010000"/>
                <w:sz w:val="20"/>
              </w:rPr>
              <w:t>32.56%</w:t>
            </w:r>
          </w:p>
        </w:tc>
      </w:tr>
    </w:tbl>
    <w:p w14:paraId="166EE252" w14:textId="7E531D4D" w:rsidR="0025742E" w:rsidRPr="00F8523B" w:rsidRDefault="00394A39" w:rsidP="00F852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 xml:space="preserve">Based on the </w:t>
      </w:r>
      <w:r w:rsidR="0029373F" w:rsidRPr="00F8523B">
        <w:rPr>
          <w:rFonts w:ascii="Arial" w:hAnsi="Arial" w:cs="Arial"/>
          <w:color w:val="010000"/>
          <w:sz w:val="20"/>
        </w:rPr>
        <w:t>recorded</w:t>
      </w:r>
      <w:r w:rsidRPr="00F8523B">
        <w:rPr>
          <w:rFonts w:ascii="Arial" w:hAnsi="Arial" w:cs="Arial"/>
          <w:color w:val="010000"/>
          <w:sz w:val="20"/>
        </w:rPr>
        <w:t xml:space="preserve"> list of shareholders as of July 25, 2023.</w:t>
      </w:r>
    </w:p>
    <w:p w14:paraId="36ED2A99" w14:textId="77777777" w:rsidR="0025742E" w:rsidRPr="00F8523B" w:rsidRDefault="00394A39" w:rsidP="00F852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bCs/>
          <w:color w:val="010000"/>
          <w:sz w:val="20"/>
        </w:rPr>
        <w:t>Calc</w:t>
      </w:r>
      <w:r w:rsidRPr="00F8523B">
        <w:rPr>
          <w:rFonts w:ascii="Arial" w:hAnsi="Arial" w:cs="Arial"/>
          <w:color w:val="010000"/>
          <w:sz w:val="20"/>
        </w:rPr>
        <w:t>ulated based on the expected maximum outstanding shares after the private placement for strategic investors.</w:t>
      </w:r>
    </w:p>
    <w:p w14:paraId="4387FC02" w14:textId="5598100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Transfer restriction</w:t>
      </w:r>
      <w:r w:rsidR="0029373F" w:rsidRPr="00F8523B">
        <w:rPr>
          <w:rFonts w:ascii="Arial" w:hAnsi="Arial" w:cs="Arial"/>
          <w:color w:val="010000"/>
          <w:sz w:val="20"/>
        </w:rPr>
        <w:t>:</w:t>
      </w:r>
      <w:r w:rsidRPr="00F8523B">
        <w:rPr>
          <w:rFonts w:ascii="Arial" w:hAnsi="Arial" w:cs="Arial"/>
          <w:color w:val="010000"/>
          <w:sz w:val="20"/>
        </w:rPr>
        <w:t xml:space="preserve"> The minimum transfer restriction period for shares privately offered to strategic investors is 3 years from the end date of the offering (unless legally mandated otherwise).</w:t>
      </w:r>
    </w:p>
    <w:p w14:paraId="52DBBD0E" w14:textId="126225EE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8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 xml:space="preserve">The offering period shall not exceed 90 days from the date of receipt of the State Securities Commission's written notification confirming the </w:t>
      </w:r>
      <w:r w:rsidR="00F8523B" w:rsidRPr="00F8523B">
        <w:rPr>
          <w:rFonts w:ascii="Arial" w:hAnsi="Arial" w:cs="Arial"/>
          <w:color w:val="010000"/>
          <w:sz w:val="20"/>
        </w:rPr>
        <w:t xml:space="preserve">receipt of </w:t>
      </w:r>
      <w:r w:rsidRPr="00F8523B">
        <w:rPr>
          <w:rFonts w:ascii="Arial" w:hAnsi="Arial" w:cs="Arial"/>
          <w:color w:val="010000"/>
          <w:sz w:val="20"/>
        </w:rPr>
        <w:t>complete registration dossier for the private placement of shares by the Company</w:t>
      </w:r>
      <w:r w:rsidR="00F8523B" w:rsidRPr="00F8523B">
        <w:rPr>
          <w:rFonts w:ascii="Arial" w:hAnsi="Arial" w:cs="Arial"/>
          <w:color w:val="010000"/>
          <w:sz w:val="20"/>
        </w:rPr>
        <w:t>:</w:t>
      </w:r>
      <w:r w:rsidRPr="00F8523B">
        <w:rPr>
          <w:rFonts w:ascii="Arial" w:hAnsi="Arial" w:cs="Arial"/>
          <w:color w:val="010000"/>
          <w:sz w:val="20"/>
        </w:rPr>
        <w:t xml:space="preserve"> from December 15, 2023 to March 14, 2024</w:t>
      </w:r>
    </w:p>
    <w:p w14:paraId="52F0A43E" w14:textId="77777777" w:rsidR="0025742E" w:rsidRPr="00F8523B" w:rsidRDefault="00394A39" w:rsidP="00F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523B">
        <w:rPr>
          <w:rFonts w:ascii="Arial" w:hAnsi="Arial" w:cs="Arial"/>
          <w:color w:val="010000"/>
          <w:sz w:val="20"/>
        </w:rPr>
        <w:t>Blocked accounts receive money to buy shares: 112002948272 at Vietnam Joint Stock Commercial Bank of Industry and Trade - Thanh An Branch.</w:t>
      </w:r>
    </w:p>
    <w:sectPr w:rsidR="0025742E" w:rsidRPr="00F8523B" w:rsidSect="00F8523B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8EC"/>
    <w:multiLevelType w:val="multilevel"/>
    <w:tmpl w:val="9FBA2D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AB7DAE"/>
    <w:multiLevelType w:val="multilevel"/>
    <w:tmpl w:val="242C2C68"/>
    <w:lvl w:ilvl="0">
      <w:start w:val="1"/>
      <w:numFmt w:val="upperRoman"/>
      <w:lvlRestart w:val="0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561D4E"/>
    <w:multiLevelType w:val="multilevel"/>
    <w:tmpl w:val="5412B4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C1044E"/>
    <w:multiLevelType w:val="multilevel"/>
    <w:tmpl w:val="505C4324"/>
    <w:lvl w:ilvl="0">
      <w:start w:val="1"/>
      <w:numFmt w:val="decimal"/>
      <w:lvlText w:val="(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B15BF"/>
    <w:multiLevelType w:val="multilevel"/>
    <w:tmpl w:val="7662FA9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2E25337"/>
    <w:multiLevelType w:val="multilevel"/>
    <w:tmpl w:val="B42819D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54F5653"/>
    <w:multiLevelType w:val="multilevel"/>
    <w:tmpl w:val="A1445F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7C30AA"/>
    <w:multiLevelType w:val="multilevel"/>
    <w:tmpl w:val="F3603608"/>
    <w:lvl w:ilvl="0">
      <w:numFmt w:val="bullet"/>
      <w:lvlText w:val="●"/>
      <w:lvlJc w:val="left"/>
      <w:pPr>
        <w:ind w:left="1140" w:hanging="78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246894"/>
    <w:multiLevelType w:val="multilevel"/>
    <w:tmpl w:val="502864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2E"/>
    <w:rsid w:val="0025742E"/>
    <w:rsid w:val="0029373F"/>
    <w:rsid w:val="00394A39"/>
    <w:rsid w:val="009E0D5B"/>
    <w:rsid w:val="00DB6D99"/>
    <w:rsid w:val="00F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D5825"/>
  <w15:docId w15:val="{C120C2D6-AB93-4273-8D87-E40F9E5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ueneh/D1pkdOUTWpTMcrnMJyog==">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805</Words>
  <Characters>4761</Characters>
  <Application>Microsoft Office Word</Application>
  <DocSecurity>0</DocSecurity>
  <Lines>141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2023-12-19T03:49:00Z</dcterms:created>
  <dcterms:modified xsi:type="dcterms:W3CDTF">2023-12-20T00:00:00Z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ac9e8fc9dfeb11b7268946957de9bfa363ad0b29a40a3c7e90a4cb6a66a57dd5</vt:lpwstr>
  </property>
</Properties>
</file>