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FA" w:rsidRPr="00F272FA" w:rsidRDefault="00F272FA" w:rsidP="00715F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SCL</w:t>
      </w:r>
      <w:r w:rsidR="00296EDB">
        <w:rPr>
          <w:rFonts w:ascii="Arial" w:hAnsi="Arial" w:cs="Arial"/>
          <w:b/>
          <w:sz w:val="20"/>
          <w:szCs w:val="20"/>
        </w:rPr>
        <w:t>:</w:t>
      </w:r>
      <w:r w:rsidRPr="00F272FA">
        <w:rPr>
          <w:rFonts w:ascii="Arial" w:hAnsi="Arial" w:cs="Arial"/>
          <w:b/>
          <w:sz w:val="20"/>
          <w:szCs w:val="20"/>
        </w:rPr>
        <w:t xml:space="preserve"> Board Resolution</w:t>
      </w:r>
    </w:p>
    <w:p w:rsidR="00F272FA" w:rsidRPr="00F272FA" w:rsidRDefault="00F272FA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72FA">
        <w:rPr>
          <w:rFonts w:ascii="Arial" w:hAnsi="Arial" w:cs="Arial"/>
          <w:sz w:val="20"/>
          <w:szCs w:val="20"/>
        </w:rPr>
        <w:t>On Decemb</w:t>
      </w:r>
      <w:r>
        <w:rPr>
          <w:rFonts w:ascii="Arial" w:hAnsi="Arial" w:cs="Arial"/>
          <w:sz w:val="20"/>
          <w:szCs w:val="20"/>
        </w:rPr>
        <w:t>er 20</w:t>
      </w:r>
      <w:r w:rsidRPr="00F272FA">
        <w:rPr>
          <w:rFonts w:ascii="Arial" w:hAnsi="Arial" w:cs="Arial"/>
          <w:sz w:val="20"/>
          <w:szCs w:val="20"/>
        </w:rPr>
        <w:t xml:space="preserve">, 2023, Song Da Cao Cuong JSC announced </w:t>
      </w:r>
      <w:r>
        <w:rPr>
          <w:rFonts w:ascii="Arial" w:hAnsi="Arial" w:cs="Arial"/>
          <w:sz w:val="20"/>
          <w:szCs w:val="20"/>
        </w:rPr>
        <w:t>Board Resolution</w:t>
      </w:r>
      <w:r w:rsidRPr="00F272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No. 88</w:t>
      </w:r>
      <w:r w:rsidRPr="00F272FA">
        <w:rPr>
          <w:rFonts w:ascii="Arial" w:hAnsi="Arial" w:cs="Arial"/>
          <w:sz w:val="20"/>
          <w:szCs w:val="20"/>
        </w:rPr>
        <w:t>1/NQ</w:t>
      </w:r>
      <w:r>
        <w:rPr>
          <w:rFonts w:ascii="Arial" w:hAnsi="Arial" w:cs="Arial"/>
          <w:sz w:val="20"/>
          <w:szCs w:val="20"/>
        </w:rPr>
        <w:t>-HDQT</w:t>
      </w:r>
      <w:r w:rsidR="00296EDB">
        <w:rPr>
          <w:rFonts w:ascii="Arial" w:hAnsi="Arial" w:cs="Arial"/>
          <w:sz w:val="20"/>
          <w:szCs w:val="20"/>
        </w:rPr>
        <w:t xml:space="preserve"> on</w:t>
      </w:r>
      <w:r w:rsidR="00296EDB" w:rsidRPr="00296EDB">
        <w:t xml:space="preserve"> </w:t>
      </w:r>
      <w:r w:rsidR="00296EDB">
        <w:rPr>
          <w:rFonts w:ascii="Arial" w:hAnsi="Arial" w:cs="Arial"/>
          <w:sz w:val="20"/>
          <w:szCs w:val="20"/>
        </w:rPr>
        <w:t>a</w:t>
      </w:r>
      <w:r w:rsidR="00296EDB" w:rsidRPr="00296EDB">
        <w:rPr>
          <w:rFonts w:ascii="Arial" w:hAnsi="Arial" w:cs="Arial"/>
          <w:sz w:val="20"/>
          <w:szCs w:val="20"/>
        </w:rPr>
        <w:t>pproving the results of share issuance to for dividend payment 2022 to outstanding shareholders</w:t>
      </w:r>
      <w:r w:rsidR="00296EDB">
        <w:rPr>
          <w:rFonts w:ascii="Arial" w:hAnsi="Arial" w:cs="Arial"/>
          <w:sz w:val="20"/>
          <w:szCs w:val="20"/>
        </w:rPr>
        <w:t xml:space="preserve"> </w:t>
      </w:r>
      <w:r w:rsidRPr="00F272FA">
        <w:rPr>
          <w:rFonts w:ascii="Arial" w:hAnsi="Arial" w:cs="Arial"/>
          <w:sz w:val="20"/>
          <w:szCs w:val="20"/>
        </w:rPr>
        <w:t xml:space="preserve">as follows: </w:t>
      </w:r>
    </w:p>
    <w:p w:rsidR="000914AF" w:rsidRDefault="00F272FA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272FA">
        <w:rPr>
          <w:rFonts w:ascii="Arial" w:hAnsi="Arial" w:cs="Arial"/>
          <w:sz w:val="20"/>
          <w:szCs w:val="20"/>
        </w:rPr>
        <w:t>‎‎Article 1.</w:t>
      </w:r>
      <w:proofErr w:type="gramEnd"/>
      <w:r w:rsidR="00296EDB" w:rsidRPr="00296EDB">
        <w:t xml:space="preserve"> </w:t>
      </w:r>
      <w:r w:rsidR="00296EDB">
        <w:rPr>
          <w:rFonts w:ascii="Arial" w:hAnsi="Arial" w:cs="Arial"/>
          <w:sz w:val="20"/>
          <w:szCs w:val="20"/>
        </w:rPr>
        <w:t>Approving the results of share</w:t>
      </w:r>
      <w:r w:rsidR="00296EDB" w:rsidRPr="00296EDB">
        <w:rPr>
          <w:rFonts w:ascii="Arial" w:hAnsi="Arial" w:cs="Arial"/>
          <w:sz w:val="20"/>
          <w:szCs w:val="20"/>
        </w:rPr>
        <w:t xml:space="preserve"> issuance to </w:t>
      </w:r>
      <w:r w:rsidR="00296EDB">
        <w:rPr>
          <w:rFonts w:ascii="Arial" w:hAnsi="Arial" w:cs="Arial"/>
          <w:sz w:val="20"/>
          <w:szCs w:val="20"/>
        </w:rPr>
        <w:t>for dividend payment 2022 to outstanding</w:t>
      </w:r>
      <w:r w:rsidR="00296EDB" w:rsidRPr="00296EDB">
        <w:rPr>
          <w:rFonts w:ascii="Arial" w:hAnsi="Arial" w:cs="Arial"/>
          <w:sz w:val="20"/>
          <w:szCs w:val="20"/>
        </w:rPr>
        <w:t xml:space="preserve"> shareholders as follows: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Name of shares: Shares of Song Da Cao Cuong JSC;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Stock code: SCL;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Record </w:t>
      </w:r>
      <w:r w:rsidRPr="00296EDB">
        <w:rPr>
          <w:rFonts w:ascii="Arial" w:hAnsi="Arial" w:cs="Arial"/>
          <w:sz w:val="20"/>
          <w:szCs w:val="20"/>
        </w:rPr>
        <w:t>date (end date of issuance): December 15, 2023;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 xml:space="preserve">- Reason and purpose: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ividend payment 2022 </w:t>
      </w:r>
      <w:r>
        <w:rPr>
          <w:rFonts w:ascii="Arial" w:hAnsi="Arial" w:cs="Arial"/>
          <w:sz w:val="20"/>
          <w:szCs w:val="20"/>
        </w:rPr>
        <w:t xml:space="preserve">by </w:t>
      </w:r>
      <w:r w:rsidRPr="00296EDB">
        <w:rPr>
          <w:rFonts w:ascii="Arial" w:hAnsi="Arial" w:cs="Arial"/>
          <w:sz w:val="20"/>
          <w:szCs w:val="20"/>
        </w:rPr>
        <w:t>shares;</w:t>
      </w:r>
    </w:p>
    <w:p w:rsid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Subjec</w:t>
      </w:r>
      <w:r>
        <w:rPr>
          <w:rFonts w:ascii="Arial" w:hAnsi="Arial" w:cs="Arial"/>
          <w:sz w:val="20"/>
          <w:szCs w:val="20"/>
        </w:rPr>
        <w:t>ts: O</w:t>
      </w:r>
      <w:r>
        <w:rPr>
          <w:rFonts w:ascii="Arial" w:hAnsi="Arial" w:cs="Arial"/>
          <w:sz w:val="20"/>
          <w:szCs w:val="20"/>
        </w:rPr>
        <w:t>utstanding</w:t>
      </w:r>
      <w:r>
        <w:rPr>
          <w:rFonts w:ascii="Arial" w:hAnsi="Arial" w:cs="Arial"/>
          <w:sz w:val="20"/>
          <w:szCs w:val="20"/>
        </w:rPr>
        <w:t xml:space="preserve"> shareholders named in the li</w:t>
      </w:r>
      <w:r w:rsidRPr="00296EDB">
        <w:rPr>
          <w:rFonts w:ascii="Arial" w:hAnsi="Arial" w:cs="Arial"/>
          <w:sz w:val="20"/>
          <w:szCs w:val="20"/>
        </w:rPr>
        <w:t xml:space="preserve">st of SCL shareholders as determined by Vietnam Securities Depository and Clearing Corporation (VSDC) at the </w:t>
      </w:r>
      <w:r>
        <w:rPr>
          <w:rFonts w:ascii="Arial" w:hAnsi="Arial" w:cs="Arial"/>
          <w:sz w:val="20"/>
          <w:szCs w:val="20"/>
        </w:rPr>
        <w:t xml:space="preserve">record </w:t>
      </w:r>
      <w:r w:rsidRPr="00296EDB">
        <w:rPr>
          <w:rFonts w:ascii="Arial" w:hAnsi="Arial" w:cs="Arial"/>
          <w:sz w:val="20"/>
          <w:szCs w:val="20"/>
        </w:rPr>
        <w:t>date to receive dividends in shares;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Implementation rate: 08%, equivalent to</w:t>
      </w:r>
      <w:r>
        <w:rPr>
          <w:rFonts w:ascii="Arial" w:hAnsi="Arial" w:cs="Arial"/>
          <w:sz w:val="20"/>
          <w:szCs w:val="20"/>
        </w:rPr>
        <w:t xml:space="preserve"> the rate</w:t>
      </w:r>
      <w:r w:rsidRPr="00296EDB">
        <w:rPr>
          <w:rFonts w:ascii="Arial" w:hAnsi="Arial" w:cs="Arial"/>
          <w:sz w:val="20"/>
          <w:szCs w:val="20"/>
        </w:rPr>
        <w:t xml:space="preserve"> 100:08 </w:t>
      </w:r>
      <w:r>
        <w:rPr>
          <w:rFonts w:ascii="Arial" w:hAnsi="Arial" w:cs="Arial"/>
          <w:sz w:val="20"/>
          <w:szCs w:val="20"/>
        </w:rPr>
        <w:t xml:space="preserve">(shareholders owning 100 shares will receive 08 </w:t>
      </w:r>
      <w:r w:rsidRPr="00296EDB">
        <w:rPr>
          <w:rFonts w:ascii="Arial" w:hAnsi="Arial" w:cs="Arial"/>
          <w:sz w:val="20"/>
          <w:szCs w:val="20"/>
        </w:rPr>
        <w:t>new shares);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 xml:space="preserve">- Capital source for implementation: From undistributed </w:t>
      </w:r>
      <w:r>
        <w:rPr>
          <w:rFonts w:ascii="Arial" w:hAnsi="Arial" w:cs="Arial"/>
          <w:sz w:val="20"/>
          <w:szCs w:val="20"/>
        </w:rPr>
        <w:t>profit</w:t>
      </w:r>
      <w:r w:rsidRPr="00296E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</w:t>
      </w:r>
      <w:r w:rsidRPr="00296EDB">
        <w:rPr>
          <w:rFonts w:ascii="Arial" w:hAnsi="Arial" w:cs="Arial"/>
          <w:sz w:val="20"/>
          <w:szCs w:val="20"/>
        </w:rPr>
        <w:t xml:space="preserve">tax 2022 according to the </w:t>
      </w:r>
      <w:r w:rsidRPr="00296EDB">
        <w:rPr>
          <w:rFonts w:ascii="Arial" w:hAnsi="Arial" w:cs="Arial"/>
          <w:sz w:val="20"/>
          <w:szCs w:val="20"/>
        </w:rPr>
        <w:t>Audited</w:t>
      </w:r>
      <w:r>
        <w:rPr>
          <w:rFonts w:ascii="Arial" w:hAnsi="Arial" w:cs="Arial"/>
          <w:sz w:val="20"/>
          <w:szCs w:val="20"/>
        </w:rPr>
        <w:t xml:space="preserve"> F</w:t>
      </w:r>
      <w:r w:rsidRPr="00296EDB">
        <w:rPr>
          <w:rFonts w:ascii="Arial" w:hAnsi="Arial" w:cs="Arial"/>
          <w:sz w:val="20"/>
          <w:szCs w:val="20"/>
        </w:rPr>
        <w:t xml:space="preserve">inancial </w:t>
      </w:r>
      <w:r>
        <w:rPr>
          <w:rFonts w:ascii="Arial" w:hAnsi="Arial" w:cs="Arial"/>
          <w:sz w:val="20"/>
          <w:szCs w:val="20"/>
        </w:rPr>
        <w:t>Statement 2022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Number of shares expected to be issued: 1,382,311 shares;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Total number of shares distributed: 1,382,007 shares, of which: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+ Number of shares distributed to shareholders in proportion: 1,382,007 shares for 864 shareholders;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+ Number of shares processed for fractional shares and fractional shares: 304 shares.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- Total number of shares after issuance (December 15, 2023): 18,660,895 shares, of which: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+ Number of outstanding shares: 18,660,895 shares;</w:t>
      </w:r>
    </w:p>
    <w:p w:rsidR="00296EDB" w:rsidRP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>+ Number of treasury shares: 0 shares.</w:t>
      </w:r>
    </w:p>
    <w:p w:rsidR="00296EDB" w:rsidRDefault="00296EDB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EDB">
        <w:rPr>
          <w:rFonts w:ascii="Arial" w:hAnsi="Arial" w:cs="Arial"/>
          <w:sz w:val="20"/>
          <w:szCs w:val="20"/>
        </w:rPr>
        <w:t xml:space="preserve">- Rounding plan, plan for handling odd shares: All 304 odd shares arising from rounding down to the unit will be canceled. </w:t>
      </w:r>
      <w:r w:rsidR="00715F05">
        <w:rPr>
          <w:rFonts w:ascii="Arial" w:hAnsi="Arial" w:cs="Arial"/>
          <w:sz w:val="20"/>
          <w:szCs w:val="20"/>
        </w:rPr>
        <w:t xml:space="preserve">SCL </w:t>
      </w:r>
      <w:r w:rsidRPr="00296EDB">
        <w:rPr>
          <w:rFonts w:ascii="Arial" w:hAnsi="Arial" w:cs="Arial"/>
          <w:sz w:val="20"/>
          <w:szCs w:val="20"/>
        </w:rPr>
        <w:t xml:space="preserve">registers </w:t>
      </w:r>
      <w:r w:rsidR="00715F05">
        <w:rPr>
          <w:rFonts w:ascii="Arial" w:hAnsi="Arial" w:cs="Arial"/>
          <w:sz w:val="20"/>
          <w:szCs w:val="20"/>
        </w:rPr>
        <w:t xml:space="preserve">the </w:t>
      </w:r>
      <w:r w:rsidRPr="00296EDB">
        <w:rPr>
          <w:rFonts w:ascii="Arial" w:hAnsi="Arial" w:cs="Arial"/>
          <w:sz w:val="20"/>
          <w:szCs w:val="20"/>
        </w:rPr>
        <w:t>new capital according to the number of successfully issued shares.</w:t>
      </w:r>
    </w:p>
    <w:p w:rsidR="00715F05" w:rsidRPr="00715F05" w:rsidRDefault="00F272FA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2</w:t>
      </w:r>
      <w:r w:rsidRPr="00F272FA">
        <w:rPr>
          <w:rFonts w:ascii="Arial" w:hAnsi="Arial" w:cs="Arial"/>
          <w:sz w:val="20"/>
          <w:szCs w:val="20"/>
        </w:rPr>
        <w:t>.</w:t>
      </w:r>
      <w:proofErr w:type="gramEnd"/>
      <w:r w:rsidR="00715F05">
        <w:rPr>
          <w:rFonts w:ascii="Arial" w:hAnsi="Arial" w:cs="Arial"/>
          <w:sz w:val="20"/>
          <w:szCs w:val="20"/>
        </w:rPr>
        <w:t xml:space="preserve"> </w:t>
      </w:r>
      <w:r w:rsidR="00715F05" w:rsidRPr="00715F05">
        <w:rPr>
          <w:rFonts w:ascii="Arial" w:hAnsi="Arial" w:cs="Arial"/>
          <w:sz w:val="20"/>
          <w:szCs w:val="20"/>
        </w:rPr>
        <w:t>Amending the Company's charter</w:t>
      </w:r>
    </w:p>
    <w:p w:rsid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Approving </w:t>
      </w:r>
      <w:r w:rsidRPr="00715F05">
        <w:rPr>
          <w:rFonts w:ascii="Arial" w:hAnsi="Arial" w:cs="Arial"/>
          <w:sz w:val="20"/>
          <w:szCs w:val="20"/>
        </w:rPr>
        <w:t xml:space="preserve">the amendment of Article 6 (on </w:t>
      </w:r>
      <w:r>
        <w:rPr>
          <w:rFonts w:ascii="Arial" w:hAnsi="Arial" w:cs="Arial"/>
          <w:sz w:val="20"/>
          <w:szCs w:val="20"/>
        </w:rPr>
        <w:t xml:space="preserve">the </w:t>
      </w:r>
      <w:r w:rsidRPr="00715F05">
        <w:rPr>
          <w:rFonts w:ascii="Arial" w:hAnsi="Arial" w:cs="Arial"/>
          <w:sz w:val="20"/>
          <w:szCs w:val="20"/>
        </w:rPr>
        <w:t xml:space="preserve">charter capital and </w:t>
      </w:r>
      <w:r>
        <w:rPr>
          <w:rFonts w:ascii="Arial" w:hAnsi="Arial" w:cs="Arial"/>
          <w:sz w:val="20"/>
          <w:szCs w:val="20"/>
        </w:rPr>
        <w:t xml:space="preserve">the shares of </w:t>
      </w:r>
      <w:r w:rsidRPr="00715F05">
        <w:rPr>
          <w:rFonts w:ascii="Arial" w:hAnsi="Arial" w:cs="Arial"/>
          <w:sz w:val="20"/>
          <w:szCs w:val="20"/>
        </w:rPr>
        <w:t>founding shareholder</w:t>
      </w:r>
      <w:r>
        <w:rPr>
          <w:rFonts w:ascii="Arial" w:hAnsi="Arial" w:cs="Arial"/>
          <w:sz w:val="20"/>
          <w:szCs w:val="20"/>
        </w:rPr>
        <w:t>s</w:t>
      </w:r>
      <w:r w:rsidRPr="00715F05">
        <w:rPr>
          <w:rFonts w:ascii="Arial" w:hAnsi="Arial" w:cs="Arial"/>
          <w:sz w:val="20"/>
          <w:szCs w:val="20"/>
        </w:rPr>
        <w:t>) the Board of</w:t>
      </w:r>
      <w:r>
        <w:rPr>
          <w:rFonts w:ascii="Arial" w:hAnsi="Arial" w:cs="Arial"/>
          <w:sz w:val="20"/>
          <w:szCs w:val="20"/>
        </w:rPr>
        <w:t xml:space="preserve"> Directors assigned the Chair</w:t>
      </w:r>
      <w:r w:rsidRPr="00715F05">
        <w:rPr>
          <w:rFonts w:ascii="Arial" w:hAnsi="Arial" w:cs="Arial"/>
          <w:sz w:val="20"/>
          <w:szCs w:val="20"/>
        </w:rPr>
        <w:t xml:space="preserve"> of the Board of Directors and the Company's legal representative to direct relevant individuals to implement the following actions: Necessary work to carry out </w:t>
      </w:r>
      <w:r>
        <w:rPr>
          <w:rFonts w:ascii="Arial" w:hAnsi="Arial" w:cs="Arial"/>
          <w:sz w:val="20"/>
          <w:szCs w:val="20"/>
        </w:rPr>
        <w:t xml:space="preserve">the </w:t>
      </w:r>
      <w:r w:rsidRPr="00715F05">
        <w:rPr>
          <w:rFonts w:ascii="Arial" w:hAnsi="Arial" w:cs="Arial"/>
          <w:sz w:val="20"/>
          <w:szCs w:val="20"/>
        </w:rPr>
        <w:t>registration procedures to change the Company's Charter in accordance with the above issuance results, specifically: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081"/>
      </w:tblGrid>
      <w:tr w:rsidR="00715F05" w:rsidTr="00715F05">
        <w:tc>
          <w:tcPr>
            <w:tcW w:w="1951" w:type="dxa"/>
          </w:tcPr>
          <w:p w:rsidR="00715F05" w:rsidRPr="00715F05" w:rsidRDefault="00715F05" w:rsidP="00715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05">
              <w:rPr>
                <w:rFonts w:ascii="Arial" w:hAnsi="Arial" w:cs="Arial"/>
                <w:b/>
                <w:sz w:val="20"/>
                <w:szCs w:val="20"/>
              </w:rPr>
              <w:t>Modified Terms</w:t>
            </w:r>
          </w:p>
        </w:tc>
        <w:tc>
          <w:tcPr>
            <w:tcW w:w="3544" w:type="dxa"/>
          </w:tcPr>
          <w:p w:rsidR="00715F05" w:rsidRPr="00715F05" w:rsidRDefault="00715F05" w:rsidP="00715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05">
              <w:rPr>
                <w:rFonts w:ascii="Arial" w:hAnsi="Arial" w:cs="Arial"/>
                <w:b/>
                <w:sz w:val="20"/>
                <w:szCs w:val="20"/>
              </w:rPr>
              <w:t>Current Content</w:t>
            </w:r>
          </w:p>
        </w:tc>
        <w:tc>
          <w:tcPr>
            <w:tcW w:w="4081" w:type="dxa"/>
          </w:tcPr>
          <w:p w:rsidR="00715F05" w:rsidRPr="00715F05" w:rsidRDefault="00715F05" w:rsidP="00715F0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05">
              <w:rPr>
                <w:rFonts w:ascii="Arial" w:hAnsi="Arial" w:cs="Arial"/>
                <w:b/>
                <w:sz w:val="20"/>
                <w:szCs w:val="20"/>
              </w:rPr>
              <w:t>Modified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</w:tr>
      <w:tr w:rsidR="00715F05" w:rsidTr="00715F05">
        <w:tc>
          <w:tcPr>
            <w:tcW w:w="1951" w:type="dxa"/>
          </w:tcPr>
          <w:p w:rsidR="00715F05" w:rsidRDefault="00715F05" w:rsidP="00715F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05">
              <w:rPr>
                <w:rFonts w:ascii="Arial" w:hAnsi="Arial" w:cs="Arial"/>
                <w:sz w:val="20"/>
                <w:szCs w:val="20"/>
              </w:rPr>
              <w:t>Article 6 (on the charter capital and the shares of founding shareholders)</w:t>
            </w:r>
          </w:p>
        </w:tc>
        <w:tc>
          <w:tcPr>
            <w:tcW w:w="3544" w:type="dxa"/>
          </w:tcPr>
          <w:p w:rsidR="00715F05" w:rsidRPr="00715F05" w:rsidRDefault="00715F05" w:rsidP="00715F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05">
              <w:rPr>
                <w:rFonts w:ascii="Arial" w:hAnsi="Arial" w:cs="Arial"/>
                <w:sz w:val="20"/>
                <w:szCs w:val="20"/>
              </w:rPr>
              <w:t>Clause 1, Article 6:</w:t>
            </w:r>
          </w:p>
          <w:p w:rsidR="00715F05" w:rsidRDefault="00715F05" w:rsidP="00715F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05">
              <w:rPr>
                <w:rFonts w:ascii="Arial" w:hAnsi="Arial" w:cs="Arial"/>
                <w:sz w:val="20"/>
                <w:szCs w:val="20"/>
              </w:rPr>
              <w:t xml:space="preserve">The Company's current charter capital is </w:t>
            </w:r>
            <w:r>
              <w:rPr>
                <w:rFonts w:ascii="Arial" w:hAnsi="Arial" w:cs="Arial"/>
                <w:sz w:val="20"/>
                <w:szCs w:val="20"/>
              </w:rPr>
              <w:t>VND 172,788,880,000</w:t>
            </w:r>
            <w:r w:rsidRPr="00715F05">
              <w:rPr>
                <w:rFonts w:ascii="Arial" w:hAnsi="Arial" w:cs="Arial"/>
                <w:sz w:val="20"/>
                <w:szCs w:val="20"/>
              </w:rPr>
              <w:t xml:space="preserve">. The Company's total charter capital is divided into 17,278,888 shares with par value of </w:t>
            </w:r>
            <w:r>
              <w:rPr>
                <w:rFonts w:ascii="Arial" w:hAnsi="Arial" w:cs="Arial"/>
                <w:sz w:val="20"/>
                <w:szCs w:val="20"/>
              </w:rPr>
              <w:t>VND 10,000</w:t>
            </w:r>
            <w:r w:rsidRPr="00715F05">
              <w:rPr>
                <w:rFonts w:ascii="Arial" w:hAnsi="Arial" w:cs="Arial"/>
                <w:sz w:val="20"/>
                <w:szCs w:val="20"/>
              </w:rPr>
              <w:t>/share.</w:t>
            </w:r>
          </w:p>
        </w:tc>
        <w:tc>
          <w:tcPr>
            <w:tcW w:w="4081" w:type="dxa"/>
          </w:tcPr>
          <w:p w:rsidR="00715F05" w:rsidRPr="00715F05" w:rsidRDefault="00715F05" w:rsidP="00715F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05">
              <w:rPr>
                <w:rFonts w:ascii="Arial" w:hAnsi="Arial" w:cs="Arial"/>
                <w:sz w:val="20"/>
                <w:szCs w:val="20"/>
              </w:rPr>
              <w:t>Clause 1, Article 6:</w:t>
            </w:r>
          </w:p>
          <w:p w:rsidR="00715F05" w:rsidRDefault="00715F05" w:rsidP="00715F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05">
              <w:rPr>
                <w:rFonts w:ascii="Arial" w:hAnsi="Arial" w:cs="Arial"/>
                <w:sz w:val="20"/>
                <w:szCs w:val="20"/>
              </w:rPr>
              <w:t xml:space="preserve">The Company's current charter capital is </w:t>
            </w:r>
            <w:r>
              <w:rPr>
                <w:rFonts w:ascii="Arial" w:hAnsi="Arial" w:cs="Arial"/>
                <w:sz w:val="20"/>
                <w:szCs w:val="20"/>
              </w:rPr>
              <w:t>VND 186,608,95</w:t>
            </w:r>
            <w:r w:rsidRPr="00715F05">
              <w:rPr>
                <w:rFonts w:ascii="Arial" w:hAnsi="Arial" w:cs="Arial"/>
                <w:sz w:val="20"/>
                <w:szCs w:val="20"/>
              </w:rPr>
              <w:t>0,000. The Company's total ch</w:t>
            </w:r>
            <w:r>
              <w:rPr>
                <w:rFonts w:ascii="Arial" w:hAnsi="Arial" w:cs="Arial"/>
                <w:sz w:val="20"/>
                <w:szCs w:val="20"/>
              </w:rPr>
              <w:t>arter capital is divided into 18,660,895</w:t>
            </w:r>
            <w:r w:rsidRPr="00715F05">
              <w:rPr>
                <w:rFonts w:ascii="Arial" w:hAnsi="Arial" w:cs="Arial"/>
                <w:sz w:val="20"/>
                <w:szCs w:val="20"/>
              </w:rPr>
              <w:t xml:space="preserve"> shares with par value of 10,000 VND/share.</w:t>
            </w:r>
          </w:p>
        </w:tc>
      </w:tr>
    </w:tbl>
    <w:p w:rsid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72FA" w:rsidRDefault="00F272FA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3</w:t>
      </w:r>
      <w:r w:rsidRPr="00F272FA">
        <w:rPr>
          <w:rFonts w:ascii="Arial" w:hAnsi="Arial" w:cs="Arial"/>
          <w:sz w:val="20"/>
          <w:szCs w:val="20"/>
        </w:rPr>
        <w:t>.</w:t>
      </w:r>
      <w:proofErr w:type="gramEnd"/>
      <w:r w:rsidR="00715F05">
        <w:rPr>
          <w:rFonts w:ascii="Arial" w:hAnsi="Arial" w:cs="Arial"/>
          <w:sz w:val="20"/>
          <w:szCs w:val="20"/>
        </w:rPr>
        <w:t xml:space="preserve"> Assignment</w:t>
      </w:r>
      <w:r w:rsidR="00715F05" w:rsidRPr="00715F05">
        <w:rPr>
          <w:rFonts w:ascii="Arial" w:hAnsi="Arial" w:cs="Arial"/>
          <w:sz w:val="20"/>
          <w:szCs w:val="20"/>
        </w:rPr>
        <w:t>/</w:t>
      </w:r>
      <w:r w:rsidR="00715F05">
        <w:rPr>
          <w:rFonts w:ascii="Arial" w:hAnsi="Arial" w:cs="Arial"/>
          <w:sz w:val="20"/>
          <w:szCs w:val="20"/>
        </w:rPr>
        <w:t>Authorization</w:t>
      </w:r>
    </w:p>
    <w:p w:rsid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charter capital, r</w:t>
      </w:r>
      <w:r w:rsidRPr="00715F05">
        <w:rPr>
          <w:rFonts w:ascii="Arial" w:hAnsi="Arial" w:cs="Arial"/>
          <w:sz w:val="20"/>
          <w:szCs w:val="20"/>
        </w:rPr>
        <w:t xml:space="preserve">eport on issuance results to the State Securities Commission, register additional depository shares with Vietnam Securities Depository and Clearing Corporation (VSDC), register </w:t>
      </w:r>
      <w:r>
        <w:rPr>
          <w:rFonts w:ascii="Arial" w:hAnsi="Arial" w:cs="Arial"/>
          <w:sz w:val="20"/>
          <w:szCs w:val="20"/>
        </w:rPr>
        <w:t xml:space="preserve">the </w:t>
      </w:r>
      <w:r w:rsidRPr="00715F05">
        <w:rPr>
          <w:rFonts w:ascii="Arial" w:hAnsi="Arial" w:cs="Arial"/>
          <w:sz w:val="20"/>
          <w:szCs w:val="20"/>
        </w:rPr>
        <w:t>additional shares at the Hanoi Stock Exchange (HNX) and other related procedures according to the provisions of the</w:t>
      </w:r>
      <w:r w:rsidR="00C61F22">
        <w:rPr>
          <w:rFonts w:ascii="Arial" w:hAnsi="Arial" w:cs="Arial"/>
          <w:sz w:val="20"/>
          <w:szCs w:val="20"/>
        </w:rPr>
        <w:t xml:space="preserve"> Company's 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harter and current l</w:t>
      </w:r>
      <w:r w:rsidRPr="00715F05">
        <w:rPr>
          <w:rFonts w:ascii="Arial" w:hAnsi="Arial" w:cs="Arial"/>
          <w:sz w:val="20"/>
          <w:szCs w:val="20"/>
        </w:rPr>
        <w:t>aw.</w:t>
      </w:r>
    </w:p>
    <w:p w:rsidR="00715F05" w:rsidRP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F05">
        <w:rPr>
          <w:rFonts w:ascii="Arial" w:hAnsi="Arial" w:cs="Arial"/>
          <w:sz w:val="20"/>
          <w:szCs w:val="20"/>
        </w:rPr>
        <w:t>Article 4: Implementation provisions</w:t>
      </w:r>
    </w:p>
    <w:p w:rsidR="00715F05" w:rsidRP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F05">
        <w:rPr>
          <w:rFonts w:ascii="Arial" w:hAnsi="Arial" w:cs="Arial"/>
          <w:sz w:val="20"/>
          <w:szCs w:val="20"/>
        </w:rPr>
        <w:t>The Board of Directors of Song Da Cao Cuong J</w:t>
      </w:r>
      <w:r>
        <w:rPr>
          <w:rFonts w:ascii="Arial" w:hAnsi="Arial" w:cs="Arial"/>
          <w:sz w:val="20"/>
          <w:szCs w:val="20"/>
        </w:rPr>
        <w:t>SC</w:t>
      </w:r>
      <w:r w:rsidRPr="00715F05">
        <w:rPr>
          <w:rFonts w:ascii="Arial" w:hAnsi="Arial" w:cs="Arial"/>
          <w:sz w:val="20"/>
          <w:szCs w:val="20"/>
        </w:rPr>
        <w:t xml:space="preserve">, the Board of </w:t>
      </w:r>
      <w:r>
        <w:rPr>
          <w:rFonts w:ascii="Arial" w:hAnsi="Arial" w:cs="Arial"/>
          <w:sz w:val="20"/>
          <w:szCs w:val="20"/>
        </w:rPr>
        <w:t xml:space="preserve">Management </w:t>
      </w:r>
      <w:r w:rsidRPr="00715F05">
        <w:rPr>
          <w:rFonts w:ascii="Arial" w:hAnsi="Arial" w:cs="Arial"/>
          <w:sz w:val="20"/>
          <w:szCs w:val="20"/>
        </w:rPr>
        <w:t>and relevant departments/units are responsible for implementing this Resolution, ensuring the interests of sharehold</w:t>
      </w:r>
      <w:r>
        <w:rPr>
          <w:rFonts w:ascii="Arial" w:hAnsi="Arial" w:cs="Arial"/>
          <w:sz w:val="20"/>
          <w:szCs w:val="20"/>
        </w:rPr>
        <w:t>ers, the Company and compliance</w:t>
      </w:r>
      <w:r w:rsidRPr="00715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according to the provisions of l</w:t>
      </w:r>
      <w:r w:rsidRPr="00715F05">
        <w:rPr>
          <w:rFonts w:ascii="Arial" w:hAnsi="Arial" w:cs="Arial"/>
          <w:sz w:val="20"/>
          <w:szCs w:val="20"/>
        </w:rPr>
        <w:t>aw.</w:t>
      </w:r>
    </w:p>
    <w:p w:rsidR="00715F05" w:rsidRDefault="00715F05" w:rsidP="00715F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F05">
        <w:rPr>
          <w:rFonts w:ascii="Arial" w:hAnsi="Arial" w:cs="Arial"/>
          <w:sz w:val="20"/>
          <w:szCs w:val="20"/>
        </w:rPr>
        <w:t>This Resolution takes effect from the date of signing</w:t>
      </w:r>
      <w:proofErr w:type="gramStart"/>
      <w:r w:rsidRPr="00715F05">
        <w:rPr>
          <w:rFonts w:ascii="Arial" w:hAnsi="Arial" w:cs="Arial"/>
          <w:sz w:val="20"/>
          <w:szCs w:val="20"/>
        </w:rPr>
        <w:t>./</w:t>
      </w:r>
      <w:proofErr w:type="gramEnd"/>
      <w:r w:rsidRPr="00715F05">
        <w:rPr>
          <w:rFonts w:ascii="Arial" w:hAnsi="Arial" w:cs="Arial"/>
          <w:sz w:val="20"/>
          <w:szCs w:val="20"/>
        </w:rPr>
        <w:t>.</w:t>
      </w:r>
    </w:p>
    <w:p w:rsidR="00F272FA" w:rsidRPr="00F272FA" w:rsidRDefault="00F272FA" w:rsidP="00715F0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272FA" w:rsidRPr="00F2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A"/>
    <w:rsid w:val="000914AF"/>
    <w:rsid w:val="00296EDB"/>
    <w:rsid w:val="00715F05"/>
    <w:rsid w:val="00C61F22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715F05"/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al"/>
    <w:link w:val="Picturecaption"/>
    <w:rsid w:val="00715F05"/>
    <w:pPr>
      <w:widowControl w:val="0"/>
      <w:spacing w:after="0" w:line="254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1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sid w:val="00715F05"/>
    <w:rPr>
      <w:rFonts w:ascii="Times New Roman" w:eastAsia="Times New Roman" w:hAnsi="Times New Roman" w:cs="Times New Roman"/>
      <w:b/>
      <w:bCs/>
    </w:rPr>
  </w:style>
  <w:style w:type="paragraph" w:customStyle="1" w:styleId="Picturecaption0">
    <w:name w:val="Picture caption"/>
    <w:basedOn w:val="Normal"/>
    <w:link w:val="Picturecaption"/>
    <w:rsid w:val="00715F05"/>
    <w:pPr>
      <w:widowControl w:val="0"/>
      <w:spacing w:after="0" w:line="254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71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 Anh</dc:creator>
  <cp:lastModifiedBy>Tran Ha Anh</cp:lastModifiedBy>
  <cp:revision>3</cp:revision>
  <dcterms:created xsi:type="dcterms:W3CDTF">2023-12-20T11:05:00Z</dcterms:created>
  <dcterms:modified xsi:type="dcterms:W3CDTF">2023-12-20T11:23:00Z</dcterms:modified>
</cp:coreProperties>
</file>