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20DDE" w14:textId="77777777" w:rsidR="003B6619" w:rsidRPr="007D2760" w:rsidRDefault="00914E9B" w:rsidP="00914E9B">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7D2760">
        <w:rPr>
          <w:rFonts w:ascii="Arial" w:hAnsi="Arial" w:cs="Arial"/>
          <w:b/>
          <w:bCs/>
          <w:color w:val="010000"/>
          <w:sz w:val="20"/>
        </w:rPr>
        <w:t>TL4:</w:t>
      </w:r>
      <w:r w:rsidRPr="007D2760">
        <w:rPr>
          <w:rFonts w:ascii="Arial" w:hAnsi="Arial" w:cs="Arial"/>
          <w:b/>
          <w:color w:val="010000"/>
          <w:sz w:val="20"/>
        </w:rPr>
        <w:t xml:space="preserve"> Board Resolution</w:t>
      </w:r>
    </w:p>
    <w:p w14:paraId="5F8ABD90" w14:textId="77777777" w:rsidR="003B6619" w:rsidRPr="007D2760" w:rsidRDefault="00914E9B" w:rsidP="00914E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D2760">
        <w:rPr>
          <w:rFonts w:ascii="Arial" w:hAnsi="Arial" w:cs="Arial"/>
          <w:color w:val="010000"/>
          <w:sz w:val="20"/>
        </w:rPr>
        <w:t xml:space="preserve">On December 15, 2023, Hydraulics Construction Corporation No.4 announced Resolution No. 10NQ/HDQT-TK as follows: </w:t>
      </w:r>
    </w:p>
    <w:p w14:paraId="689714D4" w14:textId="2D1EAA60" w:rsidR="003B6619" w:rsidRPr="007D2760" w:rsidRDefault="00914E9B" w:rsidP="00914E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D2760">
        <w:rPr>
          <w:rFonts w:ascii="Arial" w:hAnsi="Arial" w:cs="Arial"/>
          <w:color w:val="010000"/>
          <w:sz w:val="20"/>
        </w:rPr>
        <w:t xml:space="preserve">Article 1: Approve the implementation of the plan to </w:t>
      </w:r>
      <w:r w:rsidR="007D2760" w:rsidRPr="007D2760">
        <w:rPr>
          <w:rFonts w:ascii="Arial" w:hAnsi="Arial" w:cs="Arial"/>
          <w:color w:val="010000"/>
          <w:sz w:val="20"/>
        </w:rPr>
        <w:t>distribute</w:t>
      </w:r>
      <w:r w:rsidRPr="007D2760">
        <w:rPr>
          <w:rFonts w:ascii="Arial" w:hAnsi="Arial" w:cs="Arial"/>
          <w:color w:val="010000"/>
          <w:sz w:val="20"/>
        </w:rPr>
        <w:t xml:space="preserve"> 1,350,000 treasury shares to existing shareholders, specifically as follows</w:t>
      </w:r>
    </w:p>
    <w:p w14:paraId="0706E8DA" w14:textId="26338BC9" w:rsidR="003B6619" w:rsidRPr="007D2760" w:rsidRDefault="00914E9B" w:rsidP="00914E9B">
      <w:pPr>
        <w:numPr>
          <w:ilvl w:val="0"/>
          <w:numId w:val="1"/>
        </w:numPr>
        <w:pBdr>
          <w:top w:val="nil"/>
          <w:left w:val="nil"/>
          <w:bottom w:val="nil"/>
          <w:right w:val="nil"/>
          <w:between w:val="nil"/>
        </w:pBdr>
        <w:tabs>
          <w:tab w:val="left" w:pos="342"/>
        </w:tabs>
        <w:spacing w:after="120" w:line="360" w:lineRule="auto"/>
        <w:rPr>
          <w:rFonts w:ascii="Arial" w:eastAsia="Arial" w:hAnsi="Arial" w:cs="Arial"/>
          <w:color w:val="010000"/>
          <w:sz w:val="20"/>
          <w:szCs w:val="20"/>
        </w:rPr>
      </w:pPr>
      <w:r w:rsidRPr="007D2760">
        <w:rPr>
          <w:rFonts w:ascii="Arial" w:hAnsi="Arial" w:cs="Arial"/>
          <w:color w:val="010000"/>
          <w:sz w:val="20"/>
        </w:rPr>
        <w:t>Type of treasury shares</w:t>
      </w:r>
      <w:r w:rsidR="007D2760" w:rsidRPr="007D2760">
        <w:rPr>
          <w:rFonts w:ascii="Arial" w:hAnsi="Arial" w:cs="Arial"/>
          <w:color w:val="010000"/>
          <w:sz w:val="20"/>
        </w:rPr>
        <w:t xml:space="preserve"> to distribute</w:t>
      </w:r>
      <w:r w:rsidRPr="007D2760">
        <w:rPr>
          <w:rFonts w:ascii="Arial" w:hAnsi="Arial" w:cs="Arial"/>
          <w:color w:val="010000"/>
          <w:sz w:val="20"/>
        </w:rPr>
        <w:t>: Common shares.</w:t>
      </w:r>
    </w:p>
    <w:p w14:paraId="2F1FB2E3" w14:textId="77777777" w:rsidR="003B6619" w:rsidRPr="007D2760" w:rsidRDefault="00914E9B" w:rsidP="00914E9B">
      <w:pPr>
        <w:numPr>
          <w:ilvl w:val="0"/>
          <w:numId w:val="1"/>
        </w:numPr>
        <w:pBdr>
          <w:top w:val="nil"/>
          <w:left w:val="nil"/>
          <w:bottom w:val="nil"/>
          <w:right w:val="nil"/>
          <w:between w:val="nil"/>
        </w:pBdr>
        <w:tabs>
          <w:tab w:val="left" w:pos="342"/>
        </w:tabs>
        <w:spacing w:after="120" w:line="360" w:lineRule="auto"/>
        <w:rPr>
          <w:rFonts w:ascii="Arial" w:eastAsia="Arial" w:hAnsi="Arial" w:cs="Arial"/>
          <w:color w:val="010000"/>
          <w:sz w:val="20"/>
          <w:szCs w:val="20"/>
        </w:rPr>
      </w:pPr>
      <w:r w:rsidRPr="007D2760">
        <w:rPr>
          <w:rFonts w:ascii="Arial" w:hAnsi="Arial" w:cs="Arial"/>
          <w:color w:val="010000"/>
          <w:sz w:val="20"/>
        </w:rPr>
        <w:t>Total number of issued shares: 16,008,338 shares.</w:t>
      </w:r>
    </w:p>
    <w:p w14:paraId="6E1E7113" w14:textId="13B372A1" w:rsidR="003B6619" w:rsidRPr="007D2760" w:rsidRDefault="00914E9B" w:rsidP="00914E9B">
      <w:pPr>
        <w:numPr>
          <w:ilvl w:val="0"/>
          <w:numId w:val="1"/>
        </w:numPr>
        <w:pBdr>
          <w:top w:val="nil"/>
          <w:left w:val="nil"/>
          <w:bottom w:val="nil"/>
          <w:right w:val="nil"/>
          <w:between w:val="nil"/>
        </w:pBdr>
        <w:tabs>
          <w:tab w:val="left" w:pos="342"/>
        </w:tabs>
        <w:spacing w:after="120" w:line="360" w:lineRule="auto"/>
        <w:rPr>
          <w:rFonts w:ascii="Arial" w:eastAsia="Arial" w:hAnsi="Arial" w:cs="Arial"/>
          <w:color w:val="010000"/>
          <w:sz w:val="20"/>
          <w:szCs w:val="20"/>
        </w:rPr>
      </w:pPr>
      <w:r w:rsidRPr="007D2760">
        <w:rPr>
          <w:rFonts w:ascii="Arial" w:hAnsi="Arial" w:cs="Arial"/>
          <w:color w:val="010000"/>
          <w:sz w:val="20"/>
        </w:rPr>
        <w:t>Number of outstanding shares</w:t>
      </w:r>
      <w:r w:rsidR="007D2760" w:rsidRPr="007D2760">
        <w:rPr>
          <w:rFonts w:ascii="Arial" w:hAnsi="Arial" w:cs="Arial"/>
          <w:color w:val="010000"/>
          <w:sz w:val="20"/>
        </w:rPr>
        <w:t>:</w:t>
      </w:r>
      <w:r w:rsidRPr="007D2760">
        <w:rPr>
          <w:rFonts w:ascii="Arial" w:hAnsi="Arial" w:cs="Arial"/>
          <w:color w:val="010000"/>
          <w:sz w:val="20"/>
        </w:rPr>
        <w:t xml:space="preserve"> 14,658,338 shares.</w:t>
      </w:r>
    </w:p>
    <w:p w14:paraId="20E4D21A" w14:textId="11E23063" w:rsidR="003B6619" w:rsidRPr="007D2760" w:rsidRDefault="00914E9B" w:rsidP="00914E9B">
      <w:pPr>
        <w:numPr>
          <w:ilvl w:val="0"/>
          <w:numId w:val="1"/>
        </w:numPr>
        <w:pBdr>
          <w:top w:val="nil"/>
          <w:left w:val="nil"/>
          <w:bottom w:val="nil"/>
          <w:right w:val="nil"/>
          <w:between w:val="nil"/>
        </w:pBdr>
        <w:tabs>
          <w:tab w:val="left" w:pos="342"/>
        </w:tabs>
        <w:spacing w:after="120" w:line="360" w:lineRule="auto"/>
        <w:rPr>
          <w:rFonts w:ascii="Arial" w:eastAsia="Arial" w:hAnsi="Arial" w:cs="Arial"/>
          <w:color w:val="010000"/>
          <w:sz w:val="20"/>
          <w:szCs w:val="20"/>
        </w:rPr>
      </w:pPr>
      <w:r w:rsidRPr="007D2760">
        <w:rPr>
          <w:rFonts w:ascii="Arial" w:hAnsi="Arial" w:cs="Arial"/>
          <w:color w:val="010000"/>
          <w:sz w:val="20"/>
        </w:rPr>
        <w:t>Number of treasury shares</w:t>
      </w:r>
      <w:r w:rsidR="007D2760" w:rsidRPr="007D2760">
        <w:rPr>
          <w:rFonts w:ascii="Arial" w:hAnsi="Arial" w:cs="Arial"/>
          <w:color w:val="010000"/>
          <w:sz w:val="20"/>
        </w:rPr>
        <w:t xml:space="preserve"> to distribute</w:t>
      </w:r>
      <w:r w:rsidRPr="007D2760">
        <w:rPr>
          <w:rFonts w:ascii="Arial" w:hAnsi="Arial" w:cs="Arial"/>
          <w:color w:val="010000"/>
          <w:sz w:val="20"/>
        </w:rPr>
        <w:t>: 1,350,000 shares.</w:t>
      </w:r>
    </w:p>
    <w:p w14:paraId="055CEE04" w14:textId="0C7B0071" w:rsidR="003B6619" w:rsidRPr="007D2760" w:rsidRDefault="00914E9B" w:rsidP="00914E9B">
      <w:pPr>
        <w:numPr>
          <w:ilvl w:val="0"/>
          <w:numId w:val="1"/>
        </w:numPr>
        <w:pBdr>
          <w:top w:val="nil"/>
          <w:left w:val="nil"/>
          <w:bottom w:val="nil"/>
          <w:right w:val="nil"/>
          <w:between w:val="nil"/>
        </w:pBdr>
        <w:tabs>
          <w:tab w:val="left" w:pos="342"/>
        </w:tabs>
        <w:spacing w:after="120" w:line="360" w:lineRule="auto"/>
        <w:rPr>
          <w:rFonts w:ascii="Arial" w:eastAsia="Arial" w:hAnsi="Arial" w:cs="Arial"/>
          <w:color w:val="010000"/>
          <w:sz w:val="20"/>
          <w:szCs w:val="20"/>
        </w:rPr>
      </w:pPr>
      <w:r w:rsidRPr="007D2760">
        <w:rPr>
          <w:rFonts w:ascii="Arial" w:hAnsi="Arial" w:cs="Arial"/>
          <w:color w:val="010000"/>
          <w:sz w:val="20"/>
        </w:rPr>
        <w:t>Subjects of treasury shares distributing: Existing shareholders named in the list of shareholders at the record date for the list of shareholders to exercise the right to receive allocated treasury shares according to the provisions of law. The Board of Directors decides on the record date for the list of shareholders to exercise their rights to receive the allocated treasury shares.</w:t>
      </w:r>
    </w:p>
    <w:p w14:paraId="5923B644" w14:textId="7A4DE3C6" w:rsidR="003B6619" w:rsidRPr="007D2760" w:rsidRDefault="00914E9B" w:rsidP="00914E9B">
      <w:pPr>
        <w:numPr>
          <w:ilvl w:val="0"/>
          <w:numId w:val="1"/>
        </w:numPr>
        <w:pBdr>
          <w:top w:val="nil"/>
          <w:left w:val="nil"/>
          <w:bottom w:val="nil"/>
          <w:right w:val="nil"/>
          <w:between w:val="nil"/>
        </w:pBdr>
        <w:tabs>
          <w:tab w:val="left" w:pos="342"/>
        </w:tabs>
        <w:spacing w:after="120" w:line="360" w:lineRule="auto"/>
        <w:rPr>
          <w:rFonts w:ascii="Arial" w:eastAsia="Arial" w:hAnsi="Arial" w:cs="Arial"/>
          <w:color w:val="010000"/>
          <w:sz w:val="20"/>
          <w:szCs w:val="20"/>
        </w:rPr>
      </w:pPr>
      <w:r w:rsidRPr="007D2760">
        <w:rPr>
          <w:rFonts w:ascii="Arial" w:hAnsi="Arial" w:cs="Arial"/>
          <w:color w:val="010000"/>
          <w:sz w:val="20"/>
        </w:rPr>
        <w:t>Distribution rat</w:t>
      </w:r>
      <w:r w:rsidR="007D2760" w:rsidRPr="007D2760">
        <w:rPr>
          <w:rFonts w:ascii="Arial" w:hAnsi="Arial" w:cs="Arial"/>
          <w:color w:val="010000"/>
          <w:sz w:val="20"/>
        </w:rPr>
        <w:t>e</w:t>
      </w:r>
      <w:r w:rsidRPr="007D2760">
        <w:rPr>
          <w:rFonts w:ascii="Arial" w:hAnsi="Arial" w:cs="Arial"/>
          <w:color w:val="010000"/>
          <w:sz w:val="20"/>
        </w:rPr>
        <w:t xml:space="preserve"> (number of treasury shares allocated to existing shareholders / total outstanding shares)</w:t>
      </w:r>
      <w:r w:rsidR="007D2760" w:rsidRPr="007D2760">
        <w:rPr>
          <w:rFonts w:ascii="Arial" w:hAnsi="Arial" w:cs="Arial"/>
          <w:color w:val="010000"/>
          <w:sz w:val="20"/>
        </w:rPr>
        <w:t>:</w:t>
      </w:r>
      <w:r w:rsidRPr="007D2760">
        <w:rPr>
          <w:rFonts w:ascii="Arial" w:hAnsi="Arial" w:cs="Arial"/>
          <w:color w:val="010000"/>
          <w:sz w:val="20"/>
        </w:rPr>
        <w:t xml:space="preserve"> 9.2098%.</w:t>
      </w:r>
    </w:p>
    <w:p w14:paraId="4A142BFD" w14:textId="06D4A8EA" w:rsidR="003B6619" w:rsidRPr="007D2760" w:rsidRDefault="00914E9B" w:rsidP="00914E9B">
      <w:pPr>
        <w:numPr>
          <w:ilvl w:val="0"/>
          <w:numId w:val="1"/>
        </w:numPr>
        <w:pBdr>
          <w:top w:val="nil"/>
          <w:left w:val="nil"/>
          <w:bottom w:val="nil"/>
          <w:right w:val="nil"/>
          <w:between w:val="nil"/>
        </w:pBdr>
        <w:tabs>
          <w:tab w:val="left" w:pos="342"/>
        </w:tabs>
        <w:spacing w:after="120" w:line="360" w:lineRule="auto"/>
        <w:rPr>
          <w:rFonts w:ascii="Arial" w:eastAsia="Arial" w:hAnsi="Arial" w:cs="Arial"/>
          <w:color w:val="010000"/>
          <w:sz w:val="20"/>
          <w:szCs w:val="20"/>
        </w:rPr>
      </w:pPr>
      <w:r w:rsidRPr="007D2760">
        <w:rPr>
          <w:rFonts w:ascii="Arial" w:hAnsi="Arial" w:cs="Arial"/>
          <w:color w:val="010000"/>
          <w:sz w:val="20"/>
        </w:rPr>
        <w:t>Source for implementation</w:t>
      </w:r>
      <w:r w:rsidR="007D2760" w:rsidRPr="007D2760">
        <w:rPr>
          <w:rFonts w:ascii="Arial" w:hAnsi="Arial" w:cs="Arial"/>
          <w:color w:val="010000"/>
          <w:sz w:val="20"/>
        </w:rPr>
        <w:t>:</w:t>
      </w:r>
      <w:r w:rsidRPr="007D2760">
        <w:rPr>
          <w:rFonts w:ascii="Arial" w:hAnsi="Arial" w:cs="Arial"/>
          <w:color w:val="010000"/>
          <w:sz w:val="20"/>
        </w:rPr>
        <w:t xml:space="preserve"> from the undistributed profit after tax stated in the </w:t>
      </w:r>
      <w:r w:rsidR="007D2760" w:rsidRPr="007D2760">
        <w:rPr>
          <w:rFonts w:ascii="Arial" w:hAnsi="Arial" w:cs="Arial"/>
          <w:color w:val="010000"/>
          <w:sz w:val="20"/>
        </w:rPr>
        <w:t>Reviewed</w:t>
      </w:r>
      <w:r w:rsidRPr="007D2760">
        <w:rPr>
          <w:rFonts w:ascii="Arial" w:hAnsi="Arial" w:cs="Arial"/>
          <w:color w:val="010000"/>
          <w:sz w:val="20"/>
        </w:rPr>
        <w:t xml:space="preserve"> Financial Statements as of June 31, 2023.</w:t>
      </w:r>
    </w:p>
    <w:tbl>
      <w:tblPr>
        <w:tblStyle w:val="a"/>
        <w:tblW w:w="5000" w:type="pct"/>
        <w:tblLook w:val="0400" w:firstRow="0" w:lastRow="0" w:firstColumn="0" w:lastColumn="0" w:noHBand="0" w:noVBand="1"/>
      </w:tblPr>
      <w:tblGrid>
        <w:gridCol w:w="3869"/>
        <w:gridCol w:w="2430"/>
        <w:gridCol w:w="2720"/>
      </w:tblGrid>
      <w:tr w:rsidR="003B6619" w:rsidRPr="007D2760" w14:paraId="0E8607A6" w14:textId="77777777" w:rsidTr="00914E9B">
        <w:tc>
          <w:tcPr>
            <w:tcW w:w="2145" w:type="pct"/>
            <w:vMerge w:val="restart"/>
            <w:tcBorders>
              <w:top w:val="single" w:sz="4" w:space="0" w:color="000000"/>
              <w:left w:val="single" w:sz="4" w:space="0" w:color="000000"/>
            </w:tcBorders>
            <w:shd w:val="clear" w:color="auto" w:fill="auto"/>
            <w:tcMar>
              <w:top w:w="0" w:type="dxa"/>
              <w:bottom w:w="0" w:type="dxa"/>
            </w:tcMar>
            <w:vAlign w:val="center"/>
          </w:tcPr>
          <w:p w14:paraId="02E86839" w14:textId="77777777" w:rsidR="003B6619" w:rsidRPr="007D2760" w:rsidRDefault="00914E9B" w:rsidP="00914E9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D2760">
              <w:rPr>
                <w:rFonts w:ascii="Arial" w:hAnsi="Arial" w:cs="Arial"/>
                <w:color w:val="010000"/>
                <w:sz w:val="20"/>
              </w:rPr>
              <w:t>Contents</w:t>
            </w:r>
          </w:p>
        </w:tc>
        <w:tc>
          <w:tcPr>
            <w:tcW w:w="285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F307FC" w14:textId="77777777" w:rsidR="003B6619" w:rsidRPr="007D2760" w:rsidRDefault="00914E9B" w:rsidP="00914E9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D2760">
              <w:rPr>
                <w:rFonts w:ascii="Arial" w:hAnsi="Arial" w:cs="Arial"/>
                <w:color w:val="010000"/>
                <w:sz w:val="20"/>
              </w:rPr>
              <w:t>Reviewed Financial Statements as of June 30, 2023</w:t>
            </w:r>
          </w:p>
        </w:tc>
      </w:tr>
      <w:tr w:rsidR="003B6619" w:rsidRPr="007D2760" w14:paraId="1FEFA686" w14:textId="77777777" w:rsidTr="00914E9B">
        <w:tc>
          <w:tcPr>
            <w:tcW w:w="2145" w:type="pct"/>
            <w:vMerge/>
            <w:tcBorders>
              <w:top w:val="single" w:sz="4" w:space="0" w:color="000000"/>
              <w:left w:val="single" w:sz="4" w:space="0" w:color="000000"/>
            </w:tcBorders>
            <w:shd w:val="clear" w:color="auto" w:fill="auto"/>
            <w:tcMar>
              <w:top w:w="0" w:type="dxa"/>
              <w:bottom w:w="0" w:type="dxa"/>
            </w:tcMar>
            <w:vAlign w:val="center"/>
          </w:tcPr>
          <w:p w14:paraId="46E01F28" w14:textId="77777777" w:rsidR="003B6619" w:rsidRPr="007D2760" w:rsidRDefault="003B6619" w:rsidP="00914E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47" w:type="pct"/>
            <w:tcBorders>
              <w:top w:val="single" w:sz="4" w:space="0" w:color="000000"/>
              <w:left w:val="single" w:sz="4" w:space="0" w:color="000000"/>
            </w:tcBorders>
            <w:shd w:val="clear" w:color="auto" w:fill="auto"/>
            <w:tcMar>
              <w:top w:w="0" w:type="dxa"/>
              <w:bottom w:w="0" w:type="dxa"/>
            </w:tcMar>
            <w:vAlign w:val="center"/>
          </w:tcPr>
          <w:p w14:paraId="1F180FAF" w14:textId="77777777" w:rsidR="003B6619" w:rsidRPr="007D2760" w:rsidRDefault="00914E9B" w:rsidP="00914E9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D2760">
              <w:rPr>
                <w:rFonts w:ascii="Arial" w:hAnsi="Arial" w:cs="Arial"/>
                <w:color w:val="010000"/>
                <w:sz w:val="20"/>
              </w:rPr>
              <w:t>Separate Financial Statements (VND)</w:t>
            </w:r>
          </w:p>
        </w:tc>
        <w:tc>
          <w:tcPr>
            <w:tcW w:w="150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1E715B" w14:textId="77777777" w:rsidR="003B6619" w:rsidRPr="007D2760" w:rsidRDefault="00914E9B" w:rsidP="00914E9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D2760">
              <w:rPr>
                <w:rFonts w:ascii="Arial" w:hAnsi="Arial" w:cs="Arial"/>
                <w:color w:val="010000"/>
                <w:sz w:val="20"/>
              </w:rPr>
              <w:t>Consolidated Financial Statements (VND)</w:t>
            </w:r>
          </w:p>
        </w:tc>
      </w:tr>
      <w:tr w:rsidR="003B6619" w:rsidRPr="007D2760" w14:paraId="3A6D1CA2" w14:textId="77777777" w:rsidTr="00914E9B">
        <w:tc>
          <w:tcPr>
            <w:tcW w:w="21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D41CE6" w14:textId="77777777" w:rsidR="003B6619" w:rsidRPr="007D2760" w:rsidRDefault="00914E9B" w:rsidP="00914E9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D2760">
              <w:rPr>
                <w:rFonts w:ascii="Arial" w:hAnsi="Arial" w:cs="Arial"/>
                <w:color w:val="010000"/>
                <w:sz w:val="20"/>
              </w:rPr>
              <w:t>Undistributed profit after tax</w:t>
            </w:r>
          </w:p>
        </w:tc>
        <w:tc>
          <w:tcPr>
            <w:tcW w:w="1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658291" w14:textId="77777777" w:rsidR="003B6619" w:rsidRPr="007D2760" w:rsidRDefault="00914E9B" w:rsidP="00914E9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D2760">
              <w:rPr>
                <w:rFonts w:ascii="Arial" w:hAnsi="Arial" w:cs="Arial"/>
                <w:color w:val="010000"/>
                <w:sz w:val="20"/>
              </w:rPr>
              <w:t>80,429,706,393</w:t>
            </w:r>
          </w:p>
        </w:tc>
        <w:tc>
          <w:tcPr>
            <w:tcW w:w="150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4EB470" w14:textId="77777777" w:rsidR="003B6619" w:rsidRPr="007D2760" w:rsidRDefault="00914E9B" w:rsidP="00914E9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7D2760">
              <w:rPr>
                <w:rFonts w:ascii="Arial" w:hAnsi="Arial" w:cs="Arial"/>
                <w:color w:val="010000"/>
                <w:sz w:val="20"/>
              </w:rPr>
              <w:t>79,906,627,975</w:t>
            </w:r>
          </w:p>
        </w:tc>
      </w:tr>
    </w:tbl>
    <w:p w14:paraId="481D5D9E" w14:textId="77777777" w:rsidR="003B6619" w:rsidRPr="007D2760" w:rsidRDefault="00914E9B" w:rsidP="00914E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D2760">
        <w:rPr>
          <w:rFonts w:ascii="Arial" w:hAnsi="Arial" w:cs="Arial"/>
          <w:color w:val="010000"/>
          <w:sz w:val="20"/>
        </w:rPr>
        <w:t xml:space="preserve">Allocate 1,350,000 treasury shares to existing shareholders: From the undistributed profit after tax as </w:t>
      </w:r>
      <w:proofErr w:type="gramStart"/>
      <w:r w:rsidRPr="007D2760">
        <w:rPr>
          <w:rFonts w:ascii="Arial" w:hAnsi="Arial" w:cs="Arial"/>
          <w:color w:val="010000"/>
          <w:sz w:val="20"/>
        </w:rPr>
        <w:t>of</w:t>
      </w:r>
      <w:proofErr w:type="gramEnd"/>
      <w:r w:rsidRPr="007D2760">
        <w:rPr>
          <w:rFonts w:ascii="Arial" w:hAnsi="Arial" w:cs="Arial"/>
          <w:color w:val="010000"/>
          <w:sz w:val="20"/>
        </w:rPr>
        <w:t xml:space="preserve"> June 30, 2023, with the estimated amount of VND 13,500,000,000</w:t>
      </w:r>
    </w:p>
    <w:p w14:paraId="299D400E" w14:textId="77777777" w:rsidR="003B6619" w:rsidRPr="007D2760" w:rsidRDefault="00914E9B" w:rsidP="00914E9B">
      <w:pPr>
        <w:numPr>
          <w:ilvl w:val="0"/>
          <w:numId w:val="1"/>
        </w:numPr>
        <w:pBdr>
          <w:top w:val="nil"/>
          <w:left w:val="nil"/>
          <w:bottom w:val="nil"/>
          <w:right w:val="nil"/>
          <w:between w:val="nil"/>
        </w:pBdr>
        <w:tabs>
          <w:tab w:val="left" w:pos="360"/>
          <w:tab w:val="left" w:pos="570"/>
        </w:tabs>
        <w:spacing w:after="120" w:line="360" w:lineRule="auto"/>
        <w:rPr>
          <w:rFonts w:ascii="Arial" w:eastAsia="Arial" w:hAnsi="Arial" w:cs="Arial"/>
          <w:color w:val="010000"/>
          <w:sz w:val="20"/>
          <w:szCs w:val="20"/>
        </w:rPr>
      </w:pPr>
      <w:r w:rsidRPr="007D2760">
        <w:rPr>
          <w:rFonts w:ascii="Arial" w:hAnsi="Arial" w:cs="Arial"/>
          <w:color w:val="010000"/>
          <w:sz w:val="20"/>
        </w:rPr>
        <w:t>Transfer restriction: None.</w:t>
      </w:r>
    </w:p>
    <w:p w14:paraId="10AF21C5" w14:textId="69979CBD" w:rsidR="003B6619" w:rsidRPr="007D2760" w:rsidRDefault="00914E9B" w:rsidP="00914E9B">
      <w:pPr>
        <w:numPr>
          <w:ilvl w:val="0"/>
          <w:numId w:val="1"/>
        </w:numPr>
        <w:pBdr>
          <w:top w:val="nil"/>
          <w:left w:val="nil"/>
          <w:bottom w:val="nil"/>
          <w:right w:val="nil"/>
          <w:between w:val="nil"/>
        </w:pBdr>
        <w:tabs>
          <w:tab w:val="left" w:pos="360"/>
          <w:tab w:val="left" w:pos="570"/>
        </w:tabs>
        <w:spacing w:after="120" w:line="360" w:lineRule="auto"/>
        <w:rPr>
          <w:rFonts w:ascii="Arial" w:eastAsia="Arial" w:hAnsi="Arial" w:cs="Arial"/>
          <w:color w:val="010000"/>
          <w:sz w:val="20"/>
          <w:szCs w:val="20"/>
        </w:rPr>
      </w:pPr>
      <w:r w:rsidRPr="007D2760">
        <w:rPr>
          <w:rFonts w:ascii="Arial" w:hAnsi="Arial" w:cs="Arial"/>
          <w:color w:val="010000"/>
          <w:sz w:val="20"/>
        </w:rPr>
        <w:t>Implement time: Expected in Q4/2023. The specific implementation time will be determined by the Board of Directors of Hydraulics Construction Corporation No.4</w:t>
      </w:r>
      <w:r w:rsidR="007D2760" w:rsidRPr="007D2760">
        <w:rPr>
          <w:rFonts w:ascii="Arial" w:hAnsi="Arial" w:cs="Arial"/>
          <w:color w:val="010000"/>
          <w:sz w:val="20"/>
        </w:rPr>
        <w:t>. T</w:t>
      </w:r>
      <w:r w:rsidRPr="007D2760">
        <w:rPr>
          <w:rFonts w:ascii="Arial" w:hAnsi="Arial" w:cs="Arial"/>
          <w:color w:val="010000"/>
          <w:sz w:val="20"/>
        </w:rPr>
        <w:t xml:space="preserve">he implementation of reporting procedures, </w:t>
      </w:r>
      <w:r w:rsidR="007D2760" w:rsidRPr="007D2760">
        <w:rPr>
          <w:rFonts w:ascii="Arial" w:hAnsi="Arial" w:cs="Arial"/>
          <w:color w:val="010000"/>
          <w:sz w:val="20"/>
        </w:rPr>
        <w:t xml:space="preserve">and </w:t>
      </w:r>
      <w:r w:rsidRPr="007D2760">
        <w:rPr>
          <w:rFonts w:ascii="Arial" w:hAnsi="Arial" w:cs="Arial"/>
          <w:color w:val="010000"/>
          <w:sz w:val="20"/>
        </w:rPr>
        <w:t xml:space="preserve">information disclosure </w:t>
      </w:r>
      <w:r w:rsidR="007D2760" w:rsidRPr="007D2760">
        <w:rPr>
          <w:rFonts w:ascii="Arial" w:hAnsi="Arial" w:cs="Arial"/>
          <w:color w:val="010000"/>
          <w:sz w:val="20"/>
        </w:rPr>
        <w:t xml:space="preserve">shall be </w:t>
      </w:r>
      <w:r w:rsidRPr="007D2760">
        <w:rPr>
          <w:rFonts w:ascii="Arial" w:hAnsi="Arial" w:cs="Arial"/>
          <w:color w:val="010000"/>
          <w:sz w:val="20"/>
        </w:rPr>
        <w:t>according to the provision of the law, approval from the competent authority, and market conditions.</w:t>
      </w:r>
    </w:p>
    <w:p w14:paraId="29AF3D63" w14:textId="2DBD1F2A" w:rsidR="003B6619" w:rsidRPr="007D2760" w:rsidRDefault="00914E9B" w:rsidP="00914E9B">
      <w:pPr>
        <w:numPr>
          <w:ilvl w:val="0"/>
          <w:numId w:val="1"/>
        </w:numPr>
        <w:pBdr>
          <w:top w:val="nil"/>
          <w:left w:val="nil"/>
          <w:bottom w:val="nil"/>
          <w:right w:val="nil"/>
          <w:between w:val="nil"/>
        </w:pBdr>
        <w:tabs>
          <w:tab w:val="left" w:pos="360"/>
          <w:tab w:val="left" w:pos="570"/>
        </w:tabs>
        <w:spacing w:after="120" w:line="360" w:lineRule="auto"/>
        <w:rPr>
          <w:rFonts w:ascii="Arial" w:eastAsia="Arial" w:hAnsi="Arial" w:cs="Arial"/>
          <w:color w:val="010000"/>
          <w:sz w:val="20"/>
          <w:szCs w:val="20"/>
        </w:rPr>
      </w:pPr>
      <w:r w:rsidRPr="007D2760">
        <w:rPr>
          <w:rFonts w:ascii="Arial" w:hAnsi="Arial" w:cs="Arial"/>
          <w:color w:val="010000"/>
          <w:sz w:val="20"/>
        </w:rPr>
        <w:t xml:space="preserve">Principle on handling fractional shares: The number of treasury shares allocated among shareholders according to the rate of rights distribution to each shareholder is calculated </w:t>
      </w:r>
      <w:r w:rsidR="007D2760" w:rsidRPr="007D2760">
        <w:rPr>
          <w:rFonts w:ascii="Arial" w:hAnsi="Arial" w:cs="Arial"/>
          <w:color w:val="010000"/>
          <w:sz w:val="20"/>
        </w:rPr>
        <w:t>as</w:t>
      </w:r>
      <w:r w:rsidRPr="007D2760">
        <w:rPr>
          <w:rFonts w:ascii="Arial" w:hAnsi="Arial" w:cs="Arial"/>
          <w:color w:val="010000"/>
          <w:sz w:val="20"/>
        </w:rPr>
        <w:t xml:space="preserve"> </w:t>
      </w:r>
      <w:r w:rsidR="007D2760" w:rsidRPr="007D2760">
        <w:rPr>
          <w:rFonts w:ascii="Arial" w:hAnsi="Arial" w:cs="Arial"/>
          <w:color w:val="010000"/>
          <w:sz w:val="20"/>
        </w:rPr>
        <w:t xml:space="preserve">an </w:t>
      </w:r>
      <w:r w:rsidRPr="007D2760">
        <w:rPr>
          <w:rFonts w:ascii="Arial" w:hAnsi="Arial" w:cs="Arial"/>
          <w:color w:val="010000"/>
          <w:sz w:val="20"/>
        </w:rPr>
        <w:t>integer, the decimal place will not be rounded to 01 share, the arising fractional shares (if any) will be sold on the exchange of the Hanoi Stock Exchange.</w:t>
      </w:r>
    </w:p>
    <w:p w14:paraId="2B75A3CC" w14:textId="77777777" w:rsidR="003B6619" w:rsidRPr="007D2760" w:rsidRDefault="00914E9B" w:rsidP="00914E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0" w:name="_GoBack"/>
      <w:bookmarkEnd w:id="0"/>
      <w:r w:rsidRPr="007D2760">
        <w:rPr>
          <w:rFonts w:ascii="Arial" w:hAnsi="Arial" w:cs="Arial"/>
          <w:color w:val="010000"/>
          <w:sz w:val="20"/>
        </w:rPr>
        <w:t>Article 2: Re-register the Business Registration Certificate and amend the Charter:</w:t>
      </w:r>
    </w:p>
    <w:p w14:paraId="5B1995AF" w14:textId="77777777" w:rsidR="003B6619" w:rsidRPr="007D2760" w:rsidRDefault="00914E9B" w:rsidP="00914E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D2760">
        <w:rPr>
          <w:rFonts w:ascii="Arial" w:hAnsi="Arial" w:cs="Arial"/>
          <w:color w:val="010000"/>
          <w:sz w:val="20"/>
        </w:rPr>
        <w:t xml:space="preserve">After the issuance, the Corporation will implement the amendments and supplements of the Business </w:t>
      </w:r>
      <w:r w:rsidRPr="007D2760">
        <w:rPr>
          <w:rFonts w:ascii="Arial" w:hAnsi="Arial" w:cs="Arial"/>
          <w:color w:val="010000"/>
          <w:sz w:val="20"/>
        </w:rPr>
        <w:lastRenderedPageBreak/>
        <w:t>Registration Certificate, Charter, and relevant legal documents related to the update of the new charter capital of the Hydraulics Construction Corporation No.4 (if there are any changes).</w:t>
      </w:r>
    </w:p>
    <w:p w14:paraId="7F904CD6" w14:textId="77777777" w:rsidR="003B6619" w:rsidRPr="007D2760" w:rsidRDefault="00914E9B" w:rsidP="00914E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D2760">
        <w:rPr>
          <w:rFonts w:ascii="Arial" w:hAnsi="Arial" w:cs="Arial"/>
          <w:color w:val="010000"/>
          <w:sz w:val="20"/>
        </w:rPr>
        <w:t>Article 3: Terms of enforcement</w:t>
      </w:r>
    </w:p>
    <w:p w14:paraId="5DE0AE05" w14:textId="6F798011" w:rsidR="003B6619" w:rsidRPr="007D2760" w:rsidRDefault="00914E9B" w:rsidP="00914E9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D2760">
        <w:rPr>
          <w:rFonts w:ascii="Arial" w:hAnsi="Arial" w:cs="Arial"/>
          <w:color w:val="010000"/>
          <w:sz w:val="20"/>
        </w:rPr>
        <w:t xml:space="preserve">This Resolution takes </w:t>
      </w:r>
      <w:r w:rsidR="007D2760">
        <w:rPr>
          <w:rFonts w:ascii="Arial" w:hAnsi="Arial" w:cs="Arial"/>
          <w:color w:val="010000"/>
          <w:sz w:val="20"/>
        </w:rPr>
        <w:t>effect</w:t>
      </w:r>
      <w:r w:rsidRPr="007D2760">
        <w:rPr>
          <w:rFonts w:ascii="Arial" w:hAnsi="Arial" w:cs="Arial"/>
          <w:color w:val="010000"/>
          <w:sz w:val="20"/>
        </w:rPr>
        <w:t xml:space="preserve"> from the date of its signing. The Board of Directors, the Board of Management, relevant departments and individuals are responsible for the implementation of this Resolution.</w:t>
      </w:r>
    </w:p>
    <w:sectPr w:rsidR="003B6619" w:rsidRPr="007D2760" w:rsidSect="00914E9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86F32"/>
    <w:multiLevelType w:val="multilevel"/>
    <w:tmpl w:val="294CD0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19"/>
    <w:rsid w:val="003B6619"/>
    <w:rsid w:val="00565314"/>
    <w:rsid w:val="007D2760"/>
    <w:rsid w:val="0080339C"/>
    <w:rsid w:val="00914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80187"/>
  <w15:docId w15:val="{6D3E5AAD-B4BD-44B4-9AB4-9899FCBD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o2MWzOgqlWThNl4fgQMgPiC7vw==">CgMxLjA4AHIhMU1RY3ZMd3VGT09ERWZEWURhTWhTZGpfNzJjZ2Y4SEVv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2023-12-21T07:20:00Z</dcterms:created>
  <dcterms:modified xsi:type="dcterms:W3CDTF">2023-12-21T07:20:00Z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6dad55e87aab1fcd9b8f69a40ab4cd4671bda9bfc9c1801e7c21034acc975929</vt:lpwstr>
  </property>
</Properties>
</file>