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364B" w:rsidRPr="009A0E69" w:rsidRDefault="004A2B8A" w:rsidP="004230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0E69">
        <w:rPr>
          <w:rFonts w:ascii="Arial" w:hAnsi="Arial" w:cs="Arial"/>
          <w:b/>
          <w:color w:val="010000"/>
          <w:sz w:val="20"/>
        </w:rPr>
        <w:t>MCG: Board Resolution</w:t>
      </w:r>
    </w:p>
    <w:p w14:paraId="00000002" w14:textId="77777777" w:rsidR="005E364B" w:rsidRPr="009A0E69" w:rsidRDefault="004A2B8A" w:rsidP="004230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 xml:space="preserve">On December 20, 2023, MCG Energy and Real Estate JSC announced Resolution No. 50/2023/BB-HDQT, as follows: </w:t>
      </w:r>
    </w:p>
    <w:p w14:paraId="00000003" w14:textId="77777777" w:rsidR="005E364B" w:rsidRPr="009A0E69" w:rsidRDefault="004A2B8A" w:rsidP="004230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 xml:space="preserve">‎‎Article 1. Agree on divesting all capital of MCG Energy and Real Estate JSC (Former name: Viet Nam Constructions and Mechanization Electrification Joint Stock Company) invested in its subsidiary - Van Lam Mechanization Joint Stock Company, specifically as follows: </w:t>
      </w:r>
    </w:p>
    <w:p w14:paraId="00000004" w14:textId="722EC0E5" w:rsidR="005E364B" w:rsidRPr="009A0E69" w:rsidRDefault="004A2B8A" w:rsidP="00423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>Transfer all contributed capital at: Van Lam Mechanization Joint Stock Company.</w:t>
      </w:r>
    </w:p>
    <w:p w14:paraId="00000005" w14:textId="77777777" w:rsidR="005E364B" w:rsidRPr="009A0E69" w:rsidRDefault="004A2B8A" w:rsidP="00423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>Business Registration Certificate No.: 0900275039 first issued by the Department of Planning and Investment of Hung Yen Province on September 14, 2007, registered for the 5th change on September 14, 2020.</w:t>
      </w:r>
    </w:p>
    <w:p w14:paraId="00000006" w14:textId="77777777" w:rsidR="005E364B" w:rsidRPr="009A0E69" w:rsidRDefault="004A2B8A" w:rsidP="00423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>Head office address: Ngoc Loan Village, Tan Quang Commune, Van Lam District, Hung Yen Province.</w:t>
      </w:r>
    </w:p>
    <w:p w14:paraId="00000007" w14:textId="77777777" w:rsidR="005E364B" w:rsidRPr="009A0E69" w:rsidRDefault="004A2B8A" w:rsidP="00423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>Total number of transferred shares: 514,800 shares</w:t>
      </w:r>
    </w:p>
    <w:p w14:paraId="00000008" w14:textId="67C4EFAE" w:rsidR="005E364B" w:rsidRPr="009A0E69" w:rsidRDefault="004A2B8A" w:rsidP="00423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>Total number of shares owned by MCG Energy and Real Estate JSC (Former name: Viet Nam Constructions and Mechanization Electrification Joint Stock Company) at Van Lam Mechanization Joint Stock Company after the transfer: 0 shares.</w:t>
      </w:r>
    </w:p>
    <w:p w14:paraId="00000009" w14:textId="77777777" w:rsidR="005E364B" w:rsidRPr="009A0E69" w:rsidRDefault="004A2B8A" w:rsidP="00423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>Transfer price: Not less than the par value.</w:t>
      </w:r>
    </w:p>
    <w:p w14:paraId="0000000A" w14:textId="56364A25" w:rsidR="005E364B" w:rsidRPr="009A0E69" w:rsidRDefault="004A2B8A" w:rsidP="004230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 xml:space="preserve">Article 2. Authorize Mr. Nguyen Ngoc Hung </w:t>
      </w:r>
      <w:r w:rsidR="004230F6">
        <w:rPr>
          <w:rFonts w:ascii="Arial" w:hAnsi="Arial" w:cs="Arial"/>
          <w:color w:val="010000"/>
          <w:sz w:val="20"/>
        </w:rPr>
        <w:t>–</w:t>
      </w:r>
      <w:r w:rsidRPr="009A0E69">
        <w:rPr>
          <w:rFonts w:ascii="Arial" w:hAnsi="Arial" w:cs="Arial"/>
          <w:color w:val="010000"/>
          <w:sz w:val="20"/>
        </w:rPr>
        <w:t xml:space="preserve"> </w:t>
      </w:r>
      <w:r w:rsidR="004230F6">
        <w:rPr>
          <w:rFonts w:ascii="Arial" w:hAnsi="Arial" w:cs="Arial"/>
          <w:color w:val="010000"/>
          <w:sz w:val="20"/>
        </w:rPr>
        <w:t>Managing Director</w:t>
      </w:r>
      <w:r w:rsidRPr="009A0E69">
        <w:rPr>
          <w:rFonts w:ascii="Arial" w:hAnsi="Arial" w:cs="Arial"/>
          <w:color w:val="010000"/>
          <w:sz w:val="20"/>
        </w:rPr>
        <w:t xml:space="preserve"> of the Company to carry out relevant procedures </w:t>
      </w:r>
      <w:r w:rsidR="004230F6">
        <w:rPr>
          <w:rFonts w:ascii="Arial" w:hAnsi="Arial" w:cs="Arial"/>
          <w:color w:val="010000"/>
          <w:sz w:val="20"/>
        </w:rPr>
        <w:t>under applicable laws and</w:t>
      </w:r>
      <w:bookmarkStart w:id="0" w:name="_GoBack"/>
      <w:bookmarkEnd w:id="0"/>
      <w:r w:rsidRPr="009A0E69">
        <w:rPr>
          <w:rFonts w:ascii="Arial" w:hAnsi="Arial" w:cs="Arial"/>
          <w:color w:val="010000"/>
          <w:sz w:val="20"/>
        </w:rPr>
        <w:t xml:space="preserve"> the Company's Charter and ensure the interests of the Company.</w:t>
      </w:r>
    </w:p>
    <w:p w14:paraId="0000000B" w14:textId="51A877ED" w:rsidR="005E364B" w:rsidRPr="004A2B8A" w:rsidRDefault="004A2B8A" w:rsidP="004230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0E69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4230F6">
        <w:rPr>
          <w:rFonts w:ascii="Arial" w:hAnsi="Arial" w:cs="Arial"/>
          <w:color w:val="010000"/>
          <w:sz w:val="20"/>
        </w:rPr>
        <w:t>Supervisory Board and Executive Board</w:t>
      </w:r>
      <w:r w:rsidRPr="009A0E69">
        <w:rPr>
          <w:rFonts w:ascii="Arial" w:hAnsi="Arial" w:cs="Arial"/>
          <w:color w:val="010000"/>
          <w:sz w:val="20"/>
        </w:rPr>
        <w:t>, subsidiaries and the person named in Article 3 are responsible for implementing this Resolution./.</w:t>
      </w:r>
    </w:p>
    <w:sectPr w:rsidR="005E364B" w:rsidRPr="004A2B8A" w:rsidSect="004A2B8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D91"/>
    <w:multiLevelType w:val="multilevel"/>
    <w:tmpl w:val="E45AD1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B"/>
    <w:rsid w:val="004230F6"/>
    <w:rsid w:val="004A2B8A"/>
    <w:rsid w:val="005E364B"/>
    <w:rsid w:val="009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4613F"/>
  <w15:docId w15:val="{306CE3B4-8472-4884-9688-78B7339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TWzyEEnA/dLC7ozO6lMs601iEQ==">CgMxLjA4AHIhMWxRQVVxX0x5bDQ1YWEtTEF1amJoN2o4UTVWay1WdDBj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2023-12-22T09:52:00Z</dcterms:created>
  <dcterms:modified xsi:type="dcterms:W3CDTF">2023-12-22T09:52:00Z</dcterms:modified>
</cp:coreProperties>
</file>