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38F2761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F46D6">
        <w:rPr>
          <w:rFonts w:ascii="Arial" w:hAnsi="Arial" w:cs="Arial"/>
          <w:b/>
          <w:color w:val="010000"/>
          <w:sz w:val="20"/>
        </w:rPr>
        <w:t>APS: Board Resolution</w:t>
      </w:r>
      <w:bookmarkStart w:id="0" w:name="_GoBack"/>
      <w:bookmarkEnd w:id="0"/>
    </w:p>
    <w:p w14:paraId="00000002" w14:textId="69D3E6AA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 xml:space="preserve">On December 19, 2023, Asia - Pacific Securities Joint Stock Company announced Resolution No. 30/2023/NQ-HDQT on changing the address of </w:t>
      </w:r>
      <w:r w:rsidR="00AF46D6" w:rsidRPr="00AF46D6">
        <w:rPr>
          <w:rFonts w:ascii="Arial" w:hAnsi="Arial" w:cs="Arial"/>
          <w:color w:val="010000"/>
          <w:sz w:val="20"/>
        </w:rPr>
        <w:t xml:space="preserve">the </w:t>
      </w:r>
      <w:r w:rsidRPr="00AF46D6">
        <w:rPr>
          <w:rFonts w:ascii="Arial" w:hAnsi="Arial" w:cs="Arial"/>
          <w:color w:val="010000"/>
          <w:sz w:val="20"/>
        </w:rPr>
        <w:t xml:space="preserve">Ho Chi Minh </w:t>
      </w:r>
      <w:r w:rsidR="00AF46D6" w:rsidRPr="00AF46D6">
        <w:rPr>
          <w:rFonts w:ascii="Arial" w:hAnsi="Arial" w:cs="Arial"/>
          <w:color w:val="010000"/>
          <w:sz w:val="20"/>
        </w:rPr>
        <w:t>Branch</w:t>
      </w:r>
      <w:r w:rsidRPr="00AF46D6">
        <w:rPr>
          <w:rFonts w:ascii="Arial" w:hAnsi="Arial" w:cs="Arial"/>
          <w:color w:val="010000"/>
          <w:sz w:val="20"/>
        </w:rPr>
        <w:t xml:space="preserve">, as follows: </w:t>
      </w:r>
    </w:p>
    <w:p w14:paraId="00000003" w14:textId="152C026A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 xml:space="preserve">Article 1: Approve changing the address of </w:t>
      </w:r>
      <w:r w:rsidR="00AF46D6" w:rsidRPr="00AF46D6">
        <w:rPr>
          <w:rFonts w:ascii="Arial" w:hAnsi="Arial" w:cs="Arial"/>
          <w:color w:val="010000"/>
          <w:sz w:val="20"/>
        </w:rPr>
        <w:t xml:space="preserve">the </w:t>
      </w:r>
      <w:r w:rsidRPr="00AF46D6">
        <w:rPr>
          <w:rFonts w:ascii="Arial" w:hAnsi="Arial" w:cs="Arial"/>
          <w:color w:val="010000"/>
          <w:sz w:val="20"/>
        </w:rPr>
        <w:t xml:space="preserve">Ho Chi Minh </w:t>
      </w:r>
      <w:r w:rsidR="00AF46D6" w:rsidRPr="00AF46D6">
        <w:rPr>
          <w:rFonts w:ascii="Arial" w:hAnsi="Arial" w:cs="Arial"/>
          <w:color w:val="010000"/>
          <w:sz w:val="20"/>
        </w:rPr>
        <w:t>Branch</w:t>
      </w:r>
      <w:r w:rsidRPr="00AF46D6">
        <w:rPr>
          <w:rFonts w:ascii="Arial" w:hAnsi="Arial" w:cs="Arial"/>
          <w:color w:val="010000"/>
          <w:sz w:val="20"/>
        </w:rPr>
        <w:t>:</w:t>
      </w:r>
    </w:p>
    <w:p w14:paraId="00000004" w14:textId="77777777" w:rsidR="00C80F9D" w:rsidRPr="00AF46D6" w:rsidRDefault="00944CD5" w:rsidP="00453C0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>Former address: 2nd Floor, Coteccons Office Building, No. 236/6 Dien Bien Phu, Ward 17, Binh Thanh District, Ho Chi Minh City</w:t>
      </w:r>
    </w:p>
    <w:p w14:paraId="00000006" w14:textId="77777777" w:rsidR="00C80F9D" w:rsidRPr="00AF46D6" w:rsidRDefault="00944CD5" w:rsidP="00453C0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>New address: 11th Floor, MB Sunny Tower, 259 Tran Hung Dao, Co Giang Ward, District 1, Ho Chi Minh City</w:t>
      </w:r>
    </w:p>
    <w:p w14:paraId="00000008" w14:textId="5948E712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 xml:space="preserve">Article 2: </w:t>
      </w:r>
      <w:r w:rsidR="00AF46D6" w:rsidRPr="00AF46D6">
        <w:rPr>
          <w:rFonts w:ascii="Arial" w:hAnsi="Arial" w:cs="Arial"/>
          <w:color w:val="010000"/>
          <w:sz w:val="20"/>
        </w:rPr>
        <w:t>Implementation</w:t>
      </w:r>
    </w:p>
    <w:p w14:paraId="00000009" w14:textId="0C3D6F5B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 xml:space="preserve">To implement </w:t>
      </w:r>
      <w:r w:rsidR="00AF46D6" w:rsidRPr="00AF46D6">
        <w:rPr>
          <w:rFonts w:ascii="Arial" w:hAnsi="Arial" w:cs="Arial"/>
          <w:color w:val="010000"/>
          <w:sz w:val="20"/>
        </w:rPr>
        <w:t xml:space="preserve">the change of the </w:t>
      </w:r>
      <w:r w:rsidRPr="00AF46D6">
        <w:rPr>
          <w:rFonts w:ascii="Arial" w:hAnsi="Arial" w:cs="Arial"/>
          <w:color w:val="010000"/>
          <w:sz w:val="20"/>
        </w:rPr>
        <w:t>branch</w:t>
      </w:r>
      <w:r w:rsidR="00AF46D6" w:rsidRPr="00AF46D6">
        <w:rPr>
          <w:rFonts w:ascii="Arial" w:hAnsi="Arial" w:cs="Arial"/>
          <w:color w:val="010000"/>
          <w:sz w:val="20"/>
        </w:rPr>
        <w:t>’s address</w:t>
      </w:r>
      <w:r w:rsidRPr="00AF46D6">
        <w:rPr>
          <w:rFonts w:ascii="Arial" w:hAnsi="Arial" w:cs="Arial"/>
          <w:color w:val="010000"/>
          <w:sz w:val="20"/>
        </w:rPr>
        <w:t xml:space="preserve"> quickly and conveniently, the Board of Directors assigned the Board of Managers of the Company to carry out the procedures for registration for </w:t>
      </w:r>
      <w:r w:rsidR="00AF46D6" w:rsidRPr="00AF46D6">
        <w:rPr>
          <w:rFonts w:ascii="Arial" w:hAnsi="Arial" w:cs="Arial"/>
          <w:color w:val="010000"/>
          <w:sz w:val="20"/>
        </w:rPr>
        <w:t>changing the</w:t>
      </w:r>
      <w:r w:rsidRPr="00AF46D6">
        <w:rPr>
          <w:rFonts w:ascii="Arial" w:hAnsi="Arial" w:cs="Arial"/>
          <w:color w:val="010000"/>
          <w:sz w:val="20"/>
        </w:rPr>
        <w:t xml:space="preserve"> operating license</w:t>
      </w:r>
      <w:r w:rsidR="00AF46D6" w:rsidRPr="00AF46D6">
        <w:rPr>
          <w:rFonts w:ascii="Arial" w:hAnsi="Arial" w:cs="Arial"/>
          <w:color w:val="010000"/>
          <w:sz w:val="20"/>
        </w:rPr>
        <w:t xml:space="preserve"> in accordance with</w:t>
      </w:r>
      <w:r w:rsidRPr="00AF46D6">
        <w:rPr>
          <w:rFonts w:ascii="Arial" w:hAnsi="Arial" w:cs="Arial"/>
          <w:color w:val="010000"/>
          <w:sz w:val="20"/>
        </w:rPr>
        <w:t xml:space="preserve"> the law.</w:t>
      </w:r>
    </w:p>
    <w:p w14:paraId="0000000A" w14:textId="77777777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>Article 3: Terms of enforcement</w:t>
      </w:r>
    </w:p>
    <w:p w14:paraId="0000000B" w14:textId="77777777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F46D6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C" w14:textId="6C2FAD3A" w:rsidR="00C80F9D" w:rsidRPr="00AF46D6" w:rsidRDefault="00944CD5" w:rsidP="00453C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80F9D" w:rsidRPr="00AF46D6" w:rsidSect="00944CD5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AF46D6">
        <w:rPr>
          <w:rFonts w:ascii="Arial" w:hAnsi="Arial" w:cs="Arial"/>
          <w:color w:val="010000"/>
          <w:sz w:val="20"/>
        </w:rPr>
        <w:t xml:space="preserve">Members of the Board of Directors, </w:t>
      </w:r>
      <w:r w:rsidR="00AF46D6">
        <w:rPr>
          <w:rFonts w:ascii="Arial" w:hAnsi="Arial" w:cs="Arial"/>
          <w:color w:val="010000"/>
          <w:sz w:val="20"/>
        </w:rPr>
        <w:t xml:space="preserve">the </w:t>
      </w:r>
      <w:r w:rsidRPr="00AF46D6">
        <w:rPr>
          <w:rFonts w:ascii="Arial" w:hAnsi="Arial" w:cs="Arial"/>
          <w:color w:val="010000"/>
          <w:sz w:val="20"/>
        </w:rPr>
        <w:t>Board of Managers, heads of units, departments and relevant individuals are responsible for implementing this Resolution.</w:t>
      </w:r>
    </w:p>
    <w:p w14:paraId="0000000D" w14:textId="77777777" w:rsidR="00C80F9D" w:rsidRPr="00AF46D6" w:rsidRDefault="00C80F9D" w:rsidP="00944CD5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C80F9D" w:rsidRPr="00AF46D6" w:rsidSect="00944CD5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09F"/>
    <w:multiLevelType w:val="hybridMultilevel"/>
    <w:tmpl w:val="AA002C08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D"/>
    <w:rsid w:val="00453C08"/>
    <w:rsid w:val="004C5E3A"/>
    <w:rsid w:val="00944CD5"/>
    <w:rsid w:val="00AF46D6"/>
    <w:rsid w:val="00C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92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RmRqFQG/+qAuqjghiz+UPSytw==">CgMxLjA4AHIhMXB3c2E2dHk4Z2tRQW5abGdsWEE3cUZNZElUWnJ5WEY0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856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2023-12-21T11:26:00Z</dcterms:created>
  <dcterms:modified xsi:type="dcterms:W3CDTF">2023-12-22T06:56:00Z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902688c579a7c62f44ec5117ae7ca9736ed46a7d67e8a2ec8b32aac676e7527a</vt:lpwstr>
  </property>
</Properties>
</file>