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0DFA9" w14:textId="77777777" w:rsidR="000C010B" w:rsidRPr="008E75C4" w:rsidRDefault="00290A98" w:rsidP="002231ED">
      <w:pPr>
        <w:pBdr>
          <w:top w:val="nil"/>
          <w:left w:val="nil"/>
          <w:bottom w:val="nil"/>
          <w:right w:val="nil"/>
          <w:between w:val="nil"/>
        </w:pBdr>
        <w:tabs>
          <w:tab w:val="left" w:pos="432"/>
          <w:tab w:val="left" w:pos="4688"/>
          <w:tab w:val="left" w:pos="4962"/>
        </w:tabs>
        <w:spacing w:after="120" w:line="360" w:lineRule="auto"/>
        <w:jc w:val="both"/>
        <w:rPr>
          <w:rFonts w:ascii="Arial" w:eastAsia="Arial" w:hAnsi="Arial" w:cs="Arial"/>
          <w:b/>
          <w:color w:val="010000"/>
          <w:sz w:val="20"/>
          <w:szCs w:val="20"/>
        </w:rPr>
      </w:pPr>
      <w:r w:rsidRPr="008E75C4">
        <w:rPr>
          <w:rFonts w:ascii="Arial" w:hAnsi="Arial" w:cs="Arial"/>
          <w:b/>
          <w:bCs/>
          <w:color w:val="010000"/>
          <w:sz w:val="20"/>
        </w:rPr>
        <w:t>BID122004:</w:t>
      </w:r>
      <w:r w:rsidRPr="008E75C4">
        <w:rPr>
          <w:rFonts w:ascii="Arial" w:hAnsi="Arial" w:cs="Arial"/>
          <w:b/>
          <w:color w:val="010000"/>
          <w:sz w:val="20"/>
        </w:rPr>
        <w:t xml:space="preserve"> N</w:t>
      </w:r>
      <w:bookmarkStart w:id="0" w:name="_GoBack"/>
      <w:r w:rsidRPr="008E75C4">
        <w:rPr>
          <w:rFonts w:ascii="Arial" w:hAnsi="Arial" w:cs="Arial"/>
          <w:b/>
          <w:color w:val="010000"/>
          <w:sz w:val="20"/>
        </w:rPr>
        <w:t>otice on the record date for bond interest payment for period 02</w:t>
      </w:r>
    </w:p>
    <w:p w14:paraId="4DE118EE" w14:textId="51B0F112" w:rsidR="000C010B" w:rsidRPr="008E75C4" w:rsidRDefault="00290A98" w:rsidP="002231ED">
      <w:pPr>
        <w:pBdr>
          <w:top w:val="nil"/>
          <w:left w:val="nil"/>
          <w:bottom w:val="nil"/>
          <w:right w:val="nil"/>
          <w:between w:val="nil"/>
        </w:pBdr>
        <w:tabs>
          <w:tab w:val="left" w:pos="432"/>
          <w:tab w:val="left" w:pos="4688"/>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 xml:space="preserve">On December </w:t>
      </w:r>
      <w:r w:rsidR="008E75C4" w:rsidRPr="008E75C4">
        <w:rPr>
          <w:rFonts w:ascii="Arial" w:hAnsi="Arial" w:cs="Arial"/>
          <w:color w:val="010000"/>
          <w:sz w:val="20"/>
        </w:rPr>
        <w:t>18</w:t>
      </w:r>
      <w:r w:rsidRPr="008E75C4">
        <w:rPr>
          <w:rFonts w:ascii="Arial" w:hAnsi="Arial" w:cs="Arial"/>
          <w:color w:val="010000"/>
          <w:sz w:val="20"/>
        </w:rPr>
        <w:t>, 2023, Vietnam Securities Depository and Clearing Corporation announced Notice No. 3629/TB-VSDC on the record date and the confirmation of the list of security owners as follows:</w:t>
      </w:r>
    </w:p>
    <w:tbl>
      <w:tblPr>
        <w:tblStyle w:val="a"/>
        <w:tblW w:w="5000" w:type="pct"/>
        <w:tblLook w:val="0000" w:firstRow="0" w:lastRow="0" w:firstColumn="0" w:lastColumn="0" w:noHBand="0" w:noVBand="0"/>
      </w:tblPr>
      <w:tblGrid>
        <w:gridCol w:w="2558"/>
        <w:gridCol w:w="6488"/>
      </w:tblGrid>
      <w:tr w:rsidR="000C010B" w:rsidRPr="008E75C4" w14:paraId="07AF3001" w14:textId="77777777" w:rsidTr="00290A98">
        <w:tc>
          <w:tcPr>
            <w:tcW w:w="1414" w:type="pct"/>
            <w:shd w:val="clear" w:color="auto" w:fill="auto"/>
          </w:tcPr>
          <w:p w14:paraId="6D7913FC" w14:textId="2531B550"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Name of the issuer:</w:t>
            </w:r>
          </w:p>
        </w:tc>
        <w:tc>
          <w:tcPr>
            <w:tcW w:w="3586" w:type="pct"/>
            <w:shd w:val="clear" w:color="auto" w:fill="auto"/>
          </w:tcPr>
          <w:p w14:paraId="59009DB6"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Joint Stock Commercial Bank for Investment and Development of Vietnam</w:t>
            </w:r>
          </w:p>
        </w:tc>
      </w:tr>
      <w:tr w:rsidR="000C010B" w:rsidRPr="008E75C4" w14:paraId="488CE372" w14:textId="77777777" w:rsidTr="00290A98">
        <w:tc>
          <w:tcPr>
            <w:tcW w:w="1414" w:type="pct"/>
            <w:shd w:val="clear" w:color="auto" w:fill="auto"/>
          </w:tcPr>
          <w:p w14:paraId="66D14484" w14:textId="6740D18D"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Security name:</w:t>
            </w:r>
          </w:p>
        </w:tc>
        <w:tc>
          <w:tcPr>
            <w:tcW w:w="3586" w:type="pct"/>
            <w:shd w:val="clear" w:color="auto" w:fill="auto"/>
          </w:tcPr>
          <w:p w14:paraId="053E77F7"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Bonds issued by Joint Stock Commercial Bank for Investment and Development of Vietnam to the public in 2021</w:t>
            </w:r>
          </w:p>
        </w:tc>
      </w:tr>
      <w:tr w:rsidR="000C010B" w:rsidRPr="008E75C4" w14:paraId="721CA6B0" w14:textId="77777777" w:rsidTr="00290A98">
        <w:tc>
          <w:tcPr>
            <w:tcW w:w="1414" w:type="pct"/>
            <w:shd w:val="clear" w:color="auto" w:fill="auto"/>
          </w:tcPr>
          <w:p w14:paraId="5FFE6667" w14:textId="77777777"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Security code:</w:t>
            </w:r>
          </w:p>
        </w:tc>
        <w:tc>
          <w:tcPr>
            <w:tcW w:w="3586" w:type="pct"/>
            <w:shd w:val="clear" w:color="auto" w:fill="auto"/>
          </w:tcPr>
          <w:p w14:paraId="3DAB5D07"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BID122004</w:t>
            </w:r>
          </w:p>
        </w:tc>
      </w:tr>
      <w:tr w:rsidR="000C010B" w:rsidRPr="008E75C4" w14:paraId="20F8A0BD" w14:textId="77777777" w:rsidTr="00290A98">
        <w:tc>
          <w:tcPr>
            <w:tcW w:w="1414" w:type="pct"/>
            <w:shd w:val="clear" w:color="auto" w:fill="auto"/>
          </w:tcPr>
          <w:p w14:paraId="5033A346" w14:textId="3CB3F134"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ISIN code:</w:t>
            </w:r>
          </w:p>
        </w:tc>
        <w:tc>
          <w:tcPr>
            <w:tcW w:w="3586" w:type="pct"/>
            <w:shd w:val="clear" w:color="auto" w:fill="auto"/>
          </w:tcPr>
          <w:p w14:paraId="680B9FA6"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VNBID1220044</w:t>
            </w:r>
          </w:p>
        </w:tc>
      </w:tr>
      <w:tr w:rsidR="000C010B" w:rsidRPr="008E75C4" w14:paraId="1CE465A4" w14:textId="77777777" w:rsidTr="00290A98">
        <w:tc>
          <w:tcPr>
            <w:tcW w:w="1414" w:type="pct"/>
            <w:shd w:val="clear" w:color="auto" w:fill="auto"/>
          </w:tcPr>
          <w:p w14:paraId="7D3B28AE" w14:textId="5E392FB4"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Stock exchange:</w:t>
            </w:r>
          </w:p>
        </w:tc>
        <w:tc>
          <w:tcPr>
            <w:tcW w:w="3586" w:type="pct"/>
            <w:shd w:val="clear" w:color="auto" w:fill="auto"/>
          </w:tcPr>
          <w:p w14:paraId="619499FD"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HNX</w:t>
            </w:r>
          </w:p>
        </w:tc>
      </w:tr>
      <w:tr w:rsidR="000C010B" w:rsidRPr="008E75C4" w14:paraId="297EDA3B" w14:textId="77777777" w:rsidTr="00290A98">
        <w:tc>
          <w:tcPr>
            <w:tcW w:w="1414" w:type="pct"/>
            <w:shd w:val="clear" w:color="auto" w:fill="auto"/>
          </w:tcPr>
          <w:p w14:paraId="011BF92F" w14:textId="52E80819"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Security type:</w:t>
            </w:r>
          </w:p>
        </w:tc>
        <w:tc>
          <w:tcPr>
            <w:tcW w:w="3586" w:type="pct"/>
            <w:shd w:val="clear" w:color="auto" w:fill="auto"/>
          </w:tcPr>
          <w:p w14:paraId="293320D2"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Corporate bond</w:t>
            </w:r>
          </w:p>
        </w:tc>
      </w:tr>
      <w:tr w:rsidR="000C010B" w:rsidRPr="008E75C4" w14:paraId="73254BC7" w14:textId="77777777" w:rsidTr="00290A98">
        <w:tc>
          <w:tcPr>
            <w:tcW w:w="1414" w:type="pct"/>
            <w:shd w:val="clear" w:color="auto" w:fill="auto"/>
          </w:tcPr>
          <w:p w14:paraId="0286C26C" w14:textId="2A8B7CA7"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Transaction par value:</w:t>
            </w:r>
          </w:p>
        </w:tc>
        <w:tc>
          <w:tcPr>
            <w:tcW w:w="3586" w:type="pct"/>
            <w:shd w:val="clear" w:color="auto" w:fill="auto"/>
          </w:tcPr>
          <w:p w14:paraId="06DD4ED1"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VND 100,000</w:t>
            </w:r>
          </w:p>
        </w:tc>
      </w:tr>
      <w:tr w:rsidR="000C010B" w:rsidRPr="008E75C4" w14:paraId="30399577" w14:textId="77777777" w:rsidTr="00290A98">
        <w:tc>
          <w:tcPr>
            <w:tcW w:w="1414" w:type="pct"/>
            <w:shd w:val="clear" w:color="auto" w:fill="auto"/>
          </w:tcPr>
          <w:p w14:paraId="78D9120B" w14:textId="5C6223CB"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Term:</w:t>
            </w:r>
          </w:p>
        </w:tc>
        <w:tc>
          <w:tcPr>
            <w:tcW w:w="3586" w:type="pct"/>
            <w:shd w:val="clear" w:color="auto" w:fill="auto"/>
          </w:tcPr>
          <w:p w14:paraId="3A9639F1"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08 years</w:t>
            </w:r>
          </w:p>
        </w:tc>
      </w:tr>
      <w:tr w:rsidR="000C010B" w:rsidRPr="008E75C4" w14:paraId="2B2FDB82" w14:textId="77777777" w:rsidTr="00290A98">
        <w:tc>
          <w:tcPr>
            <w:tcW w:w="1414" w:type="pct"/>
            <w:shd w:val="clear" w:color="auto" w:fill="auto"/>
          </w:tcPr>
          <w:p w14:paraId="2C27B193" w14:textId="3C03FE4F"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Date of issuance:</w:t>
            </w:r>
          </w:p>
        </w:tc>
        <w:tc>
          <w:tcPr>
            <w:tcW w:w="3586" w:type="pct"/>
            <w:shd w:val="clear" w:color="auto" w:fill="auto"/>
          </w:tcPr>
          <w:p w14:paraId="09D428DA"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January 25, 2022</w:t>
            </w:r>
          </w:p>
        </w:tc>
      </w:tr>
      <w:tr w:rsidR="000C010B" w:rsidRPr="008E75C4" w14:paraId="5EAC6EBF" w14:textId="77777777" w:rsidTr="00290A98">
        <w:tc>
          <w:tcPr>
            <w:tcW w:w="1414" w:type="pct"/>
            <w:shd w:val="clear" w:color="auto" w:fill="auto"/>
          </w:tcPr>
          <w:p w14:paraId="6604D96C" w14:textId="77777777"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Maturity date:</w:t>
            </w:r>
          </w:p>
        </w:tc>
        <w:tc>
          <w:tcPr>
            <w:tcW w:w="3586" w:type="pct"/>
            <w:shd w:val="clear" w:color="auto" w:fill="auto"/>
          </w:tcPr>
          <w:p w14:paraId="63160436"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January 25, 2030</w:t>
            </w:r>
          </w:p>
        </w:tc>
      </w:tr>
      <w:tr w:rsidR="000C010B" w:rsidRPr="008E75C4" w14:paraId="13347808" w14:textId="77777777" w:rsidTr="00290A98">
        <w:tc>
          <w:tcPr>
            <w:tcW w:w="1414" w:type="pct"/>
            <w:shd w:val="clear" w:color="auto" w:fill="auto"/>
          </w:tcPr>
          <w:p w14:paraId="18217B24" w14:textId="003FF532"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Interest rate:</w:t>
            </w:r>
          </w:p>
        </w:tc>
        <w:tc>
          <w:tcPr>
            <w:tcW w:w="3586" w:type="pct"/>
            <w:shd w:val="clear" w:color="auto" w:fill="auto"/>
          </w:tcPr>
          <w:p w14:paraId="577DE12E"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8.3%/year</w:t>
            </w:r>
          </w:p>
        </w:tc>
      </w:tr>
      <w:tr w:rsidR="000C010B" w:rsidRPr="008E75C4" w14:paraId="0CEE13D4" w14:textId="77777777" w:rsidTr="00290A98">
        <w:tc>
          <w:tcPr>
            <w:tcW w:w="1414" w:type="pct"/>
            <w:shd w:val="clear" w:color="auto" w:fill="auto"/>
          </w:tcPr>
          <w:p w14:paraId="5EED87F9" w14:textId="30AE2022"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Record date:</w:t>
            </w:r>
          </w:p>
        </w:tc>
        <w:tc>
          <w:tcPr>
            <w:tcW w:w="3586" w:type="pct"/>
            <w:shd w:val="clear" w:color="auto" w:fill="auto"/>
          </w:tcPr>
          <w:p w14:paraId="598636B8" w14:textId="7777777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January 11, 2024</w:t>
            </w:r>
          </w:p>
        </w:tc>
      </w:tr>
      <w:tr w:rsidR="000C010B" w:rsidRPr="008E75C4" w14:paraId="23C761C2" w14:textId="77777777" w:rsidTr="00290A98">
        <w:tc>
          <w:tcPr>
            <w:tcW w:w="1414" w:type="pct"/>
            <w:shd w:val="clear" w:color="auto" w:fill="auto"/>
          </w:tcPr>
          <w:p w14:paraId="247B5D78" w14:textId="23138F32" w:rsidR="000C010B" w:rsidRPr="008E75C4" w:rsidRDefault="00290A98" w:rsidP="002231ED">
            <w:pPr>
              <w:numPr>
                <w:ilvl w:val="0"/>
                <w:numId w:val="4"/>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Reason and purpose:</w:t>
            </w:r>
          </w:p>
        </w:tc>
        <w:tc>
          <w:tcPr>
            <w:tcW w:w="3586" w:type="pct"/>
            <w:shd w:val="clear" w:color="auto" w:fill="auto"/>
          </w:tcPr>
          <w:p w14:paraId="2BBD99F0" w14:textId="05B73397"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 xml:space="preserve">Bond interest payment for period </w:t>
            </w:r>
            <w:r w:rsidR="008E75C4" w:rsidRPr="008E75C4">
              <w:rPr>
                <w:rFonts w:ascii="Arial" w:hAnsi="Arial" w:cs="Arial"/>
                <w:color w:val="010000"/>
                <w:sz w:val="20"/>
              </w:rPr>
              <w:t>0</w:t>
            </w:r>
            <w:r w:rsidRPr="008E75C4">
              <w:rPr>
                <w:rFonts w:ascii="Arial" w:hAnsi="Arial" w:cs="Arial"/>
                <w:color w:val="010000"/>
                <w:sz w:val="20"/>
              </w:rPr>
              <w:t>2</w:t>
            </w:r>
            <w:r w:rsidR="008E75C4" w:rsidRPr="008E75C4">
              <w:rPr>
                <w:rFonts w:ascii="Arial" w:hAnsi="Arial" w:cs="Arial"/>
                <w:color w:val="010000"/>
                <w:sz w:val="20"/>
              </w:rPr>
              <w:t>,</w:t>
            </w:r>
            <w:r w:rsidRPr="008E75C4">
              <w:rPr>
                <w:rFonts w:ascii="Arial" w:hAnsi="Arial" w:cs="Arial"/>
                <w:color w:val="010000"/>
                <w:sz w:val="20"/>
              </w:rPr>
              <w:t xml:space="preserve"> from January 25, 2023 until but not including January 25, 2024 of</w:t>
            </w:r>
            <w:r w:rsidR="008E75C4" w:rsidRPr="008E75C4">
              <w:rPr>
                <w:rFonts w:ascii="Arial" w:hAnsi="Arial" w:cs="Arial"/>
                <w:color w:val="010000"/>
                <w:sz w:val="20"/>
              </w:rPr>
              <w:t xml:space="preserve"> BID122004</w:t>
            </w:r>
            <w:r w:rsidRPr="008E75C4">
              <w:rPr>
                <w:rFonts w:ascii="Arial" w:hAnsi="Arial" w:cs="Arial"/>
                <w:color w:val="010000"/>
                <w:sz w:val="20"/>
              </w:rPr>
              <w:t xml:space="preserve"> bond </w:t>
            </w:r>
          </w:p>
        </w:tc>
      </w:tr>
      <w:tr w:rsidR="000C010B" w:rsidRPr="008E75C4" w14:paraId="008ED62F" w14:textId="77777777" w:rsidTr="00290A98">
        <w:tc>
          <w:tcPr>
            <w:tcW w:w="1414" w:type="pct"/>
            <w:shd w:val="clear" w:color="auto" w:fill="auto"/>
          </w:tcPr>
          <w:p w14:paraId="32FE1396" w14:textId="77777777" w:rsidR="000C010B" w:rsidRPr="008E75C4" w:rsidRDefault="00290A98" w:rsidP="002231ED">
            <w:pPr>
              <w:numPr>
                <w:ilvl w:val="0"/>
                <w:numId w:val="1"/>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Exercise rate:</w:t>
            </w:r>
          </w:p>
        </w:tc>
        <w:tc>
          <w:tcPr>
            <w:tcW w:w="3586" w:type="pct"/>
            <w:shd w:val="clear" w:color="auto" w:fill="auto"/>
          </w:tcPr>
          <w:p w14:paraId="58423F9A" w14:textId="45687558" w:rsidR="000C010B" w:rsidRPr="008E75C4" w:rsidRDefault="008E75C4"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Bondholders</w:t>
            </w:r>
            <w:r w:rsidR="00290A98" w:rsidRPr="008E75C4">
              <w:rPr>
                <w:rFonts w:ascii="Arial" w:hAnsi="Arial" w:cs="Arial"/>
                <w:color w:val="010000"/>
                <w:sz w:val="20"/>
              </w:rPr>
              <w:t xml:space="preserve"> receive VND 8,300 for every bond they own</w:t>
            </w:r>
          </w:p>
        </w:tc>
      </w:tr>
    </w:tbl>
    <w:p w14:paraId="6CDFA7D1" w14:textId="75C6F498"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 xml:space="preserve">The bond interest is calculated as follows: Bond interest earned during the interest payment period = Total </w:t>
      </w:r>
      <w:r w:rsidR="008E75C4" w:rsidRPr="008E75C4">
        <w:rPr>
          <w:rFonts w:ascii="Arial" w:hAnsi="Arial" w:cs="Arial"/>
          <w:color w:val="010000"/>
          <w:sz w:val="20"/>
        </w:rPr>
        <w:t>par</w:t>
      </w:r>
      <w:r w:rsidRPr="008E75C4">
        <w:rPr>
          <w:rFonts w:ascii="Arial" w:hAnsi="Arial" w:cs="Arial"/>
          <w:color w:val="010000"/>
          <w:sz w:val="20"/>
        </w:rPr>
        <w:t xml:space="preserve"> value of bonds held at the record date x 8.3% x 365/365.</w:t>
      </w:r>
    </w:p>
    <w:p w14:paraId="5B35F19F" w14:textId="72F7C10C" w:rsidR="000C010B" w:rsidRPr="008E75C4" w:rsidRDefault="00290A98" w:rsidP="002231ED">
      <w:pPr>
        <w:pBdr>
          <w:top w:val="nil"/>
          <w:left w:val="nil"/>
          <w:bottom w:val="nil"/>
          <w:right w:val="nil"/>
          <w:between w:val="nil"/>
        </w:pBdr>
        <w:tabs>
          <w:tab w:val="left" w:pos="432"/>
          <w:tab w:val="left" w:pos="4962"/>
        </w:tabs>
        <w:spacing w:after="120" w:line="360" w:lineRule="auto"/>
        <w:jc w:val="both"/>
        <w:rPr>
          <w:rFonts w:ascii="Arial" w:eastAsia="Arial" w:hAnsi="Arial" w:cs="Arial"/>
          <w:color w:val="010000"/>
          <w:sz w:val="20"/>
          <w:szCs w:val="20"/>
        </w:rPr>
      </w:pPr>
      <w:r w:rsidRPr="008E75C4">
        <w:rPr>
          <w:rFonts w:ascii="Arial" w:hAnsi="Arial" w:cs="Arial"/>
          <w:color w:val="010000"/>
          <w:sz w:val="20"/>
        </w:rPr>
        <w:t>The total amount of bond interest actually received by the bondholders will be rounded to the unit (if the first decimal place is equal to or greater than 5, the number is rounded up; if the first decimal is less than 5, the decimal part is canceled).</w:t>
      </w:r>
    </w:p>
    <w:p w14:paraId="3F83599F" w14:textId="52C267F4" w:rsidR="000C010B" w:rsidRPr="008E75C4" w:rsidRDefault="00290A98" w:rsidP="002231ED">
      <w:pPr>
        <w:numPr>
          <w:ilvl w:val="0"/>
          <w:numId w:val="2"/>
        </w:numPr>
        <w:pBdr>
          <w:top w:val="nil"/>
          <w:left w:val="nil"/>
          <w:bottom w:val="nil"/>
          <w:right w:val="nil"/>
          <w:between w:val="nil"/>
        </w:pBdr>
        <w:tabs>
          <w:tab w:val="left" w:pos="432"/>
          <w:tab w:val="left" w:pos="2977"/>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Execution time:</w:t>
      </w:r>
      <w:r w:rsidRPr="008E75C4">
        <w:rPr>
          <w:rFonts w:ascii="Arial" w:hAnsi="Arial" w:cs="Arial"/>
          <w:color w:val="010000"/>
          <w:sz w:val="20"/>
        </w:rPr>
        <w:tab/>
        <w:t>January 25, 2024</w:t>
      </w:r>
    </w:p>
    <w:p w14:paraId="2D120214" w14:textId="77777777" w:rsidR="000C010B" w:rsidRPr="008E75C4" w:rsidRDefault="00290A98" w:rsidP="002231ED">
      <w:pPr>
        <w:numPr>
          <w:ilvl w:val="0"/>
          <w:numId w:val="2"/>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Implementation venue:</w:t>
      </w:r>
    </w:p>
    <w:p w14:paraId="26E68086" w14:textId="366AAB91" w:rsidR="000C010B" w:rsidRPr="008E75C4" w:rsidRDefault="00290A98" w:rsidP="002231ED">
      <w:pPr>
        <w:numPr>
          <w:ilvl w:val="0"/>
          <w:numId w:val="3"/>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For deposited securities: Owners carry out procedures to receive corporate bond interest at depository members where depository accounts are opened.</w:t>
      </w:r>
    </w:p>
    <w:p w14:paraId="73DD648D" w14:textId="3544AAC0" w:rsidR="000C010B" w:rsidRPr="008E75C4" w:rsidRDefault="00290A98" w:rsidP="002231ED">
      <w:pPr>
        <w:numPr>
          <w:ilvl w:val="0"/>
          <w:numId w:val="3"/>
        </w:numPr>
        <w:pBdr>
          <w:top w:val="nil"/>
          <w:left w:val="nil"/>
          <w:bottom w:val="nil"/>
          <w:right w:val="nil"/>
          <w:between w:val="nil"/>
        </w:pBdr>
        <w:tabs>
          <w:tab w:val="left" w:pos="432"/>
          <w:tab w:val="left" w:pos="4962"/>
        </w:tabs>
        <w:spacing w:after="120" w:line="360" w:lineRule="auto"/>
        <w:ind w:left="0" w:firstLine="0"/>
        <w:jc w:val="both"/>
        <w:rPr>
          <w:rFonts w:ascii="Arial" w:eastAsia="Arial" w:hAnsi="Arial" w:cs="Arial"/>
          <w:color w:val="010000"/>
          <w:sz w:val="20"/>
          <w:szCs w:val="20"/>
        </w:rPr>
      </w:pPr>
      <w:r w:rsidRPr="008E75C4">
        <w:rPr>
          <w:rFonts w:ascii="Arial" w:hAnsi="Arial" w:cs="Arial"/>
          <w:color w:val="010000"/>
          <w:sz w:val="20"/>
        </w:rPr>
        <w:t>For undeposited securities: Owners carry out procedures to receive corporate bond interest at Ho Chi Minh City Securities Corporation from January 25, 2024 and present their ID card.</w:t>
      </w:r>
    </w:p>
    <w:bookmarkEnd w:id="0"/>
    <w:p w14:paraId="57699218" w14:textId="6E25868B" w:rsidR="000C010B" w:rsidRPr="008E75C4" w:rsidRDefault="000C010B" w:rsidP="00D37E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0C010B" w:rsidRPr="008E75C4" w:rsidSect="00290A9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5CD"/>
    <w:multiLevelType w:val="multilevel"/>
    <w:tmpl w:val="735ABDF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A77947"/>
    <w:multiLevelType w:val="multilevel"/>
    <w:tmpl w:val="7FC8C41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C1366C"/>
    <w:multiLevelType w:val="multilevel"/>
    <w:tmpl w:val="D504727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4A72D0D"/>
    <w:multiLevelType w:val="multilevel"/>
    <w:tmpl w:val="BE4E344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0B"/>
    <w:rsid w:val="000C010B"/>
    <w:rsid w:val="002231ED"/>
    <w:rsid w:val="00290A98"/>
    <w:rsid w:val="008E75C4"/>
    <w:rsid w:val="00D3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0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yhVn1NWLXPs/rDE6aJr2p0rMVw==">CgMxLjA4AHIhMWRtZ0ZpYzRnRnZoUnVIeTAwbm9UeGtZMmprR0FBLVFz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2023-12-22T07:56:00Z</dcterms:created>
  <dcterms:modified xsi:type="dcterms:W3CDTF">2023-12-25T03:33:00Z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c8fc5da79de0bd20dd86d351c9b9e491ef04605535aaf78428459cf6498d25b9</vt:lpwstr>
  </property>
</Properties>
</file>