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34861" w:rsidRPr="00E850C7" w:rsidRDefault="002F54F1" w:rsidP="002B70BA">
      <w:pPr>
        <w:pBdr>
          <w:top w:val="nil"/>
          <w:left w:val="nil"/>
          <w:bottom w:val="nil"/>
          <w:right w:val="nil"/>
          <w:between w:val="nil"/>
        </w:pBdr>
        <w:tabs>
          <w:tab w:val="left" w:pos="180"/>
          <w:tab w:val="left" w:pos="4230"/>
        </w:tabs>
        <w:spacing w:after="120" w:line="360" w:lineRule="auto"/>
        <w:jc w:val="both"/>
        <w:rPr>
          <w:rFonts w:ascii="Arial" w:eastAsia="Arial" w:hAnsi="Arial" w:cs="Arial"/>
          <w:b/>
          <w:color w:val="010000"/>
          <w:sz w:val="20"/>
          <w:szCs w:val="20"/>
        </w:rPr>
      </w:pPr>
      <w:r w:rsidRPr="00E850C7">
        <w:rPr>
          <w:rFonts w:ascii="Arial" w:hAnsi="Arial" w:cs="Arial"/>
          <w:b/>
          <w:color w:val="010000"/>
          <w:sz w:val="20"/>
        </w:rPr>
        <w:t>DDG: Board Resolution</w:t>
      </w:r>
      <w:bookmarkStart w:id="0" w:name="_GoBack"/>
      <w:bookmarkEnd w:id="0"/>
    </w:p>
    <w:p w14:paraId="00000002" w14:textId="2163A016" w:rsidR="00A34861" w:rsidRPr="00E850C7" w:rsidRDefault="002F54F1" w:rsidP="002B70BA">
      <w:pPr>
        <w:pBdr>
          <w:top w:val="nil"/>
          <w:left w:val="nil"/>
          <w:bottom w:val="nil"/>
          <w:right w:val="nil"/>
          <w:between w:val="nil"/>
        </w:pBdr>
        <w:tabs>
          <w:tab w:val="left" w:pos="180"/>
          <w:tab w:val="left" w:pos="4230"/>
        </w:tabs>
        <w:spacing w:after="120" w:line="360" w:lineRule="auto"/>
        <w:jc w:val="both"/>
        <w:rPr>
          <w:rFonts w:ascii="Arial" w:eastAsia="Arial" w:hAnsi="Arial" w:cs="Arial"/>
          <w:color w:val="010000"/>
          <w:sz w:val="20"/>
          <w:szCs w:val="20"/>
        </w:rPr>
      </w:pPr>
      <w:r w:rsidRPr="00E850C7">
        <w:rPr>
          <w:rFonts w:ascii="Arial" w:hAnsi="Arial" w:cs="Arial"/>
          <w:color w:val="010000"/>
          <w:sz w:val="20"/>
        </w:rPr>
        <w:t xml:space="preserve">On December 21, 2023, Indochine Import Export Investment Industrial Joint Stock Company announced Resolution No. 2112/2023/DDG/NQ-HDQT on </w:t>
      </w:r>
      <w:r w:rsidR="0041132B" w:rsidRPr="00E850C7">
        <w:rPr>
          <w:rFonts w:ascii="Arial" w:hAnsi="Arial" w:cs="Arial"/>
          <w:color w:val="010000"/>
          <w:sz w:val="20"/>
        </w:rPr>
        <w:t>approving</w:t>
      </w:r>
      <w:r w:rsidRPr="00E850C7">
        <w:rPr>
          <w:rFonts w:ascii="Arial" w:hAnsi="Arial" w:cs="Arial"/>
          <w:color w:val="010000"/>
          <w:sz w:val="20"/>
        </w:rPr>
        <w:t xml:space="preserve"> the divestment </w:t>
      </w:r>
      <w:r w:rsidR="0041132B" w:rsidRPr="00E850C7">
        <w:rPr>
          <w:rFonts w:ascii="Arial" w:hAnsi="Arial" w:cs="Arial"/>
          <w:color w:val="010000"/>
          <w:sz w:val="20"/>
        </w:rPr>
        <w:t>policy</w:t>
      </w:r>
      <w:r w:rsidRPr="00E850C7">
        <w:rPr>
          <w:rFonts w:ascii="Arial" w:hAnsi="Arial" w:cs="Arial"/>
          <w:color w:val="010000"/>
          <w:sz w:val="20"/>
        </w:rPr>
        <w:t xml:space="preserve"> in </w:t>
      </w:r>
      <w:r w:rsidR="0041132B" w:rsidRPr="00E850C7">
        <w:rPr>
          <w:rFonts w:ascii="Arial" w:hAnsi="Arial" w:cs="Arial"/>
          <w:color w:val="010000"/>
          <w:sz w:val="20"/>
        </w:rPr>
        <w:t>C</w:t>
      </w:r>
      <w:r w:rsidR="00761C68" w:rsidRPr="00E850C7">
        <w:rPr>
          <w:rFonts w:ascii="Arial" w:hAnsi="Arial" w:cs="Arial"/>
          <w:color w:val="010000"/>
          <w:sz w:val="20"/>
        </w:rPr>
        <w:t>ô</w:t>
      </w:r>
      <w:r w:rsidR="0041132B" w:rsidRPr="00E850C7">
        <w:rPr>
          <w:rFonts w:ascii="Arial" w:hAnsi="Arial" w:cs="Arial"/>
          <w:color w:val="010000"/>
          <w:sz w:val="20"/>
        </w:rPr>
        <w:t xml:space="preserve">ng ty TNHH Blue Globe (tentatively translated as </w:t>
      </w:r>
      <w:r w:rsidRPr="00E850C7">
        <w:rPr>
          <w:rFonts w:ascii="Arial" w:hAnsi="Arial" w:cs="Arial"/>
          <w:color w:val="010000"/>
          <w:sz w:val="20"/>
        </w:rPr>
        <w:t>Blue Globe Limited Liability Company</w:t>
      </w:r>
      <w:r w:rsidR="0041132B" w:rsidRPr="00E850C7">
        <w:rPr>
          <w:rFonts w:ascii="Arial" w:hAnsi="Arial" w:cs="Arial"/>
          <w:color w:val="010000"/>
          <w:sz w:val="20"/>
        </w:rPr>
        <w:t>)</w:t>
      </w:r>
      <w:r w:rsidRPr="00E850C7">
        <w:rPr>
          <w:rFonts w:ascii="Arial" w:hAnsi="Arial" w:cs="Arial"/>
          <w:color w:val="010000"/>
          <w:sz w:val="20"/>
        </w:rPr>
        <w:t xml:space="preserve"> as follows: </w:t>
      </w:r>
    </w:p>
    <w:p w14:paraId="00000003" w14:textId="7AFBEFFD" w:rsidR="00A34861" w:rsidRPr="00E850C7" w:rsidRDefault="002F54F1" w:rsidP="002B70BA">
      <w:pPr>
        <w:pBdr>
          <w:top w:val="nil"/>
          <w:left w:val="nil"/>
          <w:bottom w:val="nil"/>
          <w:right w:val="nil"/>
          <w:between w:val="nil"/>
        </w:pBdr>
        <w:tabs>
          <w:tab w:val="left" w:pos="180"/>
        </w:tabs>
        <w:spacing w:after="120" w:line="360" w:lineRule="auto"/>
        <w:jc w:val="both"/>
        <w:rPr>
          <w:rFonts w:ascii="Arial" w:eastAsia="Arial" w:hAnsi="Arial" w:cs="Arial"/>
          <w:color w:val="010000"/>
          <w:sz w:val="20"/>
          <w:szCs w:val="20"/>
        </w:rPr>
      </w:pPr>
      <w:r w:rsidRPr="00E850C7">
        <w:rPr>
          <w:rFonts w:ascii="Arial" w:hAnsi="Arial" w:cs="Arial"/>
          <w:color w:val="010000"/>
          <w:sz w:val="20"/>
        </w:rPr>
        <w:t>Article 1: Approve the complete divestment of all contributed capital in Blue Globe Limited Liability Company.</w:t>
      </w:r>
    </w:p>
    <w:p w14:paraId="00000004" w14:textId="4824994A" w:rsidR="00A34861" w:rsidRPr="00E850C7" w:rsidRDefault="002F54F1" w:rsidP="002B70BA">
      <w:pPr>
        <w:numPr>
          <w:ilvl w:val="0"/>
          <w:numId w:val="1"/>
        </w:numPr>
        <w:pBdr>
          <w:top w:val="nil"/>
          <w:left w:val="nil"/>
          <w:bottom w:val="nil"/>
          <w:right w:val="nil"/>
          <w:between w:val="nil"/>
        </w:pBdr>
        <w:tabs>
          <w:tab w:val="left" w:pos="180"/>
          <w:tab w:val="left" w:pos="409"/>
        </w:tabs>
        <w:spacing w:after="120" w:line="360" w:lineRule="auto"/>
        <w:jc w:val="both"/>
        <w:rPr>
          <w:rFonts w:ascii="Arial" w:eastAsia="Arial" w:hAnsi="Arial" w:cs="Arial"/>
          <w:color w:val="010000"/>
          <w:sz w:val="20"/>
          <w:szCs w:val="20"/>
        </w:rPr>
      </w:pPr>
      <w:r w:rsidRPr="00E850C7">
        <w:rPr>
          <w:rFonts w:ascii="Arial" w:hAnsi="Arial" w:cs="Arial"/>
          <w:color w:val="010000"/>
          <w:sz w:val="20"/>
        </w:rPr>
        <w:t>Divest all contributed capital by Indochine Import Export Investment Industrial Joint Stock Company in Blue Globe Limited Liability Company</w:t>
      </w:r>
      <w:r w:rsidR="00E850C7" w:rsidRPr="00E850C7">
        <w:rPr>
          <w:rFonts w:ascii="Arial" w:hAnsi="Arial" w:cs="Arial"/>
          <w:color w:val="010000"/>
          <w:sz w:val="20"/>
        </w:rPr>
        <w:t xml:space="preserve"> </w:t>
      </w:r>
      <w:r w:rsidRPr="00E850C7">
        <w:rPr>
          <w:rFonts w:ascii="Arial" w:hAnsi="Arial" w:cs="Arial"/>
          <w:color w:val="010000"/>
          <w:sz w:val="20"/>
        </w:rPr>
        <w:t xml:space="preserve">of </w:t>
      </w:r>
      <w:r w:rsidR="003B51DD" w:rsidRPr="00E850C7">
        <w:rPr>
          <w:rFonts w:ascii="Arial" w:hAnsi="Arial" w:cs="Arial"/>
          <w:color w:val="010000"/>
          <w:sz w:val="20"/>
        </w:rPr>
        <w:t xml:space="preserve">VND </w:t>
      </w:r>
      <w:r w:rsidRPr="00E850C7">
        <w:rPr>
          <w:rFonts w:ascii="Arial" w:hAnsi="Arial" w:cs="Arial"/>
          <w:color w:val="010000"/>
          <w:sz w:val="20"/>
        </w:rPr>
        <w:t xml:space="preserve">14,504,000,000, </w:t>
      </w:r>
      <w:r w:rsidR="003B51DD" w:rsidRPr="00E850C7">
        <w:rPr>
          <w:rFonts w:ascii="Arial" w:hAnsi="Arial" w:cs="Arial"/>
          <w:color w:val="010000"/>
          <w:sz w:val="20"/>
        </w:rPr>
        <w:t>equivalent to</w:t>
      </w:r>
      <w:r w:rsidRPr="00E850C7">
        <w:rPr>
          <w:rFonts w:ascii="Arial" w:hAnsi="Arial" w:cs="Arial"/>
          <w:color w:val="010000"/>
          <w:sz w:val="20"/>
        </w:rPr>
        <w:t xml:space="preserve"> 98% of the charter capital of Blue Globe Limited Liability Company.</w:t>
      </w:r>
    </w:p>
    <w:p w14:paraId="00000005" w14:textId="69A27BBB" w:rsidR="00A34861" w:rsidRPr="00E850C7" w:rsidRDefault="002F54F1" w:rsidP="002B70BA">
      <w:pPr>
        <w:numPr>
          <w:ilvl w:val="0"/>
          <w:numId w:val="1"/>
        </w:numPr>
        <w:pBdr>
          <w:top w:val="nil"/>
          <w:left w:val="nil"/>
          <w:bottom w:val="nil"/>
          <w:right w:val="nil"/>
          <w:between w:val="nil"/>
        </w:pBdr>
        <w:tabs>
          <w:tab w:val="left" w:pos="180"/>
          <w:tab w:val="left" w:pos="409"/>
        </w:tabs>
        <w:spacing w:after="120" w:line="360" w:lineRule="auto"/>
        <w:jc w:val="both"/>
        <w:rPr>
          <w:rFonts w:ascii="Arial" w:eastAsia="Arial" w:hAnsi="Arial" w:cs="Arial"/>
          <w:color w:val="010000"/>
          <w:sz w:val="20"/>
          <w:szCs w:val="20"/>
        </w:rPr>
      </w:pPr>
      <w:r w:rsidRPr="00E850C7">
        <w:rPr>
          <w:rFonts w:ascii="Arial" w:hAnsi="Arial" w:cs="Arial"/>
          <w:color w:val="010000"/>
          <w:sz w:val="20"/>
        </w:rPr>
        <w:t>Reason for divestment: Capital recovery fo</w:t>
      </w:r>
      <w:r w:rsidR="003B51DD" w:rsidRPr="00E850C7">
        <w:rPr>
          <w:rFonts w:ascii="Arial" w:hAnsi="Arial" w:cs="Arial"/>
          <w:color w:val="010000"/>
          <w:sz w:val="20"/>
        </w:rPr>
        <w:t xml:space="preserve">r business restructuring and </w:t>
      </w:r>
      <w:r w:rsidRPr="00E850C7">
        <w:rPr>
          <w:rFonts w:ascii="Arial" w:hAnsi="Arial" w:cs="Arial"/>
          <w:color w:val="010000"/>
          <w:sz w:val="20"/>
        </w:rPr>
        <w:t>supplement</w:t>
      </w:r>
      <w:r w:rsidR="003B51DD" w:rsidRPr="00E850C7">
        <w:rPr>
          <w:rFonts w:ascii="Arial" w:hAnsi="Arial" w:cs="Arial"/>
          <w:color w:val="010000"/>
          <w:sz w:val="20"/>
        </w:rPr>
        <w:t>ing</w:t>
      </w:r>
      <w:r w:rsidRPr="00E850C7">
        <w:rPr>
          <w:rFonts w:ascii="Arial" w:hAnsi="Arial" w:cs="Arial"/>
          <w:color w:val="010000"/>
          <w:sz w:val="20"/>
        </w:rPr>
        <w:t xml:space="preserve"> working capital for production and business </w:t>
      </w:r>
      <w:r w:rsidR="003B51DD" w:rsidRPr="00E850C7">
        <w:rPr>
          <w:rFonts w:ascii="Arial" w:hAnsi="Arial" w:cs="Arial"/>
          <w:color w:val="010000"/>
          <w:sz w:val="20"/>
        </w:rPr>
        <w:t>activities</w:t>
      </w:r>
      <w:r w:rsidRPr="00E850C7">
        <w:rPr>
          <w:rFonts w:ascii="Arial" w:hAnsi="Arial" w:cs="Arial"/>
          <w:color w:val="010000"/>
          <w:sz w:val="20"/>
        </w:rPr>
        <w:t>.</w:t>
      </w:r>
    </w:p>
    <w:p w14:paraId="00000006" w14:textId="77777777" w:rsidR="00A34861" w:rsidRPr="00E850C7" w:rsidRDefault="002F54F1" w:rsidP="002B70BA">
      <w:pPr>
        <w:numPr>
          <w:ilvl w:val="0"/>
          <w:numId w:val="1"/>
        </w:numPr>
        <w:pBdr>
          <w:top w:val="nil"/>
          <w:left w:val="nil"/>
          <w:bottom w:val="nil"/>
          <w:right w:val="nil"/>
          <w:between w:val="nil"/>
        </w:pBdr>
        <w:tabs>
          <w:tab w:val="left" w:pos="180"/>
          <w:tab w:val="left" w:pos="409"/>
        </w:tabs>
        <w:spacing w:after="120" w:line="360" w:lineRule="auto"/>
        <w:jc w:val="both"/>
        <w:rPr>
          <w:rFonts w:ascii="Arial" w:eastAsia="Arial" w:hAnsi="Arial" w:cs="Arial"/>
          <w:color w:val="010000"/>
          <w:sz w:val="20"/>
          <w:szCs w:val="20"/>
        </w:rPr>
      </w:pPr>
      <w:r w:rsidRPr="00E850C7">
        <w:rPr>
          <w:rFonts w:ascii="Arial" w:hAnsi="Arial" w:cs="Arial"/>
          <w:color w:val="010000"/>
          <w:sz w:val="20"/>
        </w:rPr>
        <w:t>Execution time: After this Resolution takes effect and not later than December 31, 2023.</w:t>
      </w:r>
    </w:p>
    <w:p w14:paraId="00000007" w14:textId="77777777" w:rsidR="00A34861" w:rsidRPr="00E850C7" w:rsidRDefault="002F54F1" w:rsidP="002B70BA">
      <w:pPr>
        <w:pBdr>
          <w:top w:val="nil"/>
          <w:left w:val="nil"/>
          <w:bottom w:val="nil"/>
          <w:right w:val="nil"/>
          <w:between w:val="nil"/>
        </w:pBdr>
        <w:tabs>
          <w:tab w:val="left" w:pos="180"/>
        </w:tabs>
        <w:spacing w:after="120" w:line="360" w:lineRule="auto"/>
        <w:jc w:val="both"/>
        <w:rPr>
          <w:rFonts w:ascii="Arial" w:eastAsia="Arial" w:hAnsi="Arial" w:cs="Arial"/>
          <w:color w:val="010000"/>
          <w:sz w:val="20"/>
          <w:szCs w:val="20"/>
        </w:rPr>
      </w:pPr>
      <w:r w:rsidRPr="00E850C7">
        <w:rPr>
          <w:rFonts w:ascii="Arial" w:hAnsi="Arial" w:cs="Arial"/>
          <w:color w:val="010000"/>
          <w:sz w:val="20"/>
        </w:rPr>
        <w:t>Article 2: Authorization for implementation</w:t>
      </w:r>
    </w:p>
    <w:p w14:paraId="00000008" w14:textId="77777777" w:rsidR="00A34861" w:rsidRPr="00E850C7" w:rsidRDefault="002F54F1" w:rsidP="002B70BA">
      <w:pPr>
        <w:pBdr>
          <w:top w:val="nil"/>
          <w:left w:val="nil"/>
          <w:bottom w:val="nil"/>
          <w:right w:val="nil"/>
          <w:between w:val="nil"/>
        </w:pBdr>
        <w:tabs>
          <w:tab w:val="left" w:pos="180"/>
        </w:tabs>
        <w:spacing w:after="120" w:line="360" w:lineRule="auto"/>
        <w:jc w:val="both"/>
        <w:rPr>
          <w:rFonts w:ascii="Arial" w:eastAsia="Arial" w:hAnsi="Arial" w:cs="Arial"/>
          <w:color w:val="010000"/>
          <w:sz w:val="20"/>
          <w:szCs w:val="20"/>
        </w:rPr>
      </w:pPr>
      <w:r w:rsidRPr="00E850C7">
        <w:rPr>
          <w:rFonts w:ascii="Arial" w:hAnsi="Arial" w:cs="Arial"/>
          <w:color w:val="010000"/>
          <w:sz w:val="20"/>
        </w:rPr>
        <w:t>The Board of Directors authorizes Ms. Tran Kim Sa, the General Manager of the Company, to proactively approve the selling price, negotiate terms and conditions of the Transfer Contract, ensuring the obligations, and interests of the Company and its shareholders.</w:t>
      </w:r>
    </w:p>
    <w:p w14:paraId="00000009" w14:textId="77777777" w:rsidR="00A34861" w:rsidRPr="00E850C7" w:rsidRDefault="002F54F1" w:rsidP="002B70BA">
      <w:pPr>
        <w:keepNext/>
        <w:pBdr>
          <w:top w:val="nil"/>
          <w:left w:val="nil"/>
          <w:bottom w:val="nil"/>
          <w:right w:val="nil"/>
          <w:between w:val="nil"/>
        </w:pBdr>
        <w:tabs>
          <w:tab w:val="left" w:pos="180"/>
        </w:tabs>
        <w:spacing w:after="120" w:line="360" w:lineRule="auto"/>
        <w:jc w:val="both"/>
        <w:rPr>
          <w:rFonts w:ascii="Arial" w:eastAsia="Arial" w:hAnsi="Arial" w:cs="Arial"/>
          <w:color w:val="010000"/>
          <w:sz w:val="20"/>
          <w:szCs w:val="20"/>
        </w:rPr>
      </w:pPr>
      <w:r w:rsidRPr="00E850C7">
        <w:rPr>
          <w:rFonts w:ascii="Arial" w:hAnsi="Arial" w:cs="Arial"/>
          <w:color w:val="010000"/>
          <w:sz w:val="20"/>
        </w:rPr>
        <w:t>Article 3: Terms of enforcement</w:t>
      </w:r>
    </w:p>
    <w:p w14:paraId="0000000A" w14:textId="77777777" w:rsidR="00A34861" w:rsidRPr="00E850C7" w:rsidRDefault="002F54F1" w:rsidP="002B70BA">
      <w:pPr>
        <w:pBdr>
          <w:top w:val="nil"/>
          <w:left w:val="nil"/>
          <w:bottom w:val="nil"/>
          <w:right w:val="nil"/>
          <w:between w:val="nil"/>
        </w:pBdr>
        <w:tabs>
          <w:tab w:val="left" w:pos="180"/>
        </w:tabs>
        <w:spacing w:after="120" w:line="360" w:lineRule="auto"/>
        <w:jc w:val="both"/>
        <w:rPr>
          <w:rFonts w:ascii="Arial" w:eastAsia="Arial" w:hAnsi="Arial" w:cs="Arial"/>
          <w:color w:val="010000"/>
          <w:sz w:val="20"/>
          <w:szCs w:val="20"/>
        </w:rPr>
      </w:pPr>
      <w:r w:rsidRPr="00E850C7">
        <w:rPr>
          <w:rFonts w:ascii="Arial" w:hAnsi="Arial" w:cs="Arial"/>
          <w:color w:val="010000"/>
          <w:sz w:val="20"/>
        </w:rPr>
        <w:t>Members of the Board of Directors, the Board of Management, relevant individuals and functional departments are responsible for the implementation of this Resolution.</w:t>
      </w:r>
    </w:p>
    <w:p w14:paraId="0000000B" w14:textId="77777777" w:rsidR="00A34861" w:rsidRPr="00E850C7" w:rsidRDefault="002F54F1" w:rsidP="002B70BA">
      <w:pPr>
        <w:pBdr>
          <w:top w:val="nil"/>
          <w:left w:val="nil"/>
          <w:bottom w:val="nil"/>
          <w:right w:val="nil"/>
          <w:between w:val="nil"/>
        </w:pBdr>
        <w:tabs>
          <w:tab w:val="left" w:pos="180"/>
        </w:tabs>
        <w:spacing w:after="120" w:line="360" w:lineRule="auto"/>
        <w:jc w:val="both"/>
        <w:rPr>
          <w:rFonts w:ascii="Arial" w:eastAsia="Arial" w:hAnsi="Arial" w:cs="Arial"/>
          <w:color w:val="010000"/>
          <w:sz w:val="20"/>
          <w:szCs w:val="20"/>
        </w:rPr>
        <w:sectPr w:rsidR="00A34861" w:rsidRPr="00E850C7" w:rsidSect="00761C68">
          <w:pgSz w:w="11906" w:h="16838"/>
          <w:pgMar w:top="1440" w:right="1440" w:bottom="1440" w:left="1440" w:header="0" w:footer="3" w:gutter="0"/>
          <w:pgNumType w:start="1"/>
          <w:cols w:space="720"/>
          <w:docGrid w:linePitch="326"/>
        </w:sectPr>
      </w:pPr>
      <w:r w:rsidRPr="00E850C7">
        <w:rPr>
          <w:rFonts w:ascii="Arial" w:hAnsi="Arial" w:cs="Arial"/>
          <w:color w:val="010000"/>
          <w:sz w:val="20"/>
        </w:rPr>
        <w:t>This Resolution takes effect from the date of its signing./.</w:t>
      </w:r>
    </w:p>
    <w:p w14:paraId="0000000C" w14:textId="77777777" w:rsidR="00A34861" w:rsidRPr="00E850C7" w:rsidRDefault="00A34861" w:rsidP="00761C68">
      <w:pPr>
        <w:tabs>
          <w:tab w:val="left" w:pos="180"/>
        </w:tabs>
        <w:spacing w:after="120" w:line="360" w:lineRule="auto"/>
        <w:rPr>
          <w:rFonts w:ascii="Arial" w:eastAsia="Arial" w:hAnsi="Arial" w:cs="Arial"/>
          <w:color w:val="010000"/>
          <w:sz w:val="20"/>
          <w:szCs w:val="20"/>
        </w:rPr>
      </w:pPr>
    </w:p>
    <w:sectPr w:rsidR="00A34861" w:rsidRPr="00E850C7" w:rsidSect="00761C68">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B7F"/>
    <w:multiLevelType w:val="multilevel"/>
    <w:tmpl w:val="4670A380"/>
    <w:lvl w:ilvl="0">
      <w:start w:val="1"/>
      <w:numFmt w:val="bullet"/>
      <w:lvlText w:val="-"/>
      <w:lvlJc w:val="left"/>
      <w:pPr>
        <w:ind w:left="0" w:firstLine="0"/>
      </w:pPr>
      <w:rPr>
        <w:rFonts w:ascii="Arial" w:eastAsia="Times New Roman" w:hAnsi="Arial" w:cs="Arial" w:hint="default"/>
        <w:b w:val="0"/>
        <w:i w:val="0"/>
        <w:smallCaps w:val="0"/>
        <w:strike w:val="0"/>
        <w:color w:val="333233"/>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61"/>
    <w:rsid w:val="0003719F"/>
    <w:rsid w:val="002B70BA"/>
    <w:rsid w:val="002F54F1"/>
    <w:rsid w:val="003B51DD"/>
    <w:rsid w:val="0041132B"/>
    <w:rsid w:val="00761C68"/>
    <w:rsid w:val="00A34861"/>
    <w:rsid w:val="00AE186C"/>
    <w:rsid w:val="00E8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3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pw2aSCc7ciwCPzC62TqByuMNA==">CgMxLjA4AHIhMXVUdktIQ0xXUmdoTUVGcGh2eFRpb0lHMEhyb3Y0aGQ3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1243</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9</cp:revision>
  <dcterms:created xsi:type="dcterms:W3CDTF">2023-12-26T03:44:00Z</dcterms:created>
  <dcterms:modified xsi:type="dcterms:W3CDTF">2023-12-27T03:29:00Z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16e48b1e53af8dede4856ebe3ee5bc5de2b0d747d1c07853ca36fcec4c5ed435</vt:lpwstr>
  </property>
</Properties>
</file>