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0C44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45A89">
        <w:rPr>
          <w:rFonts w:ascii="Arial" w:hAnsi="Arial" w:cs="Arial"/>
          <w:b/>
          <w:color w:val="010000"/>
          <w:sz w:val="20"/>
        </w:rPr>
        <w:t>DPH: Board Decision</w:t>
      </w:r>
    </w:p>
    <w:p w14:paraId="00000002" w14:textId="1C211C61" w:rsidR="002B0C44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On December 22, 202</w:t>
      </w:r>
      <w:r w:rsidR="00F305A7">
        <w:rPr>
          <w:rFonts w:ascii="Arial" w:hAnsi="Arial" w:cs="Arial"/>
          <w:color w:val="010000"/>
          <w:sz w:val="20"/>
        </w:rPr>
        <w:t>3</w:t>
      </w:r>
      <w:r w:rsidRPr="00845A89">
        <w:rPr>
          <w:rFonts w:ascii="Arial" w:hAnsi="Arial" w:cs="Arial"/>
          <w:color w:val="010000"/>
          <w:sz w:val="20"/>
        </w:rPr>
        <w:t>,</w:t>
      </w:r>
      <w:r w:rsidR="00F4508F" w:rsidRPr="00845A89">
        <w:rPr>
          <w:rFonts w:ascii="Arial" w:hAnsi="Arial" w:cs="Arial"/>
          <w:color w:val="010000"/>
          <w:sz w:val="20"/>
        </w:rPr>
        <w:t xml:space="preserve"> </w:t>
      </w:r>
      <w:r w:rsidRPr="00845A89">
        <w:rPr>
          <w:rFonts w:ascii="Arial" w:hAnsi="Arial" w:cs="Arial"/>
          <w:color w:val="010000"/>
          <w:sz w:val="20"/>
        </w:rPr>
        <w:t xml:space="preserve">Hai Phong Pharmaceutical Joint Stock Company announced Decision No. 226/QD-CTCPDP on the dividend </w:t>
      </w:r>
      <w:r w:rsidR="00845A89" w:rsidRPr="00845A89">
        <w:rPr>
          <w:rFonts w:ascii="Arial" w:hAnsi="Arial" w:cs="Arial"/>
          <w:color w:val="010000"/>
          <w:sz w:val="20"/>
        </w:rPr>
        <w:t>prepayment</w:t>
      </w:r>
      <w:r w:rsidRPr="00845A89">
        <w:rPr>
          <w:rFonts w:ascii="Arial" w:hAnsi="Arial" w:cs="Arial"/>
          <w:color w:val="010000"/>
          <w:sz w:val="20"/>
        </w:rPr>
        <w:t xml:space="preserve"> for 2023 of Hai Phong Pharmaceutical Joint Stock Company as follows: </w:t>
      </w:r>
    </w:p>
    <w:p w14:paraId="191C785C" w14:textId="18C36250" w:rsidR="00F4508F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845A89">
        <w:rPr>
          <w:rFonts w:ascii="Arial" w:hAnsi="Arial" w:cs="Arial"/>
          <w:color w:val="010000"/>
          <w:sz w:val="20"/>
        </w:rPr>
        <w:t xml:space="preserve">Article I: Approve the dividend </w:t>
      </w:r>
      <w:r w:rsidR="00845A89" w:rsidRPr="00845A89">
        <w:rPr>
          <w:rFonts w:ascii="Arial" w:hAnsi="Arial" w:cs="Arial"/>
          <w:color w:val="010000"/>
          <w:sz w:val="20"/>
        </w:rPr>
        <w:t>prepayment</w:t>
      </w:r>
      <w:r w:rsidRPr="00845A89">
        <w:rPr>
          <w:rFonts w:ascii="Arial" w:hAnsi="Arial" w:cs="Arial"/>
          <w:color w:val="010000"/>
          <w:sz w:val="20"/>
        </w:rPr>
        <w:t xml:space="preserve"> </w:t>
      </w:r>
      <w:r w:rsidR="00845A89" w:rsidRPr="00845A89">
        <w:rPr>
          <w:rFonts w:ascii="Arial" w:hAnsi="Arial" w:cs="Arial"/>
          <w:color w:val="010000"/>
          <w:sz w:val="20"/>
        </w:rPr>
        <w:t>fir</w:t>
      </w:r>
      <w:r w:rsidRPr="00845A89">
        <w:rPr>
          <w:rFonts w:ascii="Arial" w:hAnsi="Arial" w:cs="Arial"/>
          <w:color w:val="010000"/>
          <w:sz w:val="20"/>
        </w:rPr>
        <w:t xml:space="preserve"> 2023 of Hai Phong Pharmaceutical Joint Stock Company</w:t>
      </w:r>
    </w:p>
    <w:p w14:paraId="00000003" w14:textId="4891B6BE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Securities name: Shares of Hai Phong Pharmaceutical Joint Stock Company.</w:t>
      </w:r>
    </w:p>
    <w:p w14:paraId="00000004" w14:textId="77777777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Securities code: DPH</w:t>
      </w:r>
    </w:p>
    <w:p w14:paraId="00000005" w14:textId="25E0B076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Securities type: Common share</w:t>
      </w:r>
    </w:p>
    <w:p w14:paraId="00000006" w14:textId="4E07F14C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Transaction par value: VND 10,000.</w:t>
      </w:r>
    </w:p>
    <w:p w14:paraId="00000007" w14:textId="7C522A5D" w:rsidR="002B0C44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Article II: Approve the dividend prepayment of 2023 in cash</w:t>
      </w:r>
    </w:p>
    <w:p w14:paraId="00000008" w14:textId="77777777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845A89">
        <w:rPr>
          <w:rFonts w:ascii="Arial" w:hAnsi="Arial" w:cs="Arial"/>
          <w:color w:val="010000"/>
          <w:sz w:val="20"/>
        </w:rPr>
        <w:t>Exercise rate: 17% per share</w:t>
      </w:r>
    </w:p>
    <w:p w14:paraId="00000009" w14:textId="77777777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845A89">
        <w:rPr>
          <w:rFonts w:ascii="Arial" w:hAnsi="Arial" w:cs="Arial"/>
          <w:color w:val="010000"/>
          <w:sz w:val="20"/>
        </w:rPr>
        <w:t>Record date: On January 05, 2024.</w:t>
      </w:r>
    </w:p>
    <w:p w14:paraId="0000000A" w14:textId="77777777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845A89">
        <w:rPr>
          <w:rFonts w:ascii="Arial" w:hAnsi="Arial" w:cs="Arial"/>
          <w:color w:val="010000"/>
          <w:sz w:val="20"/>
        </w:rPr>
        <w:t>Payment date: On January 22, 2024.</w:t>
      </w:r>
    </w:p>
    <w:p w14:paraId="0000000B" w14:textId="77777777" w:rsidR="002B0C44" w:rsidRPr="00845A89" w:rsidRDefault="00A72EC5" w:rsidP="00845A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>Exchange: UPCOM</w:t>
      </w:r>
    </w:p>
    <w:p w14:paraId="0000000C" w14:textId="635A6ADF" w:rsidR="002B0C44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 xml:space="preserve">Article III: The Board of Directors assigns </w:t>
      </w:r>
      <w:r w:rsidR="00845A89" w:rsidRPr="00845A89">
        <w:rPr>
          <w:rFonts w:ascii="Arial" w:hAnsi="Arial" w:cs="Arial"/>
          <w:color w:val="010000"/>
          <w:sz w:val="20"/>
        </w:rPr>
        <w:t>the</w:t>
      </w:r>
      <w:r w:rsidRPr="00845A89">
        <w:rPr>
          <w:rFonts w:ascii="Arial" w:hAnsi="Arial" w:cs="Arial"/>
          <w:color w:val="010000"/>
          <w:sz w:val="20"/>
        </w:rPr>
        <w:t xml:space="preserve"> Chief Accountant</w:t>
      </w:r>
      <w:r w:rsidR="00845A89" w:rsidRPr="00845A89">
        <w:rPr>
          <w:rFonts w:ascii="Arial" w:hAnsi="Arial" w:cs="Arial"/>
          <w:color w:val="010000"/>
          <w:sz w:val="20"/>
        </w:rPr>
        <w:t>-cum-member of the Board of Directors</w:t>
      </w:r>
      <w:r w:rsidRPr="00845A89">
        <w:rPr>
          <w:rFonts w:ascii="Arial" w:hAnsi="Arial" w:cs="Arial"/>
          <w:color w:val="010000"/>
          <w:sz w:val="20"/>
        </w:rPr>
        <w:t xml:space="preserve"> of the Company </w:t>
      </w:r>
      <w:r w:rsidR="00845A89" w:rsidRPr="00845A89">
        <w:rPr>
          <w:rFonts w:ascii="Arial" w:hAnsi="Arial" w:cs="Arial"/>
          <w:color w:val="010000"/>
          <w:sz w:val="20"/>
        </w:rPr>
        <w:t xml:space="preserve">to notify the </w:t>
      </w:r>
      <w:r w:rsidRPr="00845A89">
        <w:rPr>
          <w:rFonts w:ascii="Arial" w:hAnsi="Arial" w:cs="Arial"/>
          <w:color w:val="010000"/>
          <w:sz w:val="20"/>
        </w:rPr>
        <w:t>exchange (UPCOM) for implementation.</w:t>
      </w:r>
    </w:p>
    <w:p w14:paraId="0000000D" w14:textId="2C60361B" w:rsidR="002B0C44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5A89">
        <w:rPr>
          <w:rFonts w:ascii="Arial" w:hAnsi="Arial" w:cs="Arial"/>
          <w:color w:val="010000"/>
          <w:sz w:val="20"/>
        </w:rPr>
        <w:t xml:space="preserve">Article IV: This Decision takes effect </w:t>
      </w:r>
      <w:r w:rsidR="00845A89" w:rsidRPr="00845A89">
        <w:rPr>
          <w:rFonts w:ascii="Arial" w:hAnsi="Arial" w:cs="Arial"/>
          <w:color w:val="010000"/>
          <w:sz w:val="20"/>
        </w:rPr>
        <w:t>from</w:t>
      </w:r>
      <w:r w:rsidRPr="00845A89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0E" w14:textId="338267A2" w:rsidR="002B0C44" w:rsidRPr="00845A89" w:rsidRDefault="00A72EC5" w:rsidP="000A2D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2B0C44" w:rsidRPr="00845A89" w:rsidSect="000A2DB4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45A89">
        <w:rPr>
          <w:rFonts w:ascii="Arial" w:hAnsi="Arial" w:cs="Arial"/>
          <w:color w:val="010000"/>
          <w:sz w:val="20"/>
        </w:rPr>
        <w:t>Members of the Board of Directors, the Board of</w:t>
      </w:r>
      <w:r w:rsidR="00845A89" w:rsidRPr="00845A89">
        <w:rPr>
          <w:rFonts w:ascii="Arial" w:hAnsi="Arial" w:cs="Arial"/>
          <w:color w:val="010000"/>
          <w:sz w:val="20"/>
        </w:rPr>
        <w:t xml:space="preserve"> Managers</w:t>
      </w:r>
      <w:r w:rsidRPr="00845A89">
        <w:rPr>
          <w:rFonts w:ascii="Arial" w:hAnsi="Arial" w:cs="Arial"/>
          <w:color w:val="010000"/>
          <w:sz w:val="20"/>
        </w:rPr>
        <w:t xml:space="preserve">, the Supervisory Board and relevant units are responsible for the implementation </w:t>
      </w:r>
      <w:r w:rsidR="00845A89" w:rsidRPr="00845A89">
        <w:rPr>
          <w:rFonts w:ascii="Arial" w:hAnsi="Arial" w:cs="Arial"/>
          <w:color w:val="010000"/>
          <w:sz w:val="20"/>
        </w:rPr>
        <w:t xml:space="preserve">based on </w:t>
      </w:r>
      <w:r w:rsidRPr="00845A89">
        <w:rPr>
          <w:rFonts w:ascii="Arial" w:hAnsi="Arial" w:cs="Arial"/>
          <w:color w:val="010000"/>
          <w:sz w:val="20"/>
        </w:rPr>
        <w:t>this Decision.</w:t>
      </w:r>
    </w:p>
    <w:p w14:paraId="0000000F" w14:textId="77777777" w:rsidR="002B0C44" w:rsidRPr="00845A89" w:rsidRDefault="002B0C44" w:rsidP="000A2DB4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2B0C44" w:rsidRPr="00845A89" w:rsidSect="000A2DB4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379C"/>
    <w:multiLevelType w:val="hybridMultilevel"/>
    <w:tmpl w:val="112AF394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6DEE"/>
    <w:multiLevelType w:val="hybridMultilevel"/>
    <w:tmpl w:val="337E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4"/>
    <w:rsid w:val="000A2DB4"/>
    <w:rsid w:val="002B0C44"/>
    <w:rsid w:val="002D2452"/>
    <w:rsid w:val="00845A89"/>
    <w:rsid w:val="00A72EC5"/>
    <w:rsid w:val="00F305A7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836A6"/>
  <w15:docId w15:val="{9E8CA3BE-F74A-45D9-98A6-B314D71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wgrZBTLFy9nUJAamxyngnKF8NQ==">CgMxLjA4AHIhMXpNVlA3ODJfUGRreFBzWW5uSTNCNGFTYnVHWVZmRVE4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2023-12-27T04:08:00Z</dcterms:created>
  <dcterms:modified xsi:type="dcterms:W3CDTF">2023-12-27T04:08:00Z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0d0538f7ff9a6359caeaa58858307c4211a55dd4a0f6dd33e418af2daca13d46</vt:lpwstr>
  </property>
</Properties>
</file>