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C2C2B7F" w:rsidR="00944DD4" w:rsidRPr="006E21A3" w:rsidRDefault="009B4C01" w:rsidP="008C33C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E21A3">
        <w:rPr>
          <w:rFonts w:ascii="Arial" w:hAnsi="Arial" w:cs="Arial"/>
          <w:b/>
          <w:bCs/>
          <w:color w:val="010000"/>
          <w:sz w:val="20"/>
        </w:rPr>
        <w:t>VHM121024:</w:t>
      </w:r>
      <w:r w:rsidRPr="006E21A3">
        <w:rPr>
          <w:rFonts w:ascii="Arial" w:hAnsi="Arial" w:cs="Arial"/>
          <w:b/>
          <w:color w:val="010000"/>
          <w:sz w:val="20"/>
        </w:rPr>
        <w:t xml:space="preserve"> Notice on the record date to exercise the right to pay interest for</w:t>
      </w:r>
      <w:r w:rsidR="00BE7847" w:rsidRPr="006E21A3">
        <w:rPr>
          <w:rFonts w:ascii="Arial" w:hAnsi="Arial" w:cs="Arial"/>
          <w:b/>
          <w:color w:val="010000"/>
          <w:sz w:val="20"/>
        </w:rPr>
        <w:t xml:space="preserve"> the 9th period</w:t>
      </w:r>
      <w:r w:rsidRPr="006E21A3">
        <w:rPr>
          <w:rFonts w:ascii="Arial" w:hAnsi="Arial" w:cs="Arial"/>
          <w:b/>
          <w:color w:val="010000"/>
          <w:sz w:val="20"/>
        </w:rPr>
        <w:t xml:space="preserve"> of securities code VHM121024</w:t>
      </w:r>
    </w:p>
    <w:p w14:paraId="00000002" w14:textId="5F7FCD46" w:rsidR="00944DD4" w:rsidRPr="006E21A3" w:rsidRDefault="009B4C01" w:rsidP="008C33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944DD4" w:rsidRPr="006E21A3" w:rsidSect="00BE7847">
          <w:pgSz w:w="11909" w:h="16840"/>
          <w:pgMar w:top="1440" w:right="1440" w:bottom="1440" w:left="1440" w:header="0" w:footer="3" w:gutter="0"/>
          <w:pgNumType w:start="1"/>
          <w:cols w:space="720"/>
          <w:docGrid w:linePitch="326"/>
        </w:sectPr>
      </w:pPr>
      <w:r w:rsidRPr="006E21A3">
        <w:rPr>
          <w:rFonts w:ascii="Arial" w:hAnsi="Arial" w:cs="Arial"/>
          <w:color w:val="010000"/>
          <w:sz w:val="20"/>
        </w:rPr>
        <w:t xml:space="preserve">On December 20, 2023, </w:t>
      </w:r>
      <w:proofErr w:type="spellStart"/>
      <w:r w:rsidR="00BE7847" w:rsidRPr="006E21A3">
        <w:rPr>
          <w:rFonts w:ascii="Arial" w:hAnsi="Arial" w:cs="Arial"/>
          <w:color w:val="010000"/>
          <w:sz w:val="20"/>
        </w:rPr>
        <w:t>Vinhomes</w:t>
      </w:r>
      <w:proofErr w:type="spellEnd"/>
      <w:r w:rsidR="00BE7847" w:rsidRPr="006E21A3">
        <w:rPr>
          <w:rFonts w:ascii="Arial" w:hAnsi="Arial" w:cs="Arial"/>
          <w:color w:val="010000"/>
          <w:sz w:val="20"/>
        </w:rPr>
        <w:t xml:space="preserve"> Joint Stock Company </w:t>
      </w:r>
      <w:r w:rsidRPr="006E21A3">
        <w:rPr>
          <w:rFonts w:ascii="Arial" w:hAnsi="Arial" w:cs="Arial"/>
          <w:color w:val="010000"/>
          <w:sz w:val="20"/>
        </w:rPr>
        <w:t xml:space="preserve">announced Notice No. 2012/VHM-CB/VHM121024 on the record date to exercise the rights to pay interest </w:t>
      </w:r>
      <w:r w:rsidR="006E21A3" w:rsidRPr="006E21A3">
        <w:rPr>
          <w:rFonts w:ascii="Arial" w:hAnsi="Arial" w:cs="Arial"/>
          <w:color w:val="010000"/>
          <w:sz w:val="20"/>
        </w:rPr>
        <w:t>for</w:t>
      </w:r>
      <w:r w:rsidRPr="006E21A3">
        <w:rPr>
          <w:rFonts w:ascii="Arial" w:hAnsi="Arial" w:cs="Arial"/>
          <w:color w:val="010000"/>
          <w:sz w:val="20"/>
        </w:rPr>
        <w:t xml:space="preserve"> the 9th period </w:t>
      </w:r>
      <w:r w:rsidR="006E21A3" w:rsidRPr="006E21A3">
        <w:rPr>
          <w:rFonts w:ascii="Arial" w:hAnsi="Arial" w:cs="Arial"/>
          <w:color w:val="010000"/>
          <w:sz w:val="20"/>
        </w:rPr>
        <w:t xml:space="preserve">of </w:t>
      </w:r>
      <w:r w:rsidR="00BE7847" w:rsidRPr="006E21A3">
        <w:rPr>
          <w:rFonts w:ascii="Arial" w:hAnsi="Arial" w:cs="Arial"/>
          <w:color w:val="010000"/>
          <w:sz w:val="20"/>
        </w:rPr>
        <w:t xml:space="preserve">VHM121024 </w:t>
      </w:r>
      <w:r w:rsidRPr="006E21A3">
        <w:rPr>
          <w:rFonts w:ascii="Arial" w:hAnsi="Arial" w:cs="Arial"/>
          <w:color w:val="010000"/>
          <w:sz w:val="20"/>
        </w:rPr>
        <w:t>securities code as follows:</w:t>
      </w:r>
    </w:p>
    <w:p w14:paraId="00000003" w14:textId="77777777" w:rsidR="00944DD4" w:rsidRPr="00D32A9D" w:rsidRDefault="009B4C01" w:rsidP="00D32A9D">
      <w:pPr>
        <w:pStyle w:val="ListParagraph"/>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GoBack"/>
      <w:r w:rsidRPr="00D32A9D">
        <w:rPr>
          <w:rFonts w:ascii="Arial" w:hAnsi="Arial" w:cs="Arial"/>
          <w:color w:val="010000"/>
          <w:sz w:val="20"/>
        </w:rPr>
        <w:lastRenderedPageBreak/>
        <w:t>Securities name: VHMB2124002 bonds</w:t>
      </w:r>
    </w:p>
    <w:p w14:paraId="00000004" w14:textId="77777777" w:rsidR="00944DD4" w:rsidRPr="00D32A9D" w:rsidRDefault="009B4C01" w:rsidP="00D32A9D">
      <w:pPr>
        <w:pStyle w:val="ListParagraph"/>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32A9D">
        <w:rPr>
          <w:rFonts w:ascii="Arial" w:hAnsi="Arial" w:cs="Arial"/>
          <w:color w:val="010000"/>
          <w:sz w:val="20"/>
        </w:rPr>
        <w:t>Securities code: VHM121024</w:t>
      </w:r>
    </w:p>
    <w:p w14:paraId="00000005" w14:textId="77777777" w:rsidR="00944DD4" w:rsidRPr="00D32A9D" w:rsidRDefault="009B4C01" w:rsidP="00D32A9D">
      <w:pPr>
        <w:pStyle w:val="ListParagraph"/>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32A9D">
        <w:rPr>
          <w:rFonts w:ascii="Arial" w:hAnsi="Arial" w:cs="Arial"/>
          <w:color w:val="010000"/>
          <w:sz w:val="20"/>
        </w:rPr>
        <w:t>Securities type: Corporate bond</w:t>
      </w:r>
    </w:p>
    <w:p w14:paraId="00000006" w14:textId="77777777" w:rsidR="00944DD4" w:rsidRPr="00D32A9D" w:rsidRDefault="009B4C01" w:rsidP="00D32A9D">
      <w:pPr>
        <w:pStyle w:val="ListParagraph"/>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32A9D">
        <w:rPr>
          <w:rFonts w:ascii="Arial" w:hAnsi="Arial" w:cs="Arial"/>
          <w:color w:val="010000"/>
          <w:sz w:val="20"/>
        </w:rPr>
        <w:t>Transaction par value: VND 100,000</w:t>
      </w:r>
    </w:p>
    <w:p w14:paraId="00000007" w14:textId="77777777" w:rsidR="00944DD4" w:rsidRPr="00D32A9D" w:rsidRDefault="009B4C01" w:rsidP="00D32A9D">
      <w:pPr>
        <w:pStyle w:val="ListParagraph"/>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32A9D">
        <w:rPr>
          <w:rFonts w:ascii="Arial" w:hAnsi="Arial" w:cs="Arial"/>
          <w:color w:val="010000"/>
          <w:sz w:val="20"/>
        </w:rPr>
        <w:t>Exchange: HNX</w:t>
      </w:r>
    </w:p>
    <w:p w14:paraId="00000008" w14:textId="77777777" w:rsidR="00944DD4" w:rsidRPr="00D32A9D" w:rsidRDefault="009B4C01" w:rsidP="00D32A9D">
      <w:pPr>
        <w:pStyle w:val="ListParagraph"/>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32A9D">
        <w:rPr>
          <w:rFonts w:ascii="Arial" w:hAnsi="Arial" w:cs="Arial"/>
          <w:color w:val="010000"/>
          <w:sz w:val="20"/>
        </w:rPr>
        <w:t>Record date: January 11, 2024</w:t>
      </w:r>
    </w:p>
    <w:bookmarkEnd w:id="0"/>
    <w:p w14:paraId="00000009" w14:textId="77777777" w:rsidR="00944DD4" w:rsidRPr="006E21A3" w:rsidRDefault="009B4C01" w:rsidP="008C33C6">
      <w:pPr>
        <w:keepNext/>
        <w:numPr>
          <w:ilvl w:val="0"/>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6E21A3">
        <w:rPr>
          <w:rFonts w:ascii="Arial" w:hAnsi="Arial" w:cs="Arial"/>
          <w:color w:val="010000"/>
          <w:sz w:val="20"/>
        </w:rPr>
        <w:t>Reasons and purposes:</w:t>
      </w:r>
    </w:p>
    <w:p w14:paraId="0000000A" w14:textId="0D033906" w:rsidR="00944DD4" w:rsidRPr="006E21A3" w:rsidRDefault="009B4C01" w:rsidP="008C33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21A3">
        <w:rPr>
          <w:rFonts w:ascii="Arial" w:hAnsi="Arial" w:cs="Arial"/>
          <w:color w:val="010000"/>
          <w:sz w:val="20"/>
        </w:rPr>
        <w:t xml:space="preserve">Pay interest </w:t>
      </w:r>
      <w:r w:rsidR="006E21A3" w:rsidRPr="006E21A3">
        <w:rPr>
          <w:rFonts w:ascii="Arial" w:hAnsi="Arial" w:cs="Arial"/>
          <w:color w:val="010000"/>
          <w:sz w:val="20"/>
        </w:rPr>
        <w:t>for</w:t>
      </w:r>
      <w:r w:rsidRPr="006E21A3">
        <w:rPr>
          <w:rFonts w:ascii="Arial" w:hAnsi="Arial" w:cs="Arial"/>
          <w:color w:val="010000"/>
          <w:sz w:val="20"/>
        </w:rPr>
        <w:t xml:space="preserve"> the 9th period (from and including October 25, 2023 to and excluding January 25, 2024).</w:t>
      </w:r>
    </w:p>
    <w:p w14:paraId="0000000B" w14:textId="77777777" w:rsidR="00944DD4" w:rsidRPr="006E21A3" w:rsidRDefault="009B4C01" w:rsidP="008C33C6">
      <w:pPr>
        <w:numPr>
          <w:ilvl w:val="0"/>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6E21A3">
        <w:rPr>
          <w:rFonts w:ascii="Arial" w:hAnsi="Arial" w:cs="Arial"/>
          <w:color w:val="010000"/>
          <w:sz w:val="20"/>
        </w:rPr>
        <w:t>Specific contents</w:t>
      </w:r>
    </w:p>
    <w:p w14:paraId="0000000C" w14:textId="77777777" w:rsidR="00944DD4" w:rsidRPr="006E21A3" w:rsidRDefault="009B4C01" w:rsidP="008C33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21A3">
        <w:rPr>
          <w:rFonts w:ascii="Arial" w:hAnsi="Arial" w:cs="Arial"/>
          <w:color w:val="010000"/>
          <w:sz w:val="20"/>
        </w:rPr>
        <w:t>Pay corporate bond interest in cash:</w:t>
      </w:r>
    </w:p>
    <w:p w14:paraId="0000000D" w14:textId="77777777" w:rsidR="00944DD4" w:rsidRPr="006E21A3" w:rsidRDefault="009B4C01" w:rsidP="008C33C6">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6E21A3">
        <w:rPr>
          <w:rFonts w:ascii="Arial" w:hAnsi="Arial" w:cs="Arial"/>
          <w:color w:val="010000"/>
          <w:sz w:val="20"/>
        </w:rPr>
        <w:t>Interest rate: 9.250%/year</w:t>
      </w:r>
    </w:p>
    <w:p w14:paraId="0000000E" w14:textId="77777777" w:rsidR="00944DD4" w:rsidRPr="006E21A3" w:rsidRDefault="009B4C01" w:rsidP="008C33C6">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6E21A3">
        <w:rPr>
          <w:rFonts w:ascii="Arial" w:hAnsi="Arial" w:cs="Arial"/>
          <w:color w:val="010000"/>
          <w:sz w:val="20"/>
        </w:rPr>
        <w:t>Exercise rate:</w:t>
      </w:r>
    </w:p>
    <w:p w14:paraId="0000000F" w14:textId="77777777" w:rsidR="00944DD4" w:rsidRPr="006E21A3" w:rsidRDefault="009B4C01" w:rsidP="008C33C6">
      <w:pPr>
        <w:numPr>
          <w:ilvl w:val="0"/>
          <w:numId w:val="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6E21A3">
        <w:rPr>
          <w:rFonts w:ascii="Arial" w:hAnsi="Arial" w:cs="Arial"/>
          <w:color w:val="010000"/>
          <w:sz w:val="20"/>
        </w:rPr>
        <w:t>Owners receive VND 2,331.507 for every bond they own. The interest is calculated by the formula: VND 100,000 x 9.250% x 92 (days)/365 (days), rounded to three decimal places.</w:t>
      </w:r>
    </w:p>
    <w:p w14:paraId="00000010" w14:textId="4FAF638F" w:rsidR="00944DD4" w:rsidRPr="006E21A3" w:rsidRDefault="009B4C01" w:rsidP="008C33C6">
      <w:pPr>
        <w:numPr>
          <w:ilvl w:val="0"/>
          <w:numId w:val="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6E21A3">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00000011" w14:textId="77777777" w:rsidR="00944DD4" w:rsidRPr="006E21A3" w:rsidRDefault="009B4C01" w:rsidP="008C33C6">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6E21A3">
        <w:rPr>
          <w:rFonts w:ascii="Arial" w:hAnsi="Arial" w:cs="Arial"/>
          <w:color w:val="010000"/>
          <w:sz w:val="20"/>
        </w:rPr>
        <w:t>Payment date: January 25, 2024.</w:t>
      </w:r>
    </w:p>
    <w:p w14:paraId="00000012" w14:textId="77777777" w:rsidR="00944DD4" w:rsidRPr="006E21A3" w:rsidRDefault="009B4C01" w:rsidP="008C33C6">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6E21A3">
        <w:rPr>
          <w:rFonts w:ascii="Arial" w:hAnsi="Arial" w:cs="Arial"/>
          <w:color w:val="010000"/>
          <w:sz w:val="20"/>
        </w:rPr>
        <w:t>Implementation venue:</w:t>
      </w:r>
    </w:p>
    <w:p w14:paraId="00000013" w14:textId="77777777" w:rsidR="00944DD4" w:rsidRPr="006E21A3" w:rsidRDefault="009B4C01" w:rsidP="008C33C6">
      <w:pPr>
        <w:numPr>
          <w:ilvl w:val="0"/>
          <w:numId w:val="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6E21A3">
        <w:rPr>
          <w:rFonts w:ascii="Arial" w:hAnsi="Arial" w:cs="Arial"/>
          <w:color w:val="010000"/>
          <w:sz w:val="20"/>
        </w:rPr>
        <w:t>For deposited securities: Owners carry out procedures to receive interest on corporate bonds at Depository Members where depository accounts are opened.</w:t>
      </w:r>
    </w:p>
    <w:p w14:paraId="00000014" w14:textId="77777777" w:rsidR="00944DD4" w:rsidRPr="006E21A3" w:rsidRDefault="009B4C01" w:rsidP="008C33C6">
      <w:pPr>
        <w:numPr>
          <w:ilvl w:val="0"/>
          <w:numId w:val="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6E21A3">
        <w:rPr>
          <w:rFonts w:ascii="Arial" w:hAnsi="Arial" w:cs="Arial"/>
          <w:color w:val="010000"/>
          <w:sz w:val="20"/>
        </w:rPr>
        <w:t xml:space="preserve">For </w:t>
      </w:r>
      <w:proofErr w:type="spellStart"/>
      <w:r w:rsidRPr="006E21A3">
        <w:rPr>
          <w:rFonts w:ascii="Arial" w:hAnsi="Arial" w:cs="Arial"/>
          <w:color w:val="010000"/>
          <w:sz w:val="20"/>
        </w:rPr>
        <w:t>undeposited</w:t>
      </w:r>
      <w:proofErr w:type="spellEnd"/>
      <w:r w:rsidRPr="006E21A3">
        <w:rPr>
          <w:rFonts w:ascii="Arial" w:hAnsi="Arial" w:cs="Arial"/>
          <w:color w:val="010000"/>
          <w:sz w:val="20"/>
        </w:rPr>
        <w:t xml:space="preserve"> securities: Interest on corporate bonds will be paid to the account registered by the owner with </w:t>
      </w:r>
      <w:proofErr w:type="spellStart"/>
      <w:r w:rsidRPr="006E21A3">
        <w:rPr>
          <w:rFonts w:ascii="Arial" w:hAnsi="Arial" w:cs="Arial"/>
          <w:color w:val="010000"/>
          <w:sz w:val="20"/>
        </w:rPr>
        <w:t>Techcom</w:t>
      </w:r>
      <w:proofErr w:type="spellEnd"/>
      <w:r w:rsidRPr="006E21A3">
        <w:rPr>
          <w:rFonts w:ascii="Arial" w:hAnsi="Arial" w:cs="Arial"/>
          <w:color w:val="010000"/>
          <w:sz w:val="20"/>
        </w:rPr>
        <w:t xml:space="preserve"> Securities JSC on January 25, 2024.</w:t>
      </w:r>
    </w:p>
    <w:sectPr w:rsidR="00944DD4" w:rsidRPr="006E21A3" w:rsidSect="00BE7847">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A2D"/>
    <w:multiLevelType w:val="hybridMultilevel"/>
    <w:tmpl w:val="936C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77A08"/>
    <w:multiLevelType w:val="multilevel"/>
    <w:tmpl w:val="3E9A0D9A"/>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1825DF0"/>
    <w:multiLevelType w:val="multilevel"/>
    <w:tmpl w:val="0D0E241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865139"/>
    <w:multiLevelType w:val="multilevel"/>
    <w:tmpl w:val="E7CAF2D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D4"/>
    <w:rsid w:val="004128DE"/>
    <w:rsid w:val="006E21A3"/>
    <w:rsid w:val="008C33C6"/>
    <w:rsid w:val="00944DD4"/>
    <w:rsid w:val="009B4C01"/>
    <w:rsid w:val="00BE7847"/>
    <w:rsid w:val="00D32A9D"/>
    <w:rsid w:val="00DD6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DEA91"/>
  <w15:docId w15:val="{4720387F-9BF5-4199-A422-4F0B4B8E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3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kmcHJZBrOX4/f+6gC/N+9y01zQ==">CgMxLjA4AHIhMWs2UWt3cWdmZjliMTdBWk9LNjNyMDduRFVJRzAxd2pY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2023-12-25T04:26:00Z</dcterms:created>
  <dcterms:modified xsi:type="dcterms:W3CDTF">2023-12-26T10:14:00Z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fdd0c84848ac131ece4dd5aa47196a759b70c52f6e1062528a754bce0508c3e1</vt:lpwstr>
  </property>
</Properties>
</file>