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1EFDEE"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b/>
          <w:color w:val="010000"/>
          <w:sz w:val="20"/>
          <w:szCs w:val="20"/>
        </w:rPr>
      </w:pPr>
      <w:r w:rsidRPr="000840B5">
        <w:rPr>
          <w:rFonts w:ascii="Arial" w:hAnsi="Arial" w:cs="Arial"/>
          <w:b/>
          <w:bCs/>
          <w:color w:val="010000"/>
          <w:sz w:val="20"/>
        </w:rPr>
        <w:t>CII121029:</w:t>
      </w:r>
      <w:r w:rsidR="00C93EB7">
        <w:rPr>
          <w:rFonts w:ascii="Arial" w:hAnsi="Arial" w:cs="Arial"/>
          <w:b/>
          <w:color w:val="010000"/>
          <w:sz w:val="20"/>
        </w:rPr>
        <w:t xml:space="preserve"> Notice on record date to exercise rights to pay interest in</w:t>
      </w:r>
      <w:r w:rsidRPr="000840B5">
        <w:rPr>
          <w:rFonts w:ascii="Arial" w:hAnsi="Arial" w:cs="Arial"/>
          <w:b/>
          <w:color w:val="010000"/>
          <w:sz w:val="20"/>
        </w:rPr>
        <w:t xml:space="preserve"> 9th period</w:t>
      </w:r>
    </w:p>
    <w:p w14:paraId="00000002" w14:textId="7002A129"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 xml:space="preserve">On December 26, 2023, Ho Chi Minh City Infrastructure Investment Joint Stock Company announced Notice No. 600/2023/CV-CII on the record date to exercise the rights to pay interest in the 9th period of </w:t>
      </w:r>
      <w:r w:rsidR="000840B5" w:rsidRPr="000840B5">
        <w:rPr>
          <w:rFonts w:ascii="Arial" w:hAnsi="Arial" w:cs="Arial"/>
          <w:color w:val="010000"/>
          <w:sz w:val="20"/>
        </w:rPr>
        <w:t xml:space="preserve">CII121029 </w:t>
      </w:r>
      <w:r w:rsidRPr="000840B5">
        <w:rPr>
          <w:rFonts w:ascii="Arial" w:hAnsi="Arial" w:cs="Arial"/>
          <w:color w:val="010000"/>
          <w:sz w:val="20"/>
        </w:rPr>
        <w:t>securities code as follows:</w:t>
      </w:r>
    </w:p>
    <w:p w14:paraId="00000003" w14:textId="77777777"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Securities name: CIIB2124002 bonds</w:t>
      </w:r>
    </w:p>
    <w:p w14:paraId="00000004" w14:textId="77777777"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Securities code: CII121029</w:t>
      </w:r>
    </w:p>
    <w:p w14:paraId="3DFC6151" w14:textId="2FED89F9" w:rsidR="00447512" w:rsidRPr="000840B5" w:rsidRDefault="00447512" w:rsidP="00C93EB7">
      <w:pPr>
        <w:pBdr>
          <w:top w:val="nil"/>
          <w:left w:val="nil"/>
          <w:bottom w:val="nil"/>
          <w:right w:val="nil"/>
          <w:between w:val="nil"/>
        </w:pBdr>
        <w:tabs>
          <w:tab w:val="left" w:pos="270"/>
          <w:tab w:val="left" w:pos="810"/>
          <w:tab w:val="center" w:pos="4513"/>
        </w:tabs>
        <w:spacing w:after="120" w:line="360" w:lineRule="auto"/>
        <w:jc w:val="both"/>
        <w:rPr>
          <w:rFonts w:ascii="Arial" w:hAnsi="Arial" w:cs="Arial"/>
          <w:color w:val="010000"/>
          <w:sz w:val="20"/>
        </w:rPr>
      </w:pPr>
      <w:r w:rsidRPr="000840B5">
        <w:rPr>
          <w:rFonts w:ascii="Arial" w:hAnsi="Arial" w:cs="Arial"/>
          <w:color w:val="010000"/>
          <w:sz w:val="20"/>
        </w:rPr>
        <w:t>Securities type: Corporate bonds</w:t>
      </w:r>
    </w:p>
    <w:p w14:paraId="00000005" w14:textId="21C31094"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Transaction</w:t>
      </w:r>
      <w:r w:rsidR="000840B5" w:rsidRPr="000840B5">
        <w:rPr>
          <w:rFonts w:ascii="Arial" w:hAnsi="Arial" w:cs="Arial"/>
          <w:color w:val="010000"/>
          <w:sz w:val="20"/>
        </w:rPr>
        <w:t xml:space="preserve"> par</w:t>
      </w:r>
      <w:r w:rsidRPr="000840B5">
        <w:rPr>
          <w:rFonts w:ascii="Arial" w:hAnsi="Arial" w:cs="Arial"/>
          <w:color w:val="010000"/>
          <w:sz w:val="20"/>
        </w:rPr>
        <w:t xml:space="preserve"> value: VND 100,000</w:t>
      </w:r>
    </w:p>
    <w:p w14:paraId="00000006" w14:textId="77777777"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Exchange: HNX</w:t>
      </w:r>
    </w:p>
    <w:p w14:paraId="00000007" w14:textId="77777777"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Record date: January 15, 2024</w:t>
      </w:r>
    </w:p>
    <w:p w14:paraId="00000008" w14:textId="77777777" w:rsidR="00E6445E" w:rsidRPr="000840B5" w:rsidRDefault="00447512" w:rsidP="00C93EB7">
      <w:pPr>
        <w:numPr>
          <w:ilvl w:val="0"/>
          <w:numId w:val="5"/>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Reasons and purposes:</w:t>
      </w:r>
    </w:p>
    <w:p w14:paraId="00000009" w14:textId="77777777"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Pay bond interest in the 9th Period (from and including October 21, 2023 to and excluding January 21, 2024)</w:t>
      </w:r>
    </w:p>
    <w:p w14:paraId="0000000A" w14:textId="77777777" w:rsidR="00E6445E" w:rsidRPr="000840B5" w:rsidRDefault="00447512" w:rsidP="00C93EB7">
      <w:pPr>
        <w:numPr>
          <w:ilvl w:val="0"/>
          <w:numId w:val="5"/>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Specific content</w:t>
      </w:r>
    </w:p>
    <w:p w14:paraId="0000000B" w14:textId="77777777" w:rsidR="00E6445E" w:rsidRPr="000840B5" w:rsidRDefault="00447512"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r w:rsidRPr="000840B5">
        <w:rPr>
          <w:rFonts w:ascii="Arial" w:hAnsi="Arial" w:cs="Arial"/>
          <w:color w:val="010000"/>
          <w:sz w:val="20"/>
        </w:rPr>
        <w:t>Pay corporate bond interest in cash:</w:t>
      </w:r>
    </w:p>
    <w:p w14:paraId="0000000C" w14:textId="77777777" w:rsidR="00E6445E" w:rsidRPr="000840B5" w:rsidRDefault="00447512" w:rsidP="00C93EB7">
      <w:pPr>
        <w:numPr>
          <w:ilvl w:val="0"/>
          <w:numId w:val="4"/>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Interest rate: 9.5%/year</w:t>
      </w:r>
    </w:p>
    <w:p w14:paraId="0000000D" w14:textId="77777777" w:rsidR="00E6445E" w:rsidRPr="000840B5" w:rsidRDefault="00447512" w:rsidP="00C93EB7">
      <w:pPr>
        <w:numPr>
          <w:ilvl w:val="0"/>
          <w:numId w:val="4"/>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Exercise rate:</w:t>
      </w:r>
    </w:p>
    <w:p w14:paraId="0000000E" w14:textId="535FB656" w:rsidR="00E6445E" w:rsidRPr="000840B5" w:rsidRDefault="00447512" w:rsidP="00C93EB7">
      <w:pPr>
        <w:numPr>
          <w:ilvl w:val="0"/>
          <w:numId w:val="6"/>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A bond is equivalent to VND 2,394.521</w:t>
      </w:r>
      <w:r w:rsidR="000840B5" w:rsidRPr="000840B5">
        <w:rPr>
          <w:rFonts w:ascii="Arial" w:hAnsi="Arial" w:cs="Arial"/>
          <w:color w:val="010000"/>
          <w:sz w:val="20"/>
        </w:rPr>
        <w:t>.</w:t>
      </w:r>
      <w:r w:rsidRPr="000840B5">
        <w:rPr>
          <w:rFonts w:ascii="Arial" w:hAnsi="Arial" w:cs="Arial"/>
          <w:color w:val="010000"/>
          <w:sz w:val="20"/>
        </w:rPr>
        <w:t xml:space="preserve"> In which:</w:t>
      </w:r>
    </w:p>
    <w:p w14:paraId="0000000F" w14:textId="77777777" w:rsidR="00E6445E" w:rsidRPr="000840B5" w:rsidRDefault="00447512" w:rsidP="00C93EB7">
      <w:pPr>
        <w:numPr>
          <w:ilvl w:val="0"/>
          <w:numId w:val="1"/>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 xml:space="preserve">The interest payment is calculated by the formula: VND 100,000 x 9.5% x 92 (days)/365 (days), rounded to three decimal places. </w:t>
      </w:r>
    </w:p>
    <w:p w14:paraId="00000010" w14:textId="54C7F6BA" w:rsidR="00E6445E" w:rsidRPr="000840B5" w:rsidRDefault="00447512" w:rsidP="00C93EB7">
      <w:pPr>
        <w:numPr>
          <w:ilvl w:val="0"/>
          <w:numId w:val="6"/>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The total amount of actual bond interest received by the bondholder will be rounded to the unit (if the first decimal place is equal to or greater than 5, the number is rounded up; if the first decimal is less than 5, the decimal part is canceled).</w:t>
      </w:r>
    </w:p>
    <w:p w14:paraId="00000011" w14:textId="50CAD15D" w:rsidR="00E6445E" w:rsidRPr="000840B5" w:rsidRDefault="00447512" w:rsidP="00C93EB7">
      <w:pPr>
        <w:numPr>
          <w:ilvl w:val="0"/>
          <w:numId w:val="2"/>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Payment date: January 22, 2024 (As the paymen</w:t>
      </w:r>
      <w:r w:rsidR="00C93EB7">
        <w:rPr>
          <w:rFonts w:ascii="Arial" w:hAnsi="Arial" w:cs="Arial"/>
          <w:color w:val="010000"/>
          <w:sz w:val="20"/>
        </w:rPr>
        <w:t xml:space="preserve">t date of January 21, 2024 happens to be </w:t>
      </w:r>
      <w:r w:rsidRPr="000840B5">
        <w:rPr>
          <w:rFonts w:ascii="Arial" w:hAnsi="Arial" w:cs="Arial"/>
          <w:color w:val="010000"/>
          <w:sz w:val="20"/>
        </w:rPr>
        <w:t>Sunday)</w:t>
      </w:r>
    </w:p>
    <w:p w14:paraId="00000012" w14:textId="77777777" w:rsidR="00E6445E" w:rsidRPr="000840B5" w:rsidRDefault="00447512" w:rsidP="00C93EB7">
      <w:pPr>
        <w:numPr>
          <w:ilvl w:val="0"/>
          <w:numId w:val="2"/>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Implementation venue:</w:t>
      </w:r>
    </w:p>
    <w:p w14:paraId="00000013" w14:textId="76001A7D" w:rsidR="00E6445E" w:rsidRPr="000840B5" w:rsidRDefault="00447512" w:rsidP="00C93EB7">
      <w:pPr>
        <w:numPr>
          <w:ilvl w:val="0"/>
          <w:numId w:val="6"/>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 xml:space="preserve">For deposited securities: Owners implement procedures to </w:t>
      </w:r>
      <w:r w:rsidR="0001605E" w:rsidRPr="000840B5">
        <w:rPr>
          <w:rFonts w:ascii="Arial" w:hAnsi="Arial" w:cs="Arial"/>
          <w:color w:val="010000"/>
          <w:sz w:val="20"/>
        </w:rPr>
        <w:t>receive the interest of CII</w:t>
      </w:r>
      <w:r w:rsidRPr="000840B5">
        <w:rPr>
          <w:rFonts w:ascii="Arial" w:hAnsi="Arial" w:cs="Arial"/>
          <w:color w:val="010000"/>
          <w:sz w:val="20"/>
        </w:rPr>
        <w:t>121029</w:t>
      </w:r>
      <w:r w:rsidR="0001605E" w:rsidRPr="000840B5">
        <w:rPr>
          <w:rFonts w:ascii="Arial" w:hAnsi="Arial" w:cs="Arial"/>
          <w:color w:val="010000"/>
          <w:sz w:val="20"/>
        </w:rPr>
        <w:t xml:space="preserve"> </w:t>
      </w:r>
      <w:r w:rsidR="000840B5" w:rsidRPr="000840B5">
        <w:rPr>
          <w:rFonts w:ascii="Arial" w:hAnsi="Arial" w:cs="Arial"/>
          <w:color w:val="010000"/>
          <w:sz w:val="20"/>
        </w:rPr>
        <w:t xml:space="preserve">bond </w:t>
      </w:r>
      <w:r w:rsidR="0001605E" w:rsidRPr="000840B5">
        <w:rPr>
          <w:rFonts w:ascii="Arial" w:hAnsi="Arial" w:cs="Arial"/>
          <w:color w:val="010000"/>
          <w:sz w:val="20"/>
        </w:rPr>
        <w:t xml:space="preserve">at the Depository Member </w:t>
      </w:r>
      <w:r w:rsidRPr="000840B5">
        <w:rPr>
          <w:rFonts w:ascii="Arial" w:hAnsi="Arial" w:cs="Arial"/>
          <w:color w:val="010000"/>
          <w:sz w:val="20"/>
        </w:rPr>
        <w:t>where the depository accounts are opened.</w:t>
      </w:r>
    </w:p>
    <w:p w14:paraId="00000014" w14:textId="120AEC76" w:rsidR="00E6445E" w:rsidRPr="000840B5" w:rsidRDefault="00447512" w:rsidP="00C93EB7">
      <w:pPr>
        <w:numPr>
          <w:ilvl w:val="0"/>
          <w:numId w:val="6"/>
        </w:numPr>
        <w:pBdr>
          <w:top w:val="nil"/>
          <w:left w:val="nil"/>
          <w:bottom w:val="nil"/>
          <w:right w:val="nil"/>
          <w:between w:val="nil"/>
        </w:pBdr>
        <w:tabs>
          <w:tab w:val="left" w:pos="270"/>
          <w:tab w:val="left" w:pos="810"/>
        </w:tabs>
        <w:spacing w:after="120" w:line="360" w:lineRule="auto"/>
        <w:ind w:left="0" w:firstLine="0"/>
        <w:jc w:val="both"/>
        <w:rPr>
          <w:rFonts w:ascii="Arial" w:eastAsia="Arial" w:hAnsi="Arial" w:cs="Arial"/>
          <w:color w:val="010000"/>
          <w:sz w:val="20"/>
          <w:szCs w:val="20"/>
        </w:rPr>
      </w:pPr>
      <w:r w:rsidRPr="000840B5">
        <w:rPr>
          <w:rFonts w:ascii="Arial" w:hAnsi="Arial" w:cs="Arial"/>
          <w:color w:val="010000"/>
          <w:sz w:val="20"/>
        </w:rPr>
        <w:t xml:space="preserve">For </w:t>
      </w:r>
      <w:proofErr w:type="spellStart"/>
      <w:r w:rsidRPr="000840B5">
        <w:rPr>
          <w:rFonts w:ascii="Arial" w:hAnsi="Arial" w:cs="Arial"/>
          <w:color w:val="010000"/>
          <w:sz w:val="20"/>
        </w:rPr>
        <w:t>undeposited</w:t>
      </w:r>
      <w:proofErr w:type="spellEnd"/>
      <w:r w:rsidRPr="000840B5">
        <w:rPr>
          <w:rFonts w:ascii="Arial" w:hAnsi="Arial" w:cs="Arial"/>
          <w:color w:val="010000"/>
          <w:sz w:val="20"/>
        </w:rPr>
        <w:t xml:space="preserve"> securities: Owners implement procedures to receive interest of CII121029</w:t>
      </w:r>
      <w:r w:rsidR="000840B5" w:rsidRPr="000840B5">
        <w:rPr>
          <w:rFonts w:ascii="Arial" w:hAnsi="Arial" w:cs="Arial"/>
          <w:color w:val="010000"/>
          <w:sz w:val="20"/>
        </w:rPr>
        <w:t xml:space="preserve"> Bond</w:t>
      </w:r>
      <w:r w:rsidRPr="000840B5">
        <w:rPr>
          <w:rFonts w:ascii="Arial" w:hAnsi="Arial" w:cs="Arial"/>
          <w:color w:val="010000"/>
          <w:sz w:val="20"/>
        </w:rPr>
        <w:t xml:space="preserve"> at Ho Chi Minh City Infrastructure Investment Joint Stock Company - 12th Floor, No. 152 </w:t>
      </w:r>
      <w:proofErr w:type="spellStart"/>
      <w:r w:rsidRPr="000840B5">
        <w:rPr>
          <w:rFonts w:ascii="Arial" w:hAnsi="Arial" w:cs="Arial"/>
          <w:color w:val="010000"/>
          <w:sz w:val="20"/>
        </w:rPr>
        <w:t>Dien</w:t>
      </w:r>
      <w:proofErr w:type="spellEnd"/>
      <w:r w:rsidRPr="000840B5">
        <w:rPr>
          <w:rFonts w:ascii="Arial" w:hAnsi="Arial" w:cs="Arial"/>
          <w:color w:val="010000"/>
          <w:sz w:val="20"/>
        </w:rPr>
        <w:t xml:space="preserve"> Bien </w:t>
      </w:r>
      <w:proofErr w:type="spellStart"/>
      <w:r w:rsidRPr="000840B5">
        <w:rPr>
          <w:rFonts w:ascii="Arial" w:hAnsi="Arial" w:cs="Arial"/>
          <w:color w:val="010000"/>
          <w:sz w:val="20"/>
        </w:rPr>
        <w:t>Phu</w:t>
      </w:r>
      <w:proofErr w:type="spellEnd"/>
      <w:r w:rsidR="00C93EB7">
        <w:rPr>
          <w:rFonts w:ascii="Arial" w:hAnsi="Arial" w:cs="Arial"/>
          <w:color w:val="010000"/>
          <w:sz w:val="20"/>
        </w:rPr>
        <w:t xml:space="preserve"> Road</w:t>
      </w:r>
      <w:r w:rsidRPr="000840B5">
        <w:rPr>
          <w:rFonts w:ascii="Arial" w:hAnsi="Arial" w:cs="Arial"/>
          <w:color w:val="010000"/>
          <w:sz w:val="20"/>
        </w:rPr>
        <w:t xml:space="preserve">, Ward 25, </w:t>
      </w:r>
      <w:proofErr w:type="spellStart"/>
      <w:r w:rsidRPr="000840B5">
        <w:rPr>
          <w:rFonts w:ascii="Arial" w:hAnsi="Arial" w:cs="Arial"/>
          <w:color w:val="010000"/>
          <w:sz w:val="20"/>
        </w:rPr>
        <w:t>Binh</w:t>
      </w:r>
      <w:proofErr w:type="spellEnd"/>
      <w:r w:rsidRPr="000840B5">
        <w:rPr>
          <w:rFonts w:ascii="Arial" w:hAnsi="Arial" w:cs="Arial"/>
          <w:color w:val="010000"/>
          <w:sz w:val="20"/>
        </w:rPr>
        <w:t xml:space="preserve"> Thanh District, Ho Chi Minh City, Vietnam, starting from January 22, 2024 and present </w:t>
      </w:r>
      <w:r w:rsidR="000840B5" w:rsidRPr="000840B5">
        <w:rPr>
          <w:rFonts w:ascii="Arial" w:hAnsi="Arial" w:cs="Arial"/>
          <w:color w:val="010000"/>
          <w:sz w:val="20"/>
        </w:rPr>
        <w:t xml:space="preserve">their </w:t>
      </w:r>
      <w:r w:rsidRPr="000840B5">
        <w:rPr>
          <w:rFonts w:ascii="Arial" w:hAnsi="Arial" w:cs="Arial"/>
          <w:color w:val="010000"/>
          <w:sz w:val="20"/>
        </w:rPr>
        <w:t>ID Card/Citizen Identity Card.</w:t>
      </w:r>
    </w:p>
    <w:p w14:paraId="2D9FF87E" w14:textId="481E29A8" w:rsidR="0001605E" w:rsidRPr="000840B5" w:rsidRDefault="0001605E" w:rsidP="00C93EB7">
      <w:pPr>
        <w:pBdr>
          <w:top w:val="nil"/>
          <w:left w:val="nil"/>
          <w:bottom w:val="nil"/>
          <w:right w:val="nil"/>
          <w:between w:val="nil"/>
        </w:pBdr>
        <w:tabs>
          <w:tab w:val="left" w:pos="270"/>
          <w:tab w:val="left" w:pos="810"/>
        </w:tabs>
        <w:spacing w:after="120" w:line="360" w:lineRule="auto"/>
        <w:jc w:val="both"/>
        <w:rPr>
          <w:rFonts w:ascii="Arial" w:eastAsia="Arial" w:hAnsi="Arial" w:cs="Arial"/>
          <w:color w:val="010000"/>
          <w:sz w:val="20"/>
          <w:szCs w:val="20"/>
        </w:rPr>
      </w:pPr>
      <w:bookmarkStart w:id="0" w:name="_GoBack"/>
      <w:bookmarkEnd w:id="0"/>
    </w:p>
    <w:sectPr w:rsidR="0001605E" w:rsidRPr="000840B5" w:rsidSect="0044751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315"/>
    <w:multiLevelType w:val="multilevel"/>
    <w:tmpl w:val="472A6C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E59B5"/>
    <w:multiLevelType w:val="multilevel"/>
    <w:tmpl w:val="912E305C"/>
    <w:lvl w:ilvl="0">
      <w:start w:val="1"/>
      <w:numFmt w:val="bullet"/>
      <w:lvlText w:val="-"/>
      <w:lvlJc w:val="left"/>
      <w:pPr>
        <w:ind w:left="993" w:hanging="360"/>
      </w:pPr>
      <w:rPr>
        <w:rFonts w:ascii="Play" w:eastAsia="Play" w:hAnsi="Play" w:cs="Play"/>
        <w:b w:val="0"/>
        <w:i w:val="0"/>
        <w:sz w:val="20"/>
      </w:rPr>
    </w:lvl>
    <w:lvl w:ilvl="1">
      <w:start w:val="1"/>
      <w:numFmt w:val="bullet"/>
      <w:lvlText w:val="o"/>
      <w:lvlJc w:val="left"/>
      <w:pPr>
        <w:ind w:left="1713" w:hanging="360"/>
      </w:pPr>
      <w:rPr>
        <w:rFonts w:ascii="Courier New" w:eastAsia="Courier New" w:hAnsi="Courier New" w:cs="Courier New"/>
        <w:b w:val="0"/>
        <w:i w:val="0"/>
        <w:sz w:val="20"/>
      </w:rPr>
    </w:lvl>
    <w:lvl w:ilvl="2">
      <w:start w:val="1"/>
      <w:numFmt w:val="bullet"/>
      <w:lvlText w:val="▪"/>
      <w:lvlJc w:val="left"/>
      <w:pPr>
        <w:ind w:left="2433" w:hanging="360"/>
      </w:pPr>
      <w:rPr>
        <w:rFonts w:ascii="Noto Sans Symbols" w:eastAsia="Noto Sans Symbols" w:hAnsi="Noto Sans Symbols" w:cs="Noto Sans Symbols"/>
        <w:b w:val="0"/>
        <w:i w:val="0"/>
        <w:sz w:val="20"/>
      </w:rPr>
    </w:lvl>
    <w:lvl w:ilvl="3">
      <w:start w:val="1"/>
      <w:numFmt w:val="bullet"/>
      <w:lvlText w:val="●"/>
      <w:lvlJc w:val="left"/>
      <w:pPr>
        <w:ind w:left="3153" w:hanging="360"/>
      </w:pPr>
      <w:rPr>
        <w:rFonts w:ascii="Noto Sans Symbols" w:eastAsia="Noto Sans Symbols" w:hAnsi="Noto Sans Symbols" w:cs="Noto Sans Symbols"/>
      </w:rPr>
    </w:lvl>
    <w:lvl w:ilvl="4">
      <w:start w:val="1"/>
      <w:numFmt w:val="bullet"/>
      <w:lvlText w:val="o"/>
      <w:lvlJc w:val="left"/>
      <w:pPr>
        <w:ind w:left="3873" w:hanging="360"/>
      </w:pPr>
      <w:rPr>
        <w:rFonts w:ascii="Courier New" w:eastAsia="Courier New" w:hAnsi="Courier New" w:cs="Courier New"/>
      </w:rPr>
    </w:lvl>
    <w:lvl w:ilvl="5">
      <w:start w:val="1"/>
      <w:numFmt w:val="bullet"/>
      <w:lvlText w:val="▪"/>
      <w:lvlJc w:val="left"/>
      <w:pPr>
        <w:ind w:left="4593" w:hanging="360"/>
      </w:pPr>
      <w:rPr>
        <w:rFonts w:ascii="Noto Sans Symbols" w:eastAsia="Noto Sans Symbols" w:hAnsi="Noto Sans Symbols" w:cs="Noto Sans Symbols"/>
      </w:rPr>
    </w:lvl>
    <w:lvl w:ilvl="6">
      <w:start w:val="1"/>
      <w:numFmt w:val="bullet"/>
      <w:lvlText w:val="●"/>
      <w:lvlJc w:val="left"/>
      <w:pPr>
        <w:ind w:left="5313" w:hanging="360"/>
      </w:pPr>
      <w:rPr>
        <w:rFonts w:ascii="Noto Sans Symbols" w:eastAsia="Noto Sans Symbols" w:hAnsi="Noto Sans Symbols" w:cs="Noto Sans Symbols"/>
      </w:rPr>
    </w:lvl>
    <w:lvl w:ilvl="7">
      <w:start w:val="1"/>
      <w:numFmt w:val="bullet"/>
      <w:lvlText w:val="o"/>
      <w:lvlJc w:val="left"/>
      <w:pPr>
        <w:ind w:left="6033" w:hanging="360"/>
      </w:pPr>
      <w:rPr>
        <w:rFonts w:ascii="Courier New" w:eastAsia="Courier New" w:hAnsi="Courier New" w:cs="Courier New"/>
      </w:rPr>
    </w:lvl>
    <w:lvl w:ilvl="8">
      <w:start w:val="1"/>
      <w:numFmt w:val="bullet"/>
      <w:lvlText w:val="▪"/>
      <w:lvlJc w:val="left"/>
      <w:pPr>
        <w:ind w:left="6753" w:hanging="360"/>
      </w:pPr>
      <w:rPr>
        <w:rFonts w:ascii="Noto Sans Symbols" w:eastAsia="Noto Sans Symbols" w:hAnsi="Noto Sans Symbols" w:cs="Noto Sans Symbols"/>
      </w:rPr>
    </w:lvl>
  </w:abstractNum>
  <w:abstractNum w:abstractNumId="2" w15:restartNumberingAfterBreak="0">
    <w:nsid w:val="39967C36"/>
    <w:multiLevelType w:val="multilevel"/>
    <w:tmpl w:val="00E23308"/>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6A7BAB"/>
    <w:multiLevelType w:val="multilevel"/>
    <w:tmpl w:val="B3C8709C"/>
    <w:lvl w:ilvl="0">
      <w:start w:val="1"/>
      <w:numFmt w:val="lowerRoman"/>
      <w:lvlText w:val="(%1)"/>
      <w:lvlJc w:val="left"/>
      <w:pPr>
        <w:ind w:left="993" w:hanging="360"/>
      </w:pPr>
      <w:rPr>
        <w:b w:val="0"/>
        <w:i w:val="0"/>
        <w:sz w:val="20"/>
      </w:rPr>
    </w:lvl>
    <w:lvl w:ilvl="1">
      <w:start w:val="1"/>
      <w:numFmt w:val="lowerLetter"/>
      <w:lvlText w:val="%2."/>
      <w:lvlJc w:val="left"/>
      <w:pPr>
        <w:ind w:left="1713" w:hanging="360"/>
      </w:pPr>
      <w:rPr>
        <w:b w:val="0"/>
        <w:i w:val="0"/>
        <w:sz w:val="20"/>
      </w:rPr>
    </w:lvl>
    <w:lvl w:ilvl="2">
      <w:start w:val="1"/>
      <w:numFmt w:val="lowerRoman"/>
      <w:lvlText w:val="%3."/>
      <w:lvlJc w:val="right"/>
      <w:pPr>
        <w:ind w:left="2433" w:hanging="180"/>
      </w:pPr>
      <w:rPr>
        <w:b w:val="0"/>
        <w:i w:val="0"/>
        <w:sz w:val="20"/>
      </w:r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4" w15:restartNumberingAfterBreak="0">
    <w:nsid w:val="4F3C7F36"/>
    <w:multiLevelType w:val="multilevel"/>
    <w:tmpl w:val="A35ECD26"/>
    <w:lvl w:ilvl="0">
      <w:start w:val="1"/>
      <w:numFmt w:val="bullet"/>
      <w:lvlText w:val="+"/>
      <w:lvlJc w:val="left"/>
      <w:pPr>
        <w:ind w:left="993" w:hanging="360"/>
      </w:pPr>
      <w:rPr>
        <w:rFonts w:ascii="Noto Sans Symbols" w:eastAsia="Noto Sans Symbols" w:hAnsi="Noto Sans Symbols" w:cs="Noto Sans Symbols"/>
        <w:b w:val="0"/>
        <w:i w:val="0"/>
        <w:sz w:val="20"/>
      </w:rPr>
    </w:lvl>
    <w:lvl w:ilvl="1">
      <w:start w:val="1"/>
      <w:numFmt w:val="bullet"/>
      <w:lvlText w:val="o"/>
      <w:lvlJc w:val="left"/>
      <w:pPr>
        <w:ind w:left="1713" w:hanging="360"/>
      </w:pPr>
      <w:rPr>
        <w:rFonts w:ascii="Courier New" w:eastAsia="Courier New" w:hAnsi="Courier New" w:cs="Courier New"/>
        <w:b w:val="0"/>
        <w:i w:val="0"/>
        <w:sz w:val="20"/>
      </w:rPr>
    </w:lvl>
    <w:lvl w:ilvl="2">
      <w:start w:val="1"/>
      <w:numFmt w:val="bullet"/>
      <w:lvlText w:val="▪"/>
      <w:lvlJc w:val="left"/>
      <w:pPr>
        <w:ind w:left="2433" w:hanging="360"/>
      </w:pPr>
      <w:rPr>
        <w:rFonts w:ascii="Noto Sans Symbols" w:eastAsia="Noto Sans Symbols" w:hAnsi="Noto Sans Symbols" w:cs="Noto Sans Symbols"/>
        <w:b w:val="0"/>
        <w:i w:val="0"/>
        <w:sz w:val="20"/>
      </w:rPr>
    </w:lvl>
    <w:lvl w:ilvl="3">
      <w:start w:val="1"/>
      <w:numFmt w:val="bullet"/>
      <w:lvlText w:val="●"/>
      <w:lvlJc w:val="left"/>
      <w:pPr>
        <w:ind w:left="3153" w:hanging="360"/>
      </w:pPr>
      <w:rPr>
        <w:rFonts w:ascii="Noto Sans Symbols" w:eastAsia="Noto Sans Symbols" w:hAnsi="Noto Sans Symbols" w:cs="Noto Sans Symbols"/>
      </w:rPr>
    </w:lvl>
    <w:lvl w:ilvl="4">
      <w:start w:val="1"/>
      <w:numFmt w:val="bullet"/>
      <w:lvlText w:val="o"/>
      <w:lvlJc w:val="left"/>
      <w:pPr>
        <w:ind w:left="3873" w:hanging="360"/>
      </w:pPr>
      <w:rPr>
        <w:rFonts w:ascii="Courier New" w:eastAsia="Courier New" w:hAnsi="Courier New" w:cs="Courier New"/>
      </w:rPr>
    </w:lvl>
    <w:lvl w:ilvl="5">
      <w:start w:val="1"/>
      <w:numFmt w:val="bullet"/>
      <w:lvlText w:val="▪"/>
      <w:lvlJc w:val="left"/>
      <w:pPr>
        <w:ind w:left="4593" w:hanging="360"/>
      </w:pPr>
      <w:rPr>
        <w:rFonts w:ascii="Noto Sans Symbols" w:eastAsia="Noto Sans Symbols" w:hAnsi="Noto Sans Symbols" w:cs="Noto Sans Symbols"/>
      </w:rPr>
    </w:lvl>
    <w:lvl w:ilvl="6">
      <w:start w:val="1"/>
      <w:numFmt w:val="bullet"/>
      <w:lvlText w:val="●"/>
      <w:lvlJc w:val="left"/>
      <w:pPr>
        <w:ind w:left="5313" w:hanging="360"/>
      </w:pPr>
      <w:rPr>
        <w:rFonts w:ascii="Noto Sans Symbols" w:eastAsia="Noto Sans Symbols" w:hAnsi="Noto Sans Symbols" w:cs="Noto Sans Symbols"/>
      </w:rPr>
    </w:lvl>
    <w:lvl w:ilvl="7">
      <w:start w:val="1"/>
      <w:numFmt w:val="bullet"/>
      <w:lvlText w:val="o"/>
      <w:lvlJc w:val="left"/>
      <w:pPr>
        <w:ind w:left="6033" w:hanging="360"/>
      </w:pPr>
      <w:rPr>
        <w:rFonts w:ascii="Courier New" w:eastAsia="Courier New" w:hAnsi="Courier New" w:cs="Courier New"/>
      </w:rPr>
    </w:lvl>
    <w:lvl w:ilvl="8">
      <w:start w:val="1"/>
      <w:numFmt w:val="bullet"/>
      <w:lvlText w:val="▪"/>
      <w:lvlJc w:val="left"/>
      <w:pPr>
        <w:ind w:left="6753" w:hanging="360"/>
      </w:pPr>
      <w:rPr>
        <w:rFonts w:ascii="Noto Sans Symbols" w:eastAsia="Noto Sans Symbols" w:hAnsi="Noto Sans Symbols" w:cs="Noto Sans Symbols"/>
      </w:rPr>
    </w:lvl>
  </w:abstractNum>
  <w:abstractNum w:abstractNumId="5" w15:restartNumberingAfterBreak="0">
    <w:nsid w:val="79132BA4"/>
    <w:multiLevelType w:val="multilevel"/>
    <w:tmpl w:val="3342CC52"/>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5E"/>
    <w:rsid w:val="0001605E"/>
    <w:rsid w:val="000840B5"/>
    <w:rsid w:val="001114D4"/>
    <w:rsid w:val="00447512"/>
    <w:rsid w:val="00C93EB7"/>
    <w:rsid w:val="00E6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E9A6A"/>
  <w15:docId w15:val="{95077EA9-F5DC-4208-8CE0-A3A0983D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6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XPj6K7NaZkre9LwcN6wEQ6qegA==">CgMxLjAyCGguZ2pkZ3hzOAByITE1b2hsSk4wTmFwcjZ6VE42MFBwelVrRDZUQWlDdmMzLQ==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2023-12-29T03:32:00Z</dcterms:created>
  <dcterms:modified xsi:type="dcterms:W3CDTF">2023-12-29T03:32:00Z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ffaec1979dee8e240f5d92fa923a2e4a53ef47cab33ba4fea43f390c20452afe</vt:lpwstr>
  </property>
</Properties>
</file>