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3119" w:rsidRPr="00853C3B" w:rsidRDefault="00EE4F64" w:rsidP="002E3A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53C3B">
        <w:rPr>
          <w:rFonts w:ascii="Arial" w:hAnsi="Arial" w:cs="Arial"/>
          <w:b/>
          <w:color w:val="010000"/>
          <w:sz w:val="20"/>
        </w:rPr>
        <w:t xml:space="preserve">DRG: Board Resolution </w:t>
      </w:r>
    </w:p>
    <w:p w14:paraId="00000002" w14:textId="77777777" w:rsidR="008D3119" w:rsidRPr="00853C3B" w:rsidRDefault="00EE4F64" w:rsidP="002E3A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On December 26, 2023, </w:t>
      </w:r>
      <w:proofErr w:type="spellStart"/>
      <w:r w:rsidRPr="00853C3B">
        <w:rPr>
          <w:rFonts w:ascii="Arial" w:hAnsi="Arial" w:cs="Arial"/>
          <w:color w:val="010000"/>
          <w:sz w:val="20"/>
        </w:rPr>
        <w:t>DakLak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Rubber Joint Stock Company announced Resolution No. 23/NQ-HDQT as follows: </w:t>
      </w:r>
    </w:p>
    <w:p w14:paraId="00000003" w14:textId="1BB34855" w:rsidR="008D3119" w:rsidRPr="00853C3B" w:rsidRDefault="00EE4F64" w:rsidP="002E3A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Article 1: On the prepayment of the profit for</w:t>
      </w:r>
      <w:r w:rsidR="002E3A5B" w:rsidRPr="00853C3B">
        <w:rPr>
          <w:rFonts w:ascii="Arial" w:hAnsi="Arial" w:cs="Arial"/>
          <w:color w:val="010000"/>
          <w:sz w:val="20"/>
        </w:rPr>
        <w:t xml:space="preserve"> </w:t>
      </w:r>
      <w:r w:rsidRPr="00853C3B">
        <w:rPr>
          <w:rFonts w:ascii="Arial" w:hAnsi="Arial" w:cs="Arial"/>
          <w:color w:val="010000"/>
          <w:sz w:val="20"/>
        </w:rPr>
        <w:t xml:space="preserve">2023 at </w:t>
      </w:r>
      <w:proofErr w:type="spellStart"/>
      <w:r w:rsidRPr="00853C3B">
        <w:rPr>
          <w:rFonts w:ascii="Arial" w:hAnsi="Arial" w:cs="Arial"/>
          <w:color w:val="010000"/>
          <w:sz w:val="20"/>
        </w:rPr>
        <w:t>Dakmoruco</w:t>
      </w:r>
      <w:proofErr w:type="spellEnd"/>
      <w:r w:rsidRPr="00853C3B">
        <w:rPr>
          <w:rFonts w:ascii="Arial" w:hAnsi="Arial" w:cs="Arial"/>
          <w:color w:val="010000"/>
          <w:sz w:val="20"/>
        </w:rPr>
        <w:t>.</w:t>
      </w:r>
    </w:p>
    <w:p w14:paraId="00000004" w14:textId="77777777" w:rsidR="008D3119" w:rsidRPr="00853C3B" w:rsidRDefault="00EE4F64" w:rsidP="002E3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Approve to transfer the prepayment of USD 385,000 from </w:t>
      </w:r>
      <w:proofErr w:type="spellStart"/>
      <w:r w:rsidRPr="00853C3B">
        <w:rPr>
          <w:rFonts w:ascii="Arial" w:hAnsi="Arial" w:cs="Arial"/>
          <w:color w:val="010000"/>
          <w:sz w:val="20"/>
        </w:rPr>
        <w:t>Dakmoruco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(Cambodia) to Vietnam. In which:</w:t>
      </w:r>
    </w:p>
    <w:p w14:paraId="00000005" w14:textId="3E46E5DE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The amount transferred to </w:t>
      </w:r>
      <w:proofErr w:type="spellStart"/>
      <w:r w:rsidRPr="00853C3B">
        <w:rPr>
          <w:rFonts w:ascii="Arial" w:hAnsi="Arial" w:cs="Arial"/>
          <w:color w:val="010000"/>
          <w:sz w:val="20"/>
        </w:rPr>
        <w:t>Dakruco's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account at ACB-</w:t>
      </w:r>
      <w:proofErr w:type="spellStart"/>
      <w:r w:rsidRPr="00853C3B">
        <w:rPr>
          <w:rFonts w:ascii="Arial" w:hAnsi="Arial" w:cs="Arial"/>
          <w:color w:val="010000"/>
          <w:sz w:val="20"/>
        </w:rPr>
        <w:t>Dak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53C3B">
        <w:rPr>
          <w:rFonts w:ascii="Arial" w:hAnsi="Arial" w:cs="Arial"/>
          <w:color w:val="010000"/>
          <w:sz w:val="20"/>
        </w:rPr>
        <w:t>Lak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Branch is USD 350,000, according to the beneficiary account number stated in Official Dispatch No. 533/CT-TCKT dated December 19, 2023 of </w:t>
      </w:r>
      <w:proofErr w:type="spellStart"/>
      <w:r w:rsidRPr="00853C3B">
        <w:rPr>
          <w:rFonts w:ascii="Arial" w:hAnsi="Arial" w:cs="Arial"/>
          <w:color w:val="010000"/>
          <w:sz w:val="20"/>
        </w:rPr>
        <w:t>Dakruco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. Implementation date: </w:t>
      </w:r>
      <w:r w:rsidR="002E3A5B" w:rsidRPr="00853C3B">
        <w:rPr>
          <w:rFonts w:ascii="Arial" w:hAnsi="Arial" w:cs="Arial"/>
          <w:color w:val="010000"/>
          <w:sz w:val="20"/>
        </w:rPr>
        <w:t>before</w:t>
      </w:r>
      <w:r w:rsidRPr="00853C3B">
        <w:rPr>
          <w:rFonts w:ascii="Arial" w:hAnsi="Arial" w:cs="Arial"/>
          <w:color w:val="010000"/>
          <w:sz w:val="20"/>
        </w:rPr>
        <w:t xml:space="preserve"> January 31, 2024</w:t>
      </w:r>
    </w:p>
    <w:p w14:paraId="00000006" w14:textId="1D53136E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The expense of transferring money from Cambodia to Vietnam is USD 35,000 (equivalent to 10% of the transferred am</w:t>
      </w:r>
      <w:bookmarkStart w:id="0" w:name="_GoBack"/>
      <w:bookmarkEnd w:id="0"/>
      <w:r w:rsidRPr="00853C3B">
        <w:rPr>
          <w:rFonts w:ascii="Arial" w:hAnsi="Arial" w:cs="Arial"/>
          <w:color w:val="010000"/>
          <w:sz w:val="20"/>
        </w:rPr>
        <w:t xml:space="preserve">ount, as per the regulations of the </w:t>
      </w:r>
      <w:r w:rsidR="002E3A5B" w:rsidRPr="00853C3B">
        <w:rPr>
          <w:rFonts w:ascii="Arial" w:hAnsi="Arial" w:cs="Arial"/>
          <w:color w:val="010000"/>
          <w:sz w:val="20"/>
        </w:rPr>
        <w:t>host</w:t>
      </w:r>
      <w:r w:rsidRPr="00853C3B">
        <w:rPr>
          <w:rFonts w:ascii="Arial" w:hAnsi="Arial" w:cs="Arial"/>
          <w:color w:val="010000"/>
          <w:sz w:val="20"/>
        </w:rPr>
        <w:t xml:space="preserve"> country).</w:t>
      </w:r>
    </w:p>
    <w:p w14:paraId="00000007" w14:textId="5DD077F6" w:rsidR="008D3119" w:rsidRPr="00853C3B" w:rsidRDefault="00EE4F64" w:rsidP="002E3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The Executive </w:t>
      </w:r>
      <w:r w:rsidR="002E3A5B" w:rsidRPr="00853C3B">
        <w:rPr>
          <w:rFonts w:ascii="Arial" w:hAnsi="Arial" w:cs="Arial"/>
          <w:color w:val="010000"/>
          <w:sz w:val="20"/>
        </w:rPr>
        <w:t xml:space="preserve">Board </w:t>
      </w:r>
      <w:r w:rsidRPr="00853C3B">
        <w:rPr>
          <w:rFonts w:ascii="Arial" w:hAnsi="Arial" w:cs="Arial"/>
          <w:color w:val="010000"/>
          <w:sz w:val="20"/>
        </w:rPr>
        <w:t xml:space="preserve">is responsible for instructing </w:t>
      </w:r>
      <w:proofErr w:type="spellStart"/>
      <w:r w:rsidRPr="00853C3B">
        <w:rPr>
          <w:rFonts w:ascii="Arial" w:hAnsi="Arial" w:cs="Arial"/>
          <w:color w:val="010000"/>
          <w:sz w:val="20"/>
        </w:rPr>
        <w:t>Dakmoruco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to transfer the prepayment of the profits of </w:t>
      </w:r>
      <w:proofErr w:type="spellStart"/>
      <w:r w:rsidRPr="00853C3B">
        <w:rPr>
          <w:rFonts w:ascii="Arial" w:hAnsi="Arial" w:cs="Arial"/>
          <w:color w:val="010000"/>
          <w:sz w:val="20"/>
        </w:rPr>
        <w:t>Dakmoruco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in the Kingdom of Cambodia to </w:t>
      </w:r>
      <w:proofErr w:type="spellStart"/>
      <w:r w:rsidRPr="00853C3B">
        <w:rPr>
          <w:rFonts w:ascii="Arial" w:hAnsi="Arial" w:cs="Arial"/>
          <w:color w:val="010000"/>
          <w:sz w:val="20"/>
        </w:rPr>
        <w:t>Dakruco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within the prescribed time; working with the competent authorities of the Kingdom of Cambodia to obtain a Certificate to avoid double taxation on the transferred profits to </w:t>
      </w:r>
      <w:proofErr w:type="spellStart"/>
      <w:r w:rsidRPr="00853C3B">
        <w:rPr>
          <w:rFonts w:ascii="Arial" w:hAnsi="Arial" w:cs="Arial"/>
          <w:color w:val="010000"/>
          <w:sz w:val="20"/>
        </w:rPr>
        <w:t>Dakruco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in Vietnam</w:t>
      </w:r>
      <w:r w:rsidR="00EA6EAA" w:rsidRPr="00853C3B">
        <w:rPr>
          <w:rFonts w:ascii="Arial" w:hAnsi="Arial" w:cs="Arial"/>
          <w:color w:val="010000"/>
          <w:sz w:val="20"/>
        </w:rPr>
        <w:t xml:space="preserve">; </w:t>
      </w:r>
      <w:r w:rsidRPr="00853C3B">
        <w:rPr>
          <w:rFonts w:ascii="Arial" w:hAnsi="Arial" w:cs="Arial"/>
          <w:color w:val="010000"/>
          <w:sz w:val="20"/>
        </w:rPr>
        <w:t>Prepar</w:t>
      </w:r>
      <w:r w:rsidR="00EA6EAA" w:rsidRPr="00853C3B">
        <w:rPr>
          <w:rFonts w:ascii="Arial" w:hAnsi="Arial" w:cs="Arial"/>
          <w:color w:val="010000"/>
          <w:sz w:val="20"/>
        </w:rPr>
        <w:t>ing</w:t>
      </w:r>
      <w:r w:rsidRPr="00853C3B">
        <w:rPr>
          <w:rFonts w:ascii="Arial" w:hAnsi="Arial" w:cs="Arial"/>
          <w:color w:val="010000"/>
          <w:sz w:val="20"/>
        </w:rPr>
        <w:t xml:space="preserve"> a commitment </w:t>
      </w:r>
      <w:r w:rsidR="00EA6EAA" w:rsidRPr="00853C3B">
        <w:rPr>
          <w:rFonts w:ascii="Arial" w:hAnsi="Arial" w:cs="Arial"/>
          <w:color w:val="010000"/>
          <w:sz w:val="20"/>
        </w:rPr>
        <w:t xml:space="preserve">document </w:t>
      </w:r>
      <w:r w:rsidRPr="00853C3B">
        <w:rPr>
          <w:rFonts w:ascii="Arial" w:hAnsi="Arial" w:cs="Arial"/>
          <w:color w:val="010000"/>
          <w:sz w:val="20"/>
        </w:rPr>
        <w:t>on the responsibility for the 2023 income to be submitted to the competent authority in the Kingdom of Cambodia, along with other relevant documents as requested by</w:t>
      </w:r>
      <w:r w:rsidR="00EA6EAA" w:rsidRPr="00853C3B">
        <w:rPr>
          <w:rFonts w:ascii="Arial" w:hAnsi="Arial" w:cs="Arial"/>
          <w:color w:val="010000"/>
          <w:sz w:val="20"/>
        </w:rPr>
        <w:t xml:space="preserve"> </w:t>
      </w:r>
      <w:r w:rsidRPr="00853C3B">
        <w:rPr>
          <w:rFonts w:ascii="Arial" w:hAnsi="Arial" w:cs="Arial"/>
          <w:color w:val="010000"/>
          <w:sz w:val="20"/>
        </w:rPr>
        <w:t>the competent authority of the Kingdom of Cambodia.</w:t>
      </w:r>
    </w:p>
    <w:p w14:paraId="00000008" w14:textId="77777777" w:rsidR="008D3119" w:rsidRPr="00853C3B" w:rsidRDefault="00EE4F64" w:rsidP="002E3A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Article 2: Approve the business plan for 2024 of </w:t>
      </w:r>
      <w:proofErr w:type="spellStart"/>
      <w:r w:rsidRPr="00853C3B">
        <w:rPr>
          <w:rFonts w:ascii="Arial" w:hAnsi="Arial" w:cs="Arial"/>
          <w:color w:val="010000"/>
          <w:sz w:val="20"/>
        </w:rPr>
        <w:t>Dak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53C3B">
        <w:rPr>
          <w:rFonts w:ascii="Arial" w:hAnsi="Arial" w:cs="Arial"/>
          <w:color w:val="010000"/>
          <w:sz w:val="20"/>
        </w:rPr>
        <w:t>Lak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Rubber Investment Joint Stock Company (DRI) as follows:</w:t>
      </w:r>
    </w:p>
    <w:p w14:paraId="00000009" w14:textId="77777777" w:rsidR="008D3119" w:rsidRPr="00853C3B" w:rsidRDefault="00EE4F64" w:rsidP="002E3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Volume target</w:t>
      </w:r>
    </w:p>
    <w:p w14:paraId="0000000A" w14:textId="2B3323D4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Latex area</w:t>
      </w:r>
      <w:r w:rsidR="00EA6EAA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8,592.3 ha. In which: Exploiting area: 8,299.83 ha; area of </w:t>
      </w:r>
      <w:r w:rsidR="00EA6EAA" w:rsidRPr="00853C3B">
        <w:rPr>
          <w:rFonts w:ascii="Arial" w:hAnsi="Arial" w:cs="Arial"/>
          <w:color w:val="010000"/>
          <w:sz w:val="20"/>
        </w:rPr>
        <w:t xml:space="preserve">trees in </w:t>
      </w:r>
      <w:r w:rsidRPr="00853C3B">
        <w:rPr>
          <w:rFonts w:ascii="Arial" w:hAnsi="Arial" w:cs="Arial"/>
          <w:color w:val="010000"/>
          <w:sz w:val="20"/>
        </w:rPr>
        <w:t>the vegetative phase</w:t>
      </w:r>
      <w:r w:rsidR="00EA6EAA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292.47ha</w:t>
      </w:r>
    </w:p>
    <w:p w14:paraId="0000000B" w14:textId="4CC29B42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Cashew tree area: 501.8 ha</w:t>
      </w:r>
    </w:p>
    <w:p w14:paraId="0000000C" w14:textId="7FCE602C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The area of</w:t>
      </w:r>
      <w:r w:rsidR="00EA6EAA" w:rsidRPr="00853C3B">
        <w:rPr>
          <w:rFonts w:ascii="Arial" w:hAnsi="Arial" w:cs="Arial"/>
          <w:color w:val="010000"/>
          <w:sz w:val="20"/>
        </w:rPr>
        <w:t xml:space="preserve"> the eucalyptus tree </w:t>
      </w:r>
      <w:r w:rsidRPr="00853C3B">
        <w:rPr>
          <w:rFonts w:ascii="Arial" w:hAnsi="Arial" w:cs="Arial"/>
          <w:color w:val="010000"/>
          <w:sz w:val="20"/>
        </w:rPr>
        <w:t xml:space="preserve">and the </w:t>
      </w:r>
      <w:r w:rsidR="00EA6EAA" w:rsidRPr="00853C3B">
        <w:rPr>
          <w:rFonts w:ascii="Arial" w:hAnsi="Arial" w:cs="Arial"/>
          <w:color w:val="010000"/>
          <w:sz w:val="20"/>
        </w:rPr>
        <w:t>Nursery</w:t>
      </w:r>
      <w:r w:rsidRPr="00853C3B">
        <w:rPr>
          <w:rFonts w:ascii="Arial" w:hAnsi="Arial" w:cs="Arial"/>
          <w:color w:val="010000"/>
          <w:sz w:val="20"/>
        </w:rPr>
        <w:t>: 13.35 ha</w:t>
      </w:r>
    </w:p>
    <w:p w14:paraId="0000000D" w14:textId="6985BCAA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The area of the </w:t>
      </w:r>
      <w:r w:rsidR="00EA6EAA" w:rsidRPr="00853C3B">
        <w:rPr>
          <w:rFonts w:ascii="Arial" w:hAnsi="Arial" w:cs="Arial"/>
          <w:color w:val="010000"/>
          <w:sz w:val="20"/>
        </w:rPr>
        <w:t>plantation</w:t>
      </w:r>
      <w:r w:rsidRPr="00853C3B">
        <w:rPr>
          <w:rFonts w:ascii="Arial" w:hAnsi="Arial" w:cs="Arial"/>
          <w:color w:val="010000"/>
          <w:sz w:val="20"/>
        </w:rPr>
        <w:t xml:space="preserve"> at the DRI High-tech </w:t>
      </w:r>
      <w:proofErr w:type="spellStart"/>
      <w:r w:rsidRPr="00853C3B">
        <w:rPr>
          <w:rFonts w:ascii="Arial" w:hAnsi="Arial" w:cs="Arial"/>
          <w:color w:val="010000"/>
          <w:sz w:val="20"/>
        </w:rPr>
        <w:t>Agricuture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Limited Company</w:t>
      </w:r>
      <w:r w:rsidR="00EA6EAA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142.17 ha</w:t>
      </w:r>
    </w:p>
    <w:p w14:paraId="0000000E" w14:textId="77777777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Exploitation product</w:t>
      </w:r>
    </w:p>
    <w:p w14:paraId="0000000F" w14:textId="77777777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Latex products: 14,000 tons, average yield reaches 1.69 tons/ha</w:t>
      </w:r>
    </w:p>
    <w:p w14:paraId="00000010" w14:textId="2B244060" w:rsidR="008D3119" w:rsidRPr="00853C3B" w:rsidRDefault="00EA6EAA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Cashew</w:t>
      </w:r>
      <w:r w:rsidR="00EE4F64" w:rsidRPr="00853C3B">
        <w:rPr>
          <w:rFonts w:ascii="Arial" w:hAnsi="Arial" w:cs="Arial"/>
          <w:color w:val="010000"/>
          <w:sz w:val="20"/>
        </w:rPr>
        <w:t xml:space="preserve"> products: 137 tons of fresh fruit, with an average yield of 270 kg/ha</w:t>
      </w:r>
    </w:p>
    <w:p w14:paraId="00000011" w14:textId="77777777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Banana products: 655.5 tons, average yield of 20 kg per bunch.</w:t>
      </w:r>
    </w:p>
    <w:p w14:paraId="00000012" w14:textId="3E88C02F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Durian </w:t>
      </w:r>
      <w:r w:rsidR="00EA6EAA" w:rsidRPr="00853C3B">
        <w:rPr>
          <w:rFonts w:ascii="Arial" w:hAnsi="Arial" w:cs="Arial"/>
          <w:color w:val="010000"/>
          <w:sz w:val="20"/>
        </w:rPr>
        <w:t>products:</w:t>
      </w:r>
      <w:r w:rsidRPr="00853C3B">
        <w:rPr>
          <w:rFonts w:ascii="Arial" w:hAnsi="Arial" w:cs="Arial"/>
          <w:color w:val="010000"/>
          <w:sz w:val="20"/>
        </w:rPr>
        <w:t xml:space="preserve"> 300 tons, average yield of 40 kg per tree.</w:t>
      </w:r>
    </w:p>
    <w:p w14:paraId="00000013" w14:textId="77777777" w:rsidR="008D3119" w:rsidRPr="00853C3B" w:rsidRDefault="00EE4F64" w:rsidP="002E3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Value target:</w:t>
      </w:r>
    </w:p>
    <w:p w14:paraId="00000014" w14:textId="7DD464BE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Selling price and product cost (average cost)</w:t>
      </w:r>
      <w:r w:rsidR="00861670" w:rsidRPr="00853C3B">
        <w:rPr>
          <w:rFonts w:ascii="Arial" w:hAnsi="Arial" w:cs="Arial"/>
          <w:color w:val="010000"/>
          <w:sz w:val="20"/>
        </w:rPr>
        <w:t>:</w:t>
      </w:r>
    </w:p>
    <w:p w14:paraId="00000015" w14:textId="225A8B41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lastRenderedPageBreak/>
        <w:t>Average latex selling price in</w:t>
      </w:r>
      <w:r w:rsidR="00861670" w:rsidRPr="00853C3B">
        <w:rPr>
          <w:rFonts w:ascii="Arial" w:hAnsi="Arial" w:cs="Arial"/>
          <w:color w:val="010000"/>
          <w:sz w:val="20"/>
        </w:rPr>
        <w:t xml:space="preserve"> the year:</w:t>
      </w:r>
      <w:r w:rsidRPr="00853C3B">
        <w:rPr>
          <w:rFonts w:ascii="Arial" w:hAnsi="Arial" w:cs="Arial"/>
          <w:color w:val="010000"/>
          <w:sz w:val="20"/>
        </w:rPr>
        <w:t xml:space="preserve"> USD 1,440/ton; cost price</w:t>
      </w:r>
      <w:r w:rsidR="00861670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USD 1,258/ton</w:t>
      </w:r>
    </w:p>
    <w:p w14:paraId="00000016" w14:textId="51A161D9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Fresh cashew selling price: USD 1,000/</w:t>
      </w:r>
      <w:r w:rsidR="00861670" w:rsidRPr="00853C3B">
        <w:rPr>
          <w:rFonts w:ascii="Arial" w:hAnsi="Arial" w:cs="Arial"/>
          <w:color w:val="010000"/>
          <w:sz w:val="20"/>
        </w:rPr>
        <w:t>ton</w:t>
      </w:r>
      <w:r w:rsidRPr="00853C3B">
        <w:rPr>
          <w:rFonts w:ascii="Arial" w:hAnsi="Arial" w:cs="Arial"/>
          <w:color w:val="010000"/>
          <w:sz w:val="20"/>
        </w:rPr>
        <w:t xml:space="preserve">; </w:t>
      </w:r>
      <w:r w:rsidR="00861670" w:rsidRPr="00853C3B">
        <w:rPr>
          <w:rFonts w:ascii="Arial" w:hAnsi="Arial" w:cs="Arial"/>
          <w:color w:val="010000"/>
          <w:sz w:val="20"/>
        </w:rPr>
        <w:t xml:space="preserve">cost price: </w:t>
      </w:r>
      <w:r w:rsidRPr="00853C3B">
        <w:rPr>
          <w:rFonts w:ascii="Arial" w:hAnsi="Arial" w:cs="Arial"/>
          <w:color w:val="010000"/>
          <w:sz w:val="20"/>
        </w:rPr>
        <w:t>USD 1,040/</w:t>
      </w:r>
      <w:r w:rsidR="00861670" w:rsidRPr="00853C3B">
        <w:rPr>
          <w:rFonts w:ascii="Arial" w:hAnsi="Arial" w:cs="Arial"/>
          <w:color w:val="010000"/>
          <w:sz w:val="20"/>
        </w:rPr>
        <w:t>ton</w:t>
      </w:r>
    </w:p>
    <w:p w14:paraId="00000017" w14:textId="7DACB5B0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Average banana selling price: VND 3,000/kg, </w:t>
      </w:r>
      <w:r w:rsidR="00861670" w:rsidRPr="00853C3B">
        <w:rPr>
          <w:rFonts w:ascii="Arial" w:hAnsi="Arial" w:cs="Arial"/>
          <w:color w:val="010000"/>
          <w:sz w:val="20"/>
        </w:rPr>
        <w:t>cost price:</w:t>
      </w:r>
      <w:r w:rsidRPr="00853C3B">
        <w:rPr>
          <w:rFonts w:ascii="Arial" w:hAnsi="Arial" w:cs="Arial"/>
          <w:color w:val="010000"/>
          <w:sz w:val="20"/>
        </w:rPr>
        <w:t xml:space="preserve"> VND 4,352/kg.</w:t>
      </w:r>
    </w:p>
    <w:p w14:paraId="00000018" w14:textId="65C31B25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Durian selling price: VND 50,000,000/ton; cost price</w:t>
      </w:r>
      <w:r w:rsidR="00861670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VND 34,759/kg.</w:t>
      </w:r>
    </w:p>
    <w:p w14:paraId="00000019" w14:textId="77777777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Total revenue, expenses, and dividend distribution:</w:t>
      </w:r>
    </w:p>
    <w:p w14:paraId="0000001A" w14:textId="7571B4CF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Total revenue: VND 445,230 million (Provisional exchange rate: VND</w:t>
      </w:r>
      <w:r w:rsidR="00861670" w:rsidRPr="00853C3B">
        <w:rPr>
          <w:rFonts w:ascii="Arial" w:hAnsi="Arial" w:cs="Arial"/>
          <w:color w:val="010000"/>
          <w:sz w:val="20"/>
        </w:rPr>
        <w:t xml:space="preserve"> 24,000</w:t>
      </w:r>
      <w:r w:rsidRPr="00853C3B">
        <w:rPr>
          <w:rFonts w:ascii="Arial" w:hAnsi="Arial" w:cs="Arial"/>
          <w:color w:val="010000"/>
          <w:sz w:val="20"/>
        </w:rPr>
        <w:t>/USD: VND 1</w:t>
      </w:r>
      <w:r w:rsidR="00861670" w:rsidRPr="00853C3B">
        <w:rPr>
          <w:rFonts w:ascii="Arial" w:hAnsi="Arial" w:cs="Arial"/>
          <w:color w:val="010000"/>
          <w:sz w:val="20"/>
        </w:rPr>
        <w:t>.</w:t>
      </w:r>
      <w:r w:rsidRPr="00853C3B">
        <w:rPr>
          <w:rFonts w:ascii="Arial" w:hAnsi="Arial" w:cs="Arial"/>
          <w:color w:val="010000"/>
          <w:sz w:val="20"/>
        </w:rPr>
        <w:t>0/</w:t>
      </w:r>
      <w:proofErr w:type="spellStart"/>
      <w:r w:rsidRPr="00853C3B">
        <w:rPr>
          <w:rFonts w:ascii="Arial" w:hAnsi="Arial" w:cs="Arial"/>
          <w:color w:val="010000"/>
          <w:sz w:val="20"/>
        </w:rPr>
        <w:t>Lak</w:t>
      </w:r>
      <w:proofErr w:type="spellEnd"/>
      <w:r w:rsidRPr="00853C3B">
        <w:rPr>
          <w:rFonts w:ascii="Arial" w:hAnsi="Arial" w:cs="Arial"/>
          <w:color w:val="010000"/>
          <w:sz w:val="20"/>
        </w:rPr>
        <w:t>), in which:</w:t>
      </w:r>
    </w:p>
    <w:p w14:paraId="0000001B" w14:textId="0AD9D093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Revenue from</w:t>
      </w:r>
      <w:r w:rsidR="00861670" w:rsidRPr="00853C3B">
        <w:rPr>
          <w:rFonts w:ascii="Arial" w:hAnsi="Arial" w:cs="Arial"/>
          <w:color w:val="010000"/>
          <w:sz w:val="20"/>
        </w:rPr>
        <w:t xml:space="preserve"> goods</w:t>
      </w:r>
      <w:r w:rsidRPr="00853C3B">
        <w:rPr>
          <w:rFonts w:ascii="Arial" w:hAnsi="Arial" w:cs="Arial"/>
          <w:color w:val="010000"/>
          <w:sz w:val="20"/>
        </w:rPr>
        <w:t xml:space="preserve"> sales: VND 437,230 billion, in which:</w:t>
      </w:r>
      <w:r w:rsidR="00861670" w:rsidRPr="00853C3B">
        <w:rPr>
          <w:rFonts w:ascii="Arial" w:hAnsi="Arial" w:cs="Arial"/>
          <w:color w:val="010000"/>
          <w:sz w:val="20"/>
        </w:rPr>
        <w:t xml:space="preserve"> Rubber</w:t>
      </w:r>
      <w:r w:rsidRPr="00853C3B">
        <w:rPr>
          <w:rFonts w:ascii="Arial" w:hAnsi="Arial" w:cs="Arial"/>
          <w:color w:val="010000"/>
          <w:sz w:val="20"/>
        </w:rPr>
        <w:t>: VND 417,427 million; Banana: VND 1,966 million/month</w:t>
      </w:r>
      <w:r w:rsidR="00861670" w:rsidRPr="00853C3B">
        <w:rPr>
          <w:rFonts w:ascii="Arial" w:hAnsi="Arial" w:cs="Arial"/>
          <w:color w:val="010000"/>
          <w:sz w:val="20"/>
        </w:rPr>
        <w:t>; cashew:</w:t>
      </w:r>
      <w:r w:rsidRPr="00853C3B">
        <w:rPr>
          <w:rFonts w:ascii="Arial" w:hAnsi="Arial" w:cs="Arial"/>
          <w:color w:val="010000"/>
          <w:sz w:val="20"/>
        </w:rPr>
        <w:t xml:space="preserve"> VND 2,835 million; Durian</w:t>
      </w:r>
      <w:r w:rsidR="00861670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VND 15,000 million</w:t>
      </w:r>
    </w:p>
    <w:p w14:paraId="0000001C" w14:textId="61235105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Financial revenue and other income</w:t>
      </w:r>
      <w:r w:rsidR="00861670" w:rsidRPr="00853C3B">
        <w:rPr>
          <w:rFonts w:ascii="Arial" w:hAnsi="Arial" w:cs="Arial"/>
          <w:color w:val="010000"/>
          <w:sz w:val="20"/>
        </w:rPr>
        <w:t>:</w:t>
      </w:r>
      <w:r w:rsidRPr="00853C3B">
        <w:rPr>
          <w:rFonts w:ascii="Arial" w:hAnsi="Arial" w:cs="Arial"/>
          <w:color w:val="010000"/>
          <w:sz w:val="20"/>
        </w:rPr>
        <w:t xml:space="preserve"> VND 8,000 million</w:t>
      </w:r>
    </w:p>
    <w:p w14:paraId="0000001D" w14:textId="684772A7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Total expenses: VND 388,196 billion, in which: </w:t>
      </w:r>
      <w:r w:rsidR="00861670" w:rsidRPr="00853C3B">
        <w:rPr>
          <w:rFonts w:ascii="Arial" w:hAnsi="Arial" w:cs="Arial"/>
          <w:color w:val="010000"/>
          <w:sz w:val="20"/>
        </w:rPr>
        <w:t xml:space="preserve">Rubber </w:t>
      </w:r>
      <w:r w:rsidRPr="00853C3B">
        <w:rPr>
          <w:rFonts w:ascii="Arial" w:hAnsi="Arial" w:cs="Arial"/>
          <w:color w:val="010000"/>
          <w:sz w:val="20"/>
        </w:rPr>
        <w:t xml:space="preserve">expense: VND 371,966 million; banana expense: VND 2,853 million; cashew expense: VND 2,949 million; </w:t>
      </w:r>
      <w:r w:rsidR="00861670" w:rsidRPr="00853C3B">
        <w:rPr>
          <w:rFonts w:ascii="Arial" w:hAnsi="Arial" w:cs="Arial"/>
          <w:color w:val="010000"/>
          <w:sz w:val="20"/>
        </w:rPr>
        <w:t xml:space="preserve">durian </w:t>
      </w:r>
      <w:r w:rsidRPr="00853C3B">
        <w:rPr>
          <w:rFonts w:ascii="Arial" w:hAnsi="Arial" w:cs="Arial"/>
          <w:color w:val="010000"/>
          <w:sz w:val="20"/>
        </w:rPr>
        <w:t>expense: VND 10,427 million</w:t>
      </w:r>
    </w:p>
    <w:p w14:paraId="0000001E" w14:textId="77777777" w:rsidR="008D3119" w:rsidRPr="00853C3B" w:rsidRDefault="00EE4F64" w:rsidP="002E3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Profit and dividend distribution</w:t>
      </w:r>
    </w:p>
    <w:p w14:paraId="0000001F" w14:textId="77777777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Profit before tax: VND 57,034 million.</w:t>
      </w:r>
    </w:p>
    <w:p w14:paraId="00000020" w14:textId="77777777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Profit after tax: VND 46,729 million.</w:t>
      </w:r>
    </w:p>
    <w:p w14:paraId="00000021" w14:textId="77777777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Dividend payment rate in 2024: 5% of charter capital (expected);</w:t>
      </w:r>
    </w:p>
    <w:p w14:paraId="00000022" w14:textId="3818F0C0" w:rsidR="008D3119" w:rsidRPr="00853C3B" w:rsidRDefault="00861670" w:rsidP="002E3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Regarding </w:t>
      </w:r>
      <w:r w:rsidR="00EE4F64" w:rsidRPr="00853C3B">
        <w:rPr>
          <w:rFonts w:ascii="Arial" w:hAnsi="Arial" w:cs="Arial"/>
          <w:color w:val="010000"/>
          <w:sz w:val="20"/>
        </w:rPr>
        <w:t>the investment target for 2024, specific details are as follows:</w:t>
      </w:r>
    </w:p>
    <w:p w14:paraId="00000023" w14:textId="4770FF85" w:rsidR="008D3119" w:rsidRPr="00853C3B" w:rsidRDefault="00861670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>I</w:t>
      </w:r>
      <w:r w:rsidR="00EE4F64" w:rsidRPr="00853C3B">
        <w:rPr>
          <w:rFonts w:ascii="Arial" w:hAnsi="Arial" w:cs="Arial"/>
          <w:color w:val="010000"/>
          <w:sz w:val="20"/>
        </w:rPr>
        <w:t xml:space="preserve">nvestment in </w:t>
      </w:r>
      <w:r w:rsidRPr="00853C3B">
        <w:rPr>
          <w:rFonts w:ascii="Arial" w:hAnsi="Arial" w:cs="Arial"/>
          <w:color w:val="010000"/>
          <w:sz w:val="20"/>
        </w:rPr>
        <w:t xml:space="preserve">the orchard with trees in the </w:t>
      </w:r>
      <w:r w:rsidR="00EE4F64" w:rsidRPr="00853C3B">
        <w:rPr>
          <w:rFonts w:ascii="Arial" w:hAnsi="Arial" w:cs="Arial"/>
          <w:color w:val="010000"/>
          <w:sz w:val="20"/>
        </w:rPr>
        <w:t>vegetative phase</w:t>
      </w:r>
      <w:r w:rsidRPr="00853C3B">
        <w:rPr>
          <w:rFonts w:ascii="Arial" w:hAnsi="Arial" w:cs="Arial"/>
          <w:color w:val="010000"/>
          <w:sz w:val="20"/>
        </w:rPr>
        <w:t>:</w:t>
      </w:r>
      <w:r w:rsidR="00EE4F64" w:rsidRPr="00853C3B">
        <w:rPr>
          <w:rFonts w:ascii="Arial" w:hAnsi="Arial" w:cs="Arial"/>
          <w:color w:val="010000"/>
          <w:sz w:val="20"/>
        </w:rPr>
        <w:t xml:space="preserve"> VND 9,686.155 million, of which </w:t>
      </w:r>
      <w:r w:rsidR="00853C3B" w:rsidRPr="00853C3B">
        <w:rPr>
          <w:rFonts w:ascii="Arial" w:hAnsi="Arial" w:cs="Arial"/>
          <w:color w:val="010000"/>
          <w:sz w:val="20"/>
        </w:rPr>
        <w:t xml:space="preserve">rubber </w:t>
      </w:r>
      <w:r w:rsidR="00EE4F64" w:rsidRPr="00853C3B">
        <w:rPr>
          <w:rFonts w:ascii="Arial" w:hAnsi="Arial" w:cs="Arial"/>
          <w:color w:val="010000"/>
          <w:sz w:val="20"/>
        </w:rPr>
        <w:t>is VND 3,812.46 million, durian is VND 5,873.69 million</w:t>
      </w:r>
    </w:p>
    <w:p w14:paraId="00000024" w14:textId="21721C08" w:rsidR="008D3119" w:rsidRPr="00853C3B" w:rsidRDefault="00EE4F64" w:rsidP="002E3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Capital construction investment: VND 23,883.808 million, of which DRI High-tech </w:t>
      </w:r>
      <w:proofErr w:type="spellStart"/>
      <w:r w:rsidRPr="00853C3B">
        <w:rPr>
          <w:rFonts w:ascii="Arial" w:hAnsi="Arial" w:cs="Arial"/>
          <w:color w:val="010000"/>
          <w:sz w:val="20"/>
        </w:rPr>
        <w:t>Agricuture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Limited Company is VND 855,155,400 million, </w:t>
      </w:r>
      <w:proofErr w:type="spellStart"/>
      <w:r w:rsidRPr="00853C3B">
        <w:rPr>
          <w:rFonts w:ascii="Arial" w:hAnsi="Arial" w:cs="Arial"/>
          <w:color w:val="010000"/>
          <w:sz w:val="20"/>
        </w:rPr>
        <w:t>Daklao</w:t>
      </w:r>
      <w:r w:rsidR="00853C3B" w:rsidRPr="00853C3B">
        <w:rPr>
          <w:rFonts w:ascii="Arial" w:hAnsi="Arial" w:cs="Arial"/>
          <w:color w:val="010000"/>
          <w:sz w:val="20"/>
        </w:rPr>
        <w:t>ru</w:t>
      </w:r>
      <w:r w:rsidRPr="00853C3B">
        <w:rPr>
          <w:rFonts w:ascii="Arial" w:hAnsi="Arial" w:cs="Arial"/>
          <w:color w:val="010000"/>
          <w:sz w:val="20"/>
        </w:rPr>
        <w:t>co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is 21,416,600,000 million and DRI </w:t>
      </w:r>
      <w:r w:rsidR="00853C3B" w:rsidRPr="00853C3B">
        <w:rPr>
          <w:rFonts w:ascii="Arial" w:hAnsi="Arial" w:cs="Arial"/>
          <w:color w:val="010000"/>
          <w:sz w:val="20"/>
        </w:rPr>
        <w:t xml:space="preserve">Office </w:t>
      </w:r>
      <w:r w:rsidRPr="00853C3B">
        <w:rPr>
          <w:rFonts w:ascii="Arial" w:hAnsi="Arial" w:cs="Arial"/>
          <w:color w:val="010000"/>
          <w:sz w:val="20"/>
        </w:rPr>
        <w:t>is VND 1,612,022,712 million</w:t>
      </w:r>
    </w:p>
    <w:p w14:paraId="00000025" w14:textId="1089D1A8" w:rsidR="008D3119" w:rsidRPr="00853C3B" w:rsidRDefault="00EE4F64" w:rsidP="002E3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Assign the Executive Board to notify the Representative of </w:t>
      </w:r>
      <w:proofErr w:type="spellStart"/>
      <w:r w:rsidRPr="00853C3B">
        <w:rPr>
          <w:rFonts w:ascii="Arial" w:hAnsi="Arial" w:cs="Arial"/>
          <w:color w:val="010000"/>
          <w:sz w:val="20"/>
        </w:rPr>
        <w:t>Dakruco's</w:t>
      </w:r>
      <w:proofErr w:type="spellEnd"/>
      <w:r w:rsidRPr="00853C3B">
        <w:rPr>
          <w:rFonts w:ascii="Arial" w:hAnsi="Arial" w:cs="Arial"/>
          <w:color w:val="010000"/>
          <w:sz w:val="20"/>
        </w:rPr>
        <w:t xml:space="preserve"> capital at DRI to exercise the rights of the shareholders</w:t>
      </w:r>
      <w:r w:rsidR="00853C3B" w:rsidRPr="00853C3B">
        <w:rPr>
          <w:rFonts w:ascii="Arial" w:hAnsi="Arial" w:cs="Arial"/>
          <w:color w:val="010000"/>
          <w:sz w:val="20"/>
        </w:rPr>
        <w:t>.</w:t>
      </w:r>
    </w:p>
    <w:p w14:paraId="00000026" w14:textId="723CF56B" w:rsidR="008D3119" w:rsidRPr="00853C3B" w:rsidRDefault="00EE4F64" w:rsidP="002E3A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3C3B">
        <w:rPr>
          <w:rFonts w:ascii="Arial" w:hAnsi="Arial" w:cs="Arial"/>
          <w:color w:val="010000"/>
          <w:sz w:val="20"/>
        </w:rPr>
        <w:t xml:space="preserve">Article 3: This Resolution takes effect </w:t>
      </w:r>
      <w:r w:rsidR="00853C3B" w:rsidRPr="00853C3B">
        <w:rPr>
          <w:rFonts w:ascii="Arial" w:hAnsi="Arial" w:cs="Arial"/>
          <w:color w:val="010000"/>
          <w:sz w:val="20"/>
        </w:rPr>
        <w:t>from</w:t>
      </w:r>
      <w:r w:rsidRPr="00853C3B">
        <w:rPr>
          <w:rFonts w:ascii="Arial" w:hAnsi="Arial" w:cs="Arial"/>
          <w:color w:val="010000"/>
          <w:sz w:val="20"/>
        </w:rPr>
        <w:t xml:space="preserve"> the date of its signing. Members of the Board of Directors, the General Manager of </w:t>
      </w:r>
      <w:proofErr w:type="spellStart"/>
      <w:r w:rsidR="00853C3B" w:rsidRPr="00853C3B">
        <w:rPr>
          <w:rFonts w:ascii="Arial" w:hAnsi="Arial" w:cs="Arial"/>
          <w:color w:val="010000"/>
          <w:sz w:val="20"/>
        </w:rPr>
        <w:t>DakLak</w:t>
      </w:r>
      <w:proofErr w:type="spellEnd"/>
      <w:r w:rsidR="00853C3B" w:rsidRPr="00853C3B">
        <w:rPr>
          <w:rFonts w:ascii="Arial" w:hAnsi="Arial" w:cs="Arial"/>
          <w:color w:val="010000"/>
          <w:sz w:val="20"/>
        </w:rPr>
        <w:t xml:space="preserve"> Rubber Joint Stock Company</w:t>
      </w:r>
      <w:r w:rsidRPr="00853C3B">
        <w:rPr>
          <w:rFonts w:ascii="Arial" w:hAnsi="Arial" w:cs="Arial"/>
          <w:color w:val="010000"/>
          <w:sz w:val="20"/>
        </w:rPr>
        <w:t xml:space="preserve"> are responsible for the implementation of this Resolution.</w:t>
      </w:r>
    </w:p>
    <w:sectPr w:rsidR="008D3119" w:rsidRPr="00853C3B" w:rsidSect="002E3A5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336"/>
    <w:multiLevelType w:val="multilevel"/>
    <w:tmpl w:val="83EA2456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162A59"/>
    <w:multiLevelType w:val="multilevel"/>
    <w:tmpl w:val="C2D289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CB2494"/>
    <w:multiLevelType w:val="multilevel"/>
    <w:tmpl w:val="067C228C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9"/>
    <w:rsid w:val="002E3A5B"/>
    <w:rsid w:val="00574775"/>
    <w:rsid w:val="00853C3B"/>
    <w:rsid w:val="00861670"/>
    <w:rsid w:val="008D3119"/>
    <w:rsid w:val="00A02D5A"/>
    <w:rsid w:val="00EA6EAA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0F73B"/>
  <w15:docId w15:val="{A091B02D-0025-42AB-99A6-A189A5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XUPqvNwnB1G805AejxOHfwOcA==">CgMxLjA4AHIhMUZHandTUDhQMzQyUmVoRWZoODRqemdZbGZacVBEczRq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2023-12-29T04:45:00Z</dcterms:created>
  <dcterms:modified xsi:type="dcterms:W3CDTF">2023-12-29T04:45:00Z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6c9a3f00696066793ec29cfe9d297207f12f2f7377ec5f4817fb84d175460e51</vt:lpwstr>
  </property>
</Properties>
</file>